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91BF2" w14:textId="2AD671EB" w:rsidR="002152E9" w:rsidRPr="002152E9" w:rsidRDefault="007560E9" w:rsidP="004105B3">
      <w:pPr>
        <w:pStyle w:val="Title"/>
        <w:spacing w:after="0"/>
        <w:rPr>
          <w:rFonts w:cs="Times New Roman"/>
        </w:rPr>
      </w:pPr>
      <w:bookmarkStart w:id="0" w:name="_4gek7wqa76gr" w:colFirst="0" w:colLast="0"/>
      <w:bookmarkEnd w:id="0"/>
      <w:r w:rsidRPr="004A6410">
        <w:rPr>
          <w:rFonts w:cs="Times New Roman"/>
          <w:b/>
          <w:bCs/>
          <w:sz w:val="28"/>
          <w:szCs w:val="28"/>
        </w:rPr>
        <w:t>Report on the Analysis of the "Top Songs of the World" Dataset</w:t>
      </w:r>
    </w:p>
    <w:p w14:paraId="5165C18D" w14:textId="1A0BBC91" w:rsidR="00FF52FD" w:rsidRPr="002152E9" w:rsidRDefault="007560E9" w:rsidP="001578E9">
      <w:pPr>
        <w:rPr>
          <w:rFonts w:eastAsia="Times New Roman" w:cs="Times New Roman"/>
          <w:szCs w:val="24"/>
        </w:rPr>
      </w:pPr>
      <w:r w:rsidRPr="002152E9">
        <w:rPr>
          <w:rFonts w:eastAsia="Times New Roman" w:cs="Times New Roman"/>
          <w:b/>
          <w:szCs w:val="24"/>
        </w:rPr>
        <w:t xml:space="preserve">Source: </w:t>
      </w:r>
      <w:hyperlink r:id="rId4" w:history="1">
        <w:r w:rsidR="004A6410" w:rsidRPr="002C247A">
          <w:rPr>
            <w:rStyle w:val="Hyperlink"/>
            <w:rFonts w:eastAsia="Times New Roman" w:cs="Times New Roman"/>
            <w:szCs w:val="24"/>
          </w:rPr>
          <w:t>https://www.kaggle.com/datasets/shiivvvaam/top-songs-of-the-world</w:t>
        </w:r>
      </w:hyperlink>
      <w:r w:rsidR="004A6410">
        <w:rPr>
          <w:rFonts w:eastAsia="Times New Roman" w:cs="Times New Roman"/>
          <w:szCs w:val="24"/>
        </w:rPr>
        <w:t xml:space="preserve"> </w:t>
      </w:r>
    </w:p>
    <w:p w14:paraId="3A2322A6" w14:textId="77777777" w:rsidR="004A6410" w:rsidRDefault="007560E9" w:rsidP="001578E9">
      <w:pPr>
        <w:pStyle w:val="Heading1"/>
        <w:spacing w:before="0" w:after="0"/>
        <w:rPr>
          <w:rFonts w:cs="Times New Roman"/>
        </w:rPr>
      </w:pPr>
      <w:bookmarkStart w:id="1" w:name="_xlyw6jza0huc" w:colFirst="0" w:colLast="0"/>
      <w:bookmarkEnd w:id="1"/>
      <w:r w:rsidRPr="002152E9">
        <w:rPr>
          <w:rFonts w:cs="Times New Roman"/>
        </w:rPr>
        <w:t>Executive Summary</w:t>
      </w:r>
    </w:p>
    <w:p w14:paraId="47BF1D4F" w14:textId="70F506CE" w:rsidR="00FF52FD" w:rsidRPr="002152E9" w:rsidRDefault="007560E9" w:rsidP="004A6410">
      <w:r w:rsidRPr="002152E9">
        <w:t>“Top Songs of the World" is a collection of information about popular songs spanning various decades and genres. The dataset includes details such as the ranking of songs, the respective artists, titles, release years, sales figures, streaming statistics, download counts, radio play metrics, and a numerical rating. This dataset provides insights into the commercial success, digital presence, and overall popularity of each song, offering a comprehensive overview of the music industry's landscape over time. Researchers, analysts, and music enthusiasts can utilize this dataset to explore trends, patterns, and correlations within the context of the featured songs and artists.</w:t>
      </w:r>
    </w:p>
    <w:p w14:paraId="09D43D70" w14:textId="77777777" w:rsidR="00FF52FD" w:rsidRPr="002152E9" w:rsidRDefault="007560E9" w:rsidP="001578E9">
      <w:pPr>
        <w:pStyle w:val="Heading1"/>
        <w:spacing w:before="0" w:after="0"/>
        <w:rPr>
          <w:rFonts w:cs="Times New Roman"/>
        </w:rPr>
      </w:pPr>
      <w:bookmarkStart w:id="2" w:name="_7ffgj6nx7ut6" w:colFirst="0" w:colLast="0"/>
      <w:bookmarkEnd w:id="2"/>
      <w:r w:rsidRPr="002152E9">
        <w:rPr>
          <w:rFonts w:cs="Times New Roman"/>
        </w:rPr>
        <w:t>Introduction</w:t>
      </w:r>
    </w:p>
    <w:p w14:paraId="2E45AE15" w14:textId="77777777" w:rsidR="00FF52FD" w:rsidRPr="002152E9" w:rsidRDefault="007560E9" w:rsidP="00561D2A">
      <w:bookmarkStart w:id="3" w:name="_h4e5ifwa8zjm" w:colFirst="0" w:colLast="0"/>
      <w:bookmarkEnd w:id="3"/>
      <w:r w:rsidRPr="002152E9">
        <w:t>The landscape of the music industry is a reflection of cultural trends, technological advancements, and evolving consumer behaviours. Through the analysis of the "Top Songs of the World" dataset, this report aims to uncover patterns and correlations that define the commercial success and popularity of songs across various decades and genres.</w:t>
      </w:r>
    </w:p>
    <w:p w14:paraId="42341E8A" w14:textId="77777777" w:rsidR="00FF52FD" w:rsidRPr="002152E9" w:rsidRDefault="007560E9" w:rsidP="001578E9">
      <w:pPr>
        <w:pStyle w:val="Heading2"/>
        <w:spacing w:before="0" w:after="0"/>
        <w:rPr>
          <w:rFonts w:cs="Times New Roman"/>
        </w:rPr>
      </w:pPr>
      <w:bookmarkStart w:id="4" w:name="_hun3pydl1qkl" w:colFirst="0" w:colLast="0"/>
      <w:bookmarkEnd w:id="4"/>
      <w:r w:rsidRPr="002152E9">
        <w:rPr>
          <w:rFonts w:cs="Times New Roman"/>
        </w:rPr>
        <w:t>Purpose of the Analysis</w:t>
      </w:r>
    </w:p>
    <w:p w14:paraId="648475D6" w14:textId="77777777" w:rsidR="00FF52FD" w:rsidRPr="002152E9" w:rsidRDefault="007560E9" w:rsidP="00561D2A">
      <w:bookmarkStart w:id="5" w:name="_nuuqq7ktmwsy" w:colFirst="0" w:colLast="0"/>
      <w:bookmarkEnd w:id="5"/>
      <w:r w:rsidRPr="002152E9">
        <w:t>The main goal of this analysis is to provide data-driven insights about the music industry's dynamics over time. We want to understand the aspects that influence a song's popularity and commercial viability by looking at data like sales, streams, downloads, radio plays, and overall ratings. This study will help scholars, industry experts, and music fans understand the trends that have influenced music consumption and artist popularity.</w:t>
      </w:r>
    </w:p>
    <w:p w14:paraId="48A98D8D" w14:textId="77777777" w:rsidR="00FF52FD" w:rsidRPr="002152E9" w:rsidRDefault="007560E9" w:rsidP="001578E9">
      <w:pPr>
        <w:pStyle w:val="Heading1"/>
        <w:spacing w:before="0" w:after="0"/>
        <w:rPr>
          <w:rFonts w:cs="Times New Roman"/>
        </w:rPr>
      </w:pPr>
      <w:bookmarkStart w:id="6" w:name="_ujw3ms2rdok6" w:colFirst="0" w:colLast="0"/>
      <w:bookmarkEnd w:id="6"/>
      <w:r w:rsidRPr="002152E9">
        <w:rPr>
          <w:rFonts w:cs="Times New Roman"/>
        </w:rPr>
        <w:t>Methodology</w:t>
      </w:r>
    </w:p>
    <w:p w14:paraId="2BA828E6" w14:textId="77777777" w:rsidR="00FF52FD" w:rsidRPr="002152E9" w:rsidRDefault="007560E9" w:rsidP="001578E9">
      <w:pPr>
        <w:pStyle w:val="Heading2"/>
        <w:spacing w:before="0" w:after="0"/>
        <w:rPr>
          <w:rFonts w:cs="Times New Roman"/>
        </w:rPr>
      </w:pPr>
      <w:bookmarkStart w:id="7" w:name="_b5g0m2syuhy8" w:colFirst="0" w:colLast="0"/>
      <w:bookmarkEnd w:id="7"/>
      <w:r w:rsidRPr="002152E9">
        <w:rPr>
          <w:rFonts w:cs="Times New Roman"/>
        </w:rPr>
        <w:t>Tools and Software Used</w:t>
      </w:r>
    </w:p>
    <w:p w14:paraId="6D35CEC0" w14:textId="77777777" w:rsidR="00FF52FD" w:rsidRPr="002152E9" w:rsidRDefault="007560E9" w:rsidP="00561D2A">
      <w:bookmarkStart w:id="8" w:name="_vkpm92g6etfw" w:colFirst="0" w:colLast="0"/>
      <w:bookmarkEnd w:id="8"/>
      <w:r w:rsidRPr="002152E9">
        <w:t>I conducted this analysis using Python in a Jupyter Notebook. Python's extensive ecosystem of libraries makes it ideal for data analysis by simplifying data processing, statistical analysis, and visualization. Jupyter Notebooks offer an interactive environment in which code, output, and descriptive text may be seamlessly merged, allowing for an efficient workflow and clear documentation of the analysis process.</w:t>
      </w:r>
    </w:p>
    <w:p w14:paraId="44499BBA" w14:textId="4E265126" w:rsidR="00FF52FD" w:rsidRPr="002152E9" w:rsidRDefault="007560E9" w:rsidP="001578E9">
      <w:pPr>
        <w:pStyle w:val="Heading2"/>
        <w:spacing w:before="0" w:after="0"/>
        <w:rPr>
          <w:rFonts w:cs="Times New Roman"/>
        </w:rPr>
      </w:pPr>
      <w:bookmarkStart w:id="9" w:name="_md2b3nil1z8c" w:colFirst="0" w:colLast="0"/>
      <w:bookmarkEnd w:id="9"/>
      <w:r w:rsidRPr="002152E9">
        <w:rPr>
          <w:rFonts w:cs="Times New Roman"/>
        </w:rPr>
        <w:t>Overview of Analytical Methods Applied</w:t>
      </w:r>
    </w:p>
    <w:tbl>
      <w:tblPr>
        <w:tblStyle w:val="TableGrid"/>
        <w:tblW w:w="9168" w:type="dxa"/>
        <w:tblLook w:val="04A0" w:firstRow="1" w:lastRow="0" w:firstColumn="1" w:lastColumn="0" w:noHBand="0" w:noVBand="1"/>
      </w:tblPr>
      <w:tblGrid>
        <w:gridCol w:w="4686"/>
        <w:gridCol w:w="4482"/>
      </w:tblGrid>
      <w:tr w:rsidR="00B56CD1" w:rsidRPr="002152E9" w14:paraId="0EB38240" w14:textId="77777777" w:rsidTr="00B56CD1">
        <w:trPr>
          <w:trHeight w:val="925"/>
        </w:trPr>
        <w:tc>
          <w:tcPr>
            <w:tcW w:w="3231" w:type="dxa"/>
            <w:tcBorders>
              <w:top w:val="nil"/>
              <w:left w:val="nil"/>
              <w:bottom w:val="nil"/>
              <w:right w:val="nil"/>
            </w:tcBorders>
          </w:tcPr>
          <w:p w14:paraId="00790C46" w14:textId="208AE37F" w:rsidR="00B56CD1" w:rsidRDefault="00B56CD1" w:rsidP="00561D2A">
            <w:r w:rsidRPr="002152E9">
              <w:t>I used correlation analysis to find out the correlations between the variables in the dataset. The</w:t>
            </w:r>
            <w:r w:rsidR="0005160B">
              <w:t xml:space="preserve"> </w:t>
            </w:r>
            <w:proofErr w:type="spellStart"/>
            <w:r w:rsidRPr="002152E9">
              <w:t>corr</w:t>
            </w:r>
            <w:proofErr w:type="spellEnd"/>
            <w:r w:rsidRPr="002152E9">
              <w:t xml:space="preserve">() </w:t>
            </w:r>
            <w:r w:rsidR="00F56272">
              <w:t xml:space="preserve">and </w:t>
            </w:r>
            <w:r w:rsidRPr="002152E9">
              <w:t>method w</w:t>
            </w:r>
            <w:r w:rsidR="00F56272">
              <w:t>as</w:t>
            </w:r>
            <w:bookmarkStart w:id="10" w:name="_GoBack"/>
            <w:bookmarkEnd w:id="10"/>
            <w:r w:rsidRPr="002152E9">
              <w:t xml:space="preserve"> useful in this procedure since it calculates correlation coefficients, which measure the linear relationship between variables. The correlation analysis yielded the following results:</w:t>
            </w:r>
          </w:p>
          <w:p w14:paraId="0143E0DC" w14:textId="1C1651B8" w:rsidR="00372B3B" w:rsidRPr="002152E9" w:rsidRDefault="00372B3B" w:rsidP="00561D2A">
            <w:r>
              <w:rPr>
                <w:noProof/>
              </w:rPr>
              <w:lastRenderedPageBreak/>
              <w:drawing>
                <wp:inline distT="0" distB="0" distL="0" distR="0" wp14:anchorId="0AF3B0F2" wp14:editId="4B70675B">
                  <wp:extent cx="2831059" cy="1729212"/>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1785" cy="1735763"/>
                          </a:xfrm>
                          <a:prstGeom prst="rect">
                            <a:avLst/>
                          </a:prstGeom>
                          <a:noFill/>
                        </pic:spPr>
                      </pic:pic>
                    </a:graphicData>
                  </a:graphic>
                </wp:inline>
              </w:drawing>
            </w:r>
          </w:p>
          <w:p w14:paraId="2A44ABA7" w14:textId="77777777" w:rsidR="00B56CD1" w:rsidRPr="002152E9" w:rsidRDefault="00B56CD1" w:rsidP="001578E9">
            <w:pPr>
              <w:rPr>
                <w:rFonts w:cs="Times New Roman"/>
              </w:rPr>
            </w:pPr>
          </w:p>
        </w:tc>
        <w:tc>
          <w:tcPr>
            <w:tcW w:w="5937" w:type="dxa"/>
            <w:tcBorders>
              <w:top w:val="nil"/>
              <w:left w:val="nil"/>
              <w:bottom w:val="nil"/>
              <w:right w:val="nil"/>
            </w:tcBorders>
          </w:tcPr>
          <w:p w14:paraId="277A0235" w14:textId="7B17BA62" w:rsidR="00B56CD1" w:rsidRPr="002152E9" w:rsidRDefault="00B56CD1" w:rsidP="001578E9">
            <w:pPr>
              <w:rPr>
                <w:rFonts w:cs="Times New Roman"/>
              </w:rPr>
            </w:pPr>
          </w:p>
        </w:tc>
      </w:tr>
    </w:tbl>
    <w:p w14:paraId="1DAAF6C3" w14:textId="77777777" w:rsidR="00FF52FD" w:rsidRPr="002152E9" w:rsidRDefault="007560E9" w:rsidP="001578E9">
      <w:pPr>
        <w:pStyle w:val="Heading1"/>
        <w:spacing w:before="0" w:after="0"/>
        <w:rPr>
          <w:rFonts w:cs="Times New Roman"/>
        </w:rPr>
      </w:pPr>
      <w:bookmarkStart w:id="11" w:name="_wq3b62moe6tj" w:colFirst="0" w:colLast="0"/>
      <w:bookmarkStart w:id="12" w:name="_s44b2fhr22u5" w:colFirst="0" w:colLast="0"/>
      <w:bookmarkEnd w:id="11"/>
      <w:bookmarkEnd w:id="12"/>
      <w:r w:rsidRPr="002152E9">
        <w:rPr>
          <w:rFonts w:cs="Times New Roman"/>
        </w:rPr>
        <w:t>Results and Discussion</w:t>
      </w:r>
    </w:p>
    <w:p w14:paraId="3EADBD2D" w14:textId="581219E6" w:rsidR="00FF52FD" w:rsidRPr="002152E9" w:rsidRDefault="007560E9" w:rsidP="001578E9">
      <w:pPr>
        <w:pStyle w:val="Heading2"/>
        <w:spacing w:before="0" w:after="0"/>
        <w:rPr>
          <w:rFonts w:cs="Times New Roman"/>
        </w:rPr>
      </w:pPr>
      <w:bookmarkStart w:id="13" w:name="_g860qs1exvik" w:colFirst="0" w:colLast="0"/>
      <w:bookmarkEnd w:id="13"/>
      <w:r w:rsidRPr="002152E9">
        <w:rPr>
          <w:rFonts w:cs="Times New Roman"/>
        </w:rPr>
        <w:t>Sales Analysis</w:t>
      </w:r>
      <w:bookmarkStart w:id="14" w:name="_586wfoqqn838" w:colFirst="0" w:colLast="0"/>
      <w:bookmarkEnd w:id="14"/>
    </w:p>
    <w:tbl>
      <w:tblPr>
        <w:tblStyle w:val="TableGrid"/>
        <w:tblW w:w="9589" w:type="dxa"/>
        <w:tblLook w:val="04A0" w:firstRow="1" w:lastRow="0" w:firstColumn="1" w:lastColumn="0" w:noHBand="0" w:noVBand="1"/>
      </w:tblPr>
      <w:tblGrid>
        <w:gridCol w:w="5001"/>
        <w:gridCol w:w="4588"/>
      </w:tblGrid>
      <w:tr w:rsidR="00B56CD1" w:rsidRPr="002152E9" w14:paraId="111780B0" w14:textId="77777777" w:rsidTr="00B56CD1">
        <w:trPr>
          <w:trHeight w:val="3190"/>
        </w:trPr>
        <w:tc>
          <w:tcPr>
            <w:tcW w:w="4794" w:type="dxa"/>
            <w:tcBorders>
              <w:top w:val="nil"/>
              <w:left w:val="nil"/>
              <w:bottom w:val="nil"/>
              <w:right w:val="nil"/>
            </w:tcBorders>
          </w:tcPr>
          <w:p w14:paraId="402BE909" w14:textId="77777777" w:rsidR="00B56CD1" w:rsidRDefault="00B56CD1" w:rsidP="001578E9">
            <w:pPr>
              <w:rPr>
                <w:rFonts w:eastAsia="Times New Roman" w:cs="Times New Roman"/>
                <w:szCs w:val="24"/>
              </w:rPr>
            </w:pPr>
            <w:r w:rsidRPr="002152E9">
              <w:rPr>
                <w:rFonts w:eastAsia="Times New Roman" w:cs="Times New Roman"/>
                <w:szCs w:val="24"/>
              </w:rPr>
              <w:t>The sales data from the "Top Songs of the World" dataset revealed a right-skewed distribution, which is typical of the music industry, with a small number of hits achieving spectacular sales and the majority of songs recording lower values. The sales histogram demonstrated this skewness, with the majority of songs clustered at the lower end of the sales spectrum and a long tail showing a few outliers with extremely high sales. These outliers are significant because they are blockbuster hits that can have a big impact on typical sales figures, highlighting the importance of rigorous data interpretation in order to really grasp what drives commercial success in music.</w:t>
            </w:r>
          </w:p>
          <w:p w14:paraId="0D9822AD" w14:textId="05687147" w:rsidR="00FD5FA1" w:rsidRPr="002152E9" w:rsidRDefault="00FD5FA1" w:rsidP="001578E9">
            <w:pPr>
              <w:rPr>
                <w:rFonts w:cs="Times New Roman"/>
              </w:rPr>
            </w:pPr>
            <w:r>
              <w:rPr>
                <w:rFonts w:cs="Times New Roman"/>
                <w:noProof/>
              </w:rPr>
              <w:drawing>
                <wp:inline distT="0" distB="0" distL="0" distR="0" wp14:anchorId="2C9E5AA0" wp14:editId="47376F37">
                  <wp:extent cx="3038871" cy="24444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19" cy="2449221"/>
                          </a:xfrm>
                          <a:prstGeom prst="rect">
                            <a:avLst/>
                          </a:prstGeom>
                          <a:noFill/>
                        </pic:spPr>
                      </pic:pic>
                    </a:graphicData>
                  </a:graphic>
                </wp:inline>
              </w:drawing>
            </w:r>
          </w:p>
        </w:tc>
        <w:tc>
          <w:tcPr>
            <w:tcW w:w="4795" w:type="dxa"/>
            <w:tcBorders>
              <w:top w:val="nil"/>
              <w:left w:val="nil"/>
              <w:bottom w:val="nil"/>
              <w:right w:val="nil"/>
            </w:tcBorders>
          </w:tcPr>
          <w:p w14:paraId="2077056A" w14:textId="1F237E0C" w:rsidR="00B56CD1" w:rsidRPr="002152E9" w:rsidRDefault="00B56CD1" w:rsidP="001578E9">
            <w:pPr>
              <w:rPr>
                <w:rFonts w:cs="Times New Roman"/>
              </w:rPr>
            </w:pPr>
          </w:p>
        </w:tc>
      </w:tr>
    </w:tbl>
    <w:p w14:paraId="46940F7D" w14:textId="35A15438" w:rsidR="00B56CD1" w:rsidRPr="002152E9" w:rsidRDefault="007560E9" w:rsidP="001578E9">
      <w:pPr>
        <w:pStyle w:val="Heading2"/>
        <w:spacing w:before="0" w:after="0"/>
        <w:rPr>
          <w:rFonts w:cs="Times New Roman"/>
        </w:rPr>
      </w:pPr>
      <w:bookmarkStart w:id="15" w:name="_mg6x5mdgcpvn" w:colFirst="0" w:colLast="0"/>
      <w:bookmarkStart w:id="16" w:name="_hox2kbjzwovd" w:colFirst="0" w:colLast="0"/>
      <w:bookmarkEnd w:id="15"/>
      <w:bookmarkEnd w:id="16"/>
      <w:r w:rsidRPr="002152E9">
        <w:rPr>
          <w:rFonts w:cs="Times New Roman"/>
        </w:rPr>
        <w:t>Digital Presence Analysis</w:t>
      </w:r>
    </w:p>
    <w:tbl>
      <w:tblPr>
        <w:tblStyle w:val="TableGrid"/>
        <w:tblW w:w="10007" w:type="dxa"/>
        <w:tblLook w:val="04A0" w:firstRow="1" w:lastRow="0" w:firstColumn="1" w:lastColumn="0" w:noHBand="0" w:noVBand="1"/>
      </w:tblPr>
      <w:tblGrid>
        <w:gridCol w:w="4450"/>
        <w:gridCol w:w="5557"/>
      </w:tblGrid>
      <w:tr w:rsidR="00B56CD1" w:rsidRPr="002152E9" w14:paraId="09BACC14" w14:textId="77777777" w:rsidTr="00B56CD1">
        <w:trPr>
          <w:trHeight w:val="1863"/>
        </w:trPr>
        <w:tc>
          <w:tcPr>
            <w:tcW w:w="3887" w:type="dxa"/>
            <w:tcBorders>
              <w:top w:val="nil"/>
              <w:left w:val="nil"/>
              <w:bottom w:val="nil"/>
              <w:right w:val="nil"/>
            </w:tcBorders>
          </w:tcPr>
          <w:p w14:paraId="7FD1FB44" w14:textId="77777777" w:rsidR="00B56CD1" w:rsidRDefault="00B56CD1" w:rsidP="001578E9">
            <w:pPr>
              <w:rPr>
                <w:rFonts w:eastAsia="Times New Roman" w:cs="Times New Roman"/>
                <w:szCs w:val="24"/>
              </w:rPr>
            </w:pPr>
            <w:r w:rsidRPr="002152E9">
              <w:rPr>
                <w:rFonts w:eastAsia="Times New Roman" w:cs="Times New Roman"/>
                <w:szCs w:val="24"/>
              </w:rPr>
              <w:t>The scatter graph comparing 'Streams' and 'Downloads' indicated a positive association between these two measures, showing that songs with greater streaming numbers also had higher download figures. This implies that a strong digital presence on streaming platforms can lead to increased download sales, indicating a trend in which consumer engagement in one digital domain tends to spill over into another. The degree of association provides insights into artist popularity and listener engagement, showing that musicians who can leverage streaming platforms may effectively improve download sales, supporting their entire digital presence and financial success.</w:t>
            </w:r>
          </w:p>
          <w:p w14:paraId="259DC02E" w14:textId="5E431A86" w:rsidR="00FD5FA1" w:rsidRPr="002152E9" w:rsidRDefault="00FD5FA1" w:rsidP="001578E9">
            <w:pPr>
              <w:rPr>
                <w:rFonts w:eastAsia="Times New Roman" w:cs="Times New Roman"/>
                <w:szCs w:val="24"/>
              </w:rPr>
            </w:pPr>
            <w:r>
              <w:rPr>
                <w:rFonts w:eastAsia="Times New Roman" w:cs="Times New Roman"/>
                <w:noProof/>
                <w:szCs w:val="24"/>
              </w:rPr>
              <w:lastRenderedPageBreak/>
              <w:drawing>
                <wp:inline distT="0" distB="0" distL="0" distR="0" wp14:anchorId="754C1806" wp14:editId="6ABF7458">
                  <wp:extent cx="2688911" cy="24670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6197" cy="2473754"/>
                          </a:xfrm>
                          <a:prstGeom prst="rect">
                            <a:avLst/>
                          </a:prstGeom>
                          <a:noFill/>
                        </pic:spPr>
                      </pic:pic>
                    </a:graphicData>
                  </a:graphic>
                </wp:inline>
              </w:drawing>
            </w:r>
          </w:p>
          <w:p w14:paraId="28FDF816" w14:textId="77777777" w:rsidR="00B56CD1" w:rsidRPr="002152E9" w:rsidRDefault="00B56CD1" w:rsidP="001578E9">
            <w:pPr>
              <w:rPr>
                <w:rFonts w:eastAsia="Times New Roman" w:cs="Times New Roman"/>
                <w:szCs w:val="24"/>
              </w:rPr>
            </w:pPr>
          </w:p>
        </w:tc>
        <w:tc>
          <w:tcPr>
            <w:tcW w:w="6120" w:type="dxa"/>
            <w:tcBorders>
              <w:top w:val="nil"/>
              <w:left w:val="nil"/>
              <w:bottom w:val="nil"/>
              <w:right w:val="nil"/>
            </w:tcBorders>
          </w:tcPr>
          <w:p w14:paraId="322327CE" w14:textId="0D0AEEC6" w:rsidR="00B56CD1" w:rsidRPr="002152E9" w:rsidRDefault="00B56CD1" w:rsidP="001578E9">
            <w:pPr>
              <w:rPr>
                <w:rFonts w:eastAsia="Times New Roman" w:cs="Times New Roman"/>
                <w:szCs w:val="24"/>
              </w:rPr>
            </w:pPr>
          </w:p>
        </w:tc>
      </w:tr>
    </w:tbl>
    <w:p w14:paraId="4D22D2F8" w14:textId="073FC9AD" w:rsidR="00FF52FD" w:rsidRPr="002152E9" w:rsidRDefault="007560E9" w:rsidP="001578E9">
      <w:pPr>
        <w:pStyle w:val="Heading2"/>
        <w:spacing w:before="0" w:after="0"/>
        <w:rPr>
          <w:rFonts w:cs="Times New Roman"/>
        </w:rPr>
      </w:pPr>
      <w:bookmarkStart w:id="17" w:name="_nf87ha5h7vfc" w:colFirst="0" w:colLast="0"/>
      <w:bookmarkEnd w:id="17"/>
      <w:r w:rsidRPr="002152E9">
        <w:rPr>
          <w:rFonts w:cs="Times New Roman"/>
        </w:rPr>
        <w:t>Correlation Analysis</w:t>
      </w:r>
    </w:p>
    <w:tbl>
      <w:tblPr>
        <w:tblStyle w:val="TableGrid"/>
        <w:tblW w:w="9279" w:type="dxa"/>
        <w:tblLook w:val="04A0" w:firstRow="1" w:lastRow="0" w:firstColumn="1" w:lastColumn="0" w:noHBand="0" w:noVBand="1"/>
      </w:tblPr>
      <w:tblGrid>
        <w:gridCol w:w="4639"/>
        <w:gridCol w:w="4640"/>
      </w:tblGrid>
      <w:tr w:rsidR="00B56CD1" w:rsidRPr="002152E9" w14:paraId="1DF42122" w14:textId="77777777" w:rsidTr="00B56CD1">
        <w:trPr>
          <w:trHeight w:val="1705"/>
        </w:trPr>
        <w:tc>
          <w:tcPr>
            <w:tcW w:w="4639" w:type="dxa"/>
            <w:tcBorders>
              <w:top w:val="nil"/>
              <w:left w:val="nil"/>
              <w:bottom w:val="nil"/>
              <w:right w:val="nil"/>
            </w:tcBorders>
          </w:tcPr>
          <w:p w14:paraId="068BE858" w14:textId="77777777" w:rsidR="00B56CD1" w:rsidRDefault="00B56CD1" w:rsidP="00561D2A">
            <w:r w:rsidRPr="002152E9">
              <w:t>The heatmap from the correlation analysis revealed significant connections between variables, including a strong relation between Sales and Downloads and a negative correlation between Streams and Year. This shows that digital sales drive overall revenue, whereas older songs are streamed less, suggesting trends in music consumption patterns. Weak correlations, such as between Streams and Rating, imply that streaming statistics may not always correspond to song quality or listener popularity. These findings highlight the importance of digital indicators in understanding music industry dynamics.</w:t>
            </w:r>
          </w:p>
          <w:p w14:paraId="12B63085" w14:textId="5F672AFB" w:rsidR="007A5E45" w:rsidRPr="002152E9" w:rsidRDefault="007A5E45" w:rsidP="00561D2A">
            <w:r>
              <w:rPr>
                <w:noProof/>
              </w:rPr>
              <w:drawing>
                <wp:inline distT="0" distB="0" distL="0" distR="0" wp14:anchorId="4EF49B1A" wp14:editId="098E12D0">
                  <wp:extent cx="2663555" cy="230951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8792" cy="2314055"/>
                          </a:xfrm>
                          <a:prstGeom prst="rect">
                            <a:avLst/>
                          </a:prstGeom>
                          <a:noFill/>
                        </pic:spPr>
                      </pic:pic>
                    </a:graphicData>
                  </a:graphic>
                </wp:inline>
              </w:drawing>
            </w:r>
          </w:p>
          <w:p w14:paraId="52401BFF" w14:textId="77777777" w:rsidR="00B56CD1" w:rsidRPr="002152E9" w:rsidRDefault="00B56CD1" w:rsidP="001578E9">
            <w:pPr>
              <w:rPr>
                <w:rFonts w:cs="Times New Roman"/>
              </w:rPr>
            </w:pPr>
          </w:p>
        </w:tc>
        <w:tc>
          <w:tcPr>
            <w:tcW w:w="4640" w:type="dxa"/>
            <w:tcBorders>
              <w:top w:val="nil"/>
              <w:left w:val="nil"/>
              <w:bottom w:val="nil"/>
              <w:right w:val="nil"/>
            </w:tcBorders>
          </w:tcPr>
          <w:p w14:paraId="007EDD15" w14:textId="0FBEB6E3" w:rsidR="00B56CD1" w:rsidRPr="002152E9" w:rsidRDefault="00B56CD1" w:rsidP="001578E9">
            <w:pPr>
              <w:rPr>
                <w:rFonts w:cs="Times New Roman"/>
              </w:rPr>
            </w:pPr>
          </w:p>
        </w:tc>
      </w:tr>
    </w:tbl>
    <w:p w14:paraId="2E092924" w14:textId="77777777" w:rsidR="00FF52FD" w:rsidRPr="002152E9" w:rsidRDefault="007560E9" w:rsidP="001578E9">
      <w:pPr>
        <w:pStyle w:val="Heading1"/>
        <w:keepNext w:val="0"/>
        <w:keepLines w:val="0"/>
        <w:spacing w:before="0" w:after="0"/>
        <w:rPr>
          <w:rFonts w:cs="Times New Roman"/>
        </w:rPr>
      </w:pPr>
      <w:bookmarkStart w:id="18" w:name="_qj6enpp9h2w7" w:colFirst="0" w:colLast="0"/>
      <w:bookmarkStart w:id="19" w:name="_hvmsr0sk6jhw" w:colFirst="0" w:colLast="0"/>
      <w:bookmarkEnd w:id="18"/>
      <w:bookmarkEnd w:id="19"/>
      <w:r w:rsidRPr="002152E9">
        <w:rPr>
          <w:rFonts w:cs="Times New Roman"/>
        </w:rPr>
        <w:t>Conclusions</w:t>
      </w:r>
    </w:p>
    <w:p w14:paraId="307C190E" w14:textId="77777777" w:rsidR="00FF52FD" w:rsidRPr="002152E9" w:rsidRDefault="007560E9" w:rsidP="00561D2A">
      <w:bookmarkStart w:id="20" w:name="_dt5up778ebfi" w:colFirst="0" w:colLast="0"/>
      <w:bookmarkEnd w:id="20"/>
      <w:r w:rsidRPr="002152E9">
        <w:t>In conclusion, the analysis revealed some crucial insights into music industry trends and patterns. The data revealed a considerable shift toward digital consumption, with downloads highly correlated with purchases, emphasizing the growing importance of online sales platforms. The negative association between streams and the year implies that consumer preferences are changing, potentially due to the introduction of streaming services and the progressive phasing out of older formats.</w:t>
      </w:r>
    </w:p>
    <w:p w14:paraId="23D9F2CC" w14:textId="77777777" w:rsidR="00FF52FD" w:rsidRPr="002152E9" w:rsidRDefault="00FF52FD" w:rsidP="001578E9">
      <w:pPr>
        <w:rPr>
          <w:rFonts w:eastAsia="Times New Roman" w:cs="Times New Roman"/>
          <w:szCs w:val="24"/>
        </w:rPr>
      </w:pPr>
    </w:p>
    <w:sectPr w:rsidR="00FF52FD" w:rsidRPr="002152E9" w:rsidSect="00372B3B">
      <w:pgSz w:w="11909" w:h="16834"/>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2FD"/>
    <w:rsid w:val="0005160B"/>
    <w:rsid w:val="001578E9"/>
    <w:rsid w:val="002152E9"/>
    <w:rsid w:val="002266CE"/>
    <w:rsid w:val="0030372D"/>
    <w:rsid w:val="00372B3B"/>
    <w:rsid w:val="004105B3"/>
    <w:rsid w:val="004A6410"/>
    <w:rsid w:val="00561D2A"/>
    <w:rsid w:val="007560E9"/>
    <w:rsid w:val="007A5E45"/>
    <w:rsid w:val="00B56CD1"/>
    <w:rsid w:val="00F56272"/>
    <w:rsid w:val="00FD5FA1"/>
    <w:rsid w:val="00FF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FA9A"/>
  <w15:docId w15:val="{C1A1610E-A533-4DF3-909B-F6A93F60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6CE"/>
    <w:pPr>
      <w:spacing w:line="360" w:lineRule="auto"/>
      <w:contextualSpacing/>
      <w:jc w:val="both"/>
    </w:pPr>
    <w:rPr>
      <w:rFonts w:ascii="Times New Roman" w:hAnsi="Times New Roman"/>
      <w:sz w:val="24"/>
    </w:rPr>
  </w:style>
  <w:style w:type="paragraph" w:styleId="Heading1">
    <w:name w:val="heading 1"/>
    <w:basedOn w:val="Normal"/>
    <w:next w:val="Normal"/>
    <w:uiPriority w:val="9"/>
    <w:qFormat/>
    <w:rsid w:val="002266CE"/>
    <w:pPr>
      <w:keepNext/>
      <w:keepLines/>
      <w:spacing w:before="400" w:after="120"/>
      <w:outlineLvl w:val="0"/>
    </w:pPr>
    <w:rPr>
      <w:b/>
      <w:sz w:val="28"/>
      <w:szCs w:val="40"/>
    </w:rPr>
  </w:style>
  <w:style w:type="paragraph" w:styleId="Heading2">
    <w:name w:val="heading 2"/>
    <w:basedOn w:val="Normal"/>
    <w:next w:val="Normal"/>
    <w:uiPriority w:val="9"/>
    <w:unhideWhenUsed/>
    <w:qFormat/>
    <w:rsid w:val="00561D2A"/>
    <w:pPr>
      <w:keepNext/>
      <w:keepLines/>
      <w:spacing w:before="360" w:after="120"/>
      <w:outlineLvl w:val="1"/>
    </w:pPr>
    <w:rPr>
      <w:b/>
      <w:i/>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56C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6CD1"/>
    <w:rPr>
      <w:rFonts w:ascii="Segoe UI" w:hAnsi="Segoe UI" w:cs="Segoe UI"/>
      <w:sz w:val="18"/>
      <w:szCs w:val="18"/>
    </w:rPr>
  </w:style>
  <w:style w:type="table" w:styleId="TableGrid">
    <w:name w:val="Table Grid"/>
    <w:basedOn w:val="TableNormal"/>
    <w:uiPriority w:val="39"/>
    <w:rsid w:val="00B56CD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6410"/>
    <w:rPr>
      <w:color w:val="0000FF" w:themeColor="hyperlink"/>
      <w:u w:val="single"/>
    </w:rPr>
  </w:style>
  <w:style w:type="character" w:styleId="UnresolvedMention">
    <w:name w:val="Unresolved Mention"/>
    <w:basedOn w:val="DefaultParagraphFont"/>
    <w:uiPriority w:val="99"/>
    <w:semiHidden/>
    <w:unhideWhenUsed/>
    <w:rsid w:val="004A6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kaggle.com/datasets/shiivvvaam/top-songs-of-the-world"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kinyaao edwin</cp:lastModifiedBy>
  <cp:revision>14</cp:revision>
  <dcterms:created xsi:type="dcterms:W3CDTF">2024-02-18T19:48:00Z</dcterms:created>
  <dcterms:modified xsi:type="dcterms:W3CDTF">2024-02-19T11:46:00Z</dcterms:modified>
</cp:coreProperties>
</file>