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A3A5C"/>
          <w:sz w:val="40"/>
          <w:szCs w:val="40"/>
        </w:rPr>
        <w:t xml:space="preserve">Cost &amp; Timeline Estimation</w:t>
      </w:r>
    </w:p>
    <w:p>
      <w:pPr>
        <w:spacing w:after="160"/>
        <w:jc w:val="center"/>
      </w:pPr>
      <w:r>
        <w:rPr>
          <w:rFonts w:ascii="Arial" w:cs="Arial" w:eastAsia="Arial" w:hAnsi="Arial"/>
          <w:i/>
          <w:iCs/>
          <w:color w:val="1A9E9B"/>
          <w:sz w:val="26"/>
          <w:szCs w:val="26"/>
        </w:rPr>
        <w:t xml:space="preserve">Smart Document Automation: DG &amp; Customs Clearance</w:t>
      </w:r>
    </w:p>
    <w:p>
      <w:pPr>
        <w:spacing w:after="240"/>
        <w:jc w:val="center"/>
      </w:pPr>
      <w:r>
        <w:rPr>
          <w:rFonts w:ascii="Arial" w:cs="Arial" w:eastAsia="Arial" w:hAnsi="Arial"/>
          <w:color w:val="777777"/>
          <w:sz w:val="20"/>
          <w:szCs w:val="20"/>
        </w:rPr>
        <w:t xml:space="preserve">Project 5  |  Logistics / Supply Chain  |  Medium Company (50–200 employees)  |  Germany</w:t>
      </w:r>
    </w:p>
    <w:p>
      <w:pPr>
        <w:spacing w:after="160"/>
      </w:pPr>
      <w:r>
        <w:t xml:space="preserve"/>
      </w:r>
    </w:p>
    <w:p>
      <w:pPr>
        <w:pStyle w:val="Heading1"/>
      </w:pPr>
      <w:r>
        <w:rPr>
          <w:rFonts w:ascii="Arial" w:cs="Arial" w:eastAsia="Arial" w:hAnsi="Arial"/>
          <w:b/>
          <w:bCs/>
          <w:color w:val="1A3A5C"/>
          <w:sz w:val="30"/>
          <w:szCs w:val="30"/>
        </w:rPr>
        <w:t xml:space="preserve">1. Upfront Development Costs</w:t>
      </w:r>
    </w:p>
    <w:p>
      <w:pPr>
        <w:spacing w:after="120"/>
      </w:pPr>
      <w:r>
        <w:rPr>
          <w:rFonts w:ascii="Arial" w:cs="Arial" w:eastAsia="Arial" w:hAnsi="Arial"/>
          <w:sz w:val="22"/>
          <w:szCs w:val="22"/>
        </w:rPr>
        <w:t xml:space="preserve">The implementation is structured as four two-week phases, each with a clear deliverable. This phased approach allows Chleo to review progress at each milestone and adjust scope if needed. All cost estimates assume a mid-level AI consultant rate of €500–€1,000 per week in Germany.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 Estimate</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Phase 1 — Setup &amp; Dataset</w:t>
            </w:r>
          </w:p>
        </w:tc>
        <w:tc>
          <w:tcPr>
            <w:tcW w:type="dxa" w:w="1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Weeks 1–2</w:t>
            </w:r>
          </w:p>
        </w:tc>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Environment, data pipeline, sector research</w:t>
            </w:r>
          </w:p>
        </w:tc>
        <w:tc>
          <w:tcPr>
            <w:tcW w:type="dxa" w:w="27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€1,000 – €2,000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AI Agent (DG + Customs)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agent with compliance tools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 €2,500</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Phase 3 — Dashboard + n8n</w:t>
            </w:r>
          </w:p>
        </w:tc>
        <w:tc>
          <w:tcPr>
            <w:tcW w:type="dxa" w:w="1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Weeks 5–6</w:t>
            </w:r>
          </w:p>
        </w:tc>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Tableau dashboards, workflow automation</w:t>
            </w:r>
          </w:p>
        </w:tc>
        <w:tc>
          <w:tcPr>
            <w:tcW w:type="dxa" w:w="27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€1,000 – €2,000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Monitoring + 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setup, LLM-as-judge evaluation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 €1,500</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TOTAL UPFRONT</w:t>
            </w:r>
          </w:p>
        </w:tc>
        <w:tc>
          <w:tcPr>
            <w:tcW w:type="dxa" w:w="1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8 weeks</w:t>
            </w:r>
          </w:p>
        </w:tc>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Full production-ready system</w:t>
            </w:r>
          </w:p>
        </w:tc>
        <w:tc>
          <w:tcPr>
            <w:tcW w:type="dxa" w:w="27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€4,300 – €8,000</w:t>
            </w:r>
          </w:p>
        </w:tc>
      </w:tr>
    </w:tbl>
    <w:p>
      <w:pPr>
        <w:spacing w:after="160"/>
      </w:pPr>
      <w:r>
        <w:t xml:space="preserve"/>
      </w:r>
    </w:p>
    <w:p>
      <w:pPr>
        <w:pStyle w:val="Heading1"/>
      </w:pPr>
      <w:r>
        <w:rPr>
          <w:rFonts w:ascii="Arial" w:cs="Arial" w:eastAsia="Arial" w:hAnsi="Arial"/>
          <w:b/>
          <w:bCs/>
          <w:color w:val="1A3A5C"/>
          <w:sz w:val="30"/>
          <w:szCs w:val="30"/>
        </w:rPr>
        <w:t xml:space="preserve">2. Monthly Operating Costs</w:t>
      </w:r>
    </w:p>
    <w:p>
      <w:pPr>
        <w:spacing w:after="120"/>
      </w:pPr>
      <w:r>
        <w:rPr>
          <w:rFonts w:ascii="Arial" w:cs="Arial" w:eastAsia="Arial" w:hAnsi="Arial"/>
          <w:sz w:val="22"/>
          <w:szCs w:val="22"/>
        </w:rPr>
        <w:t xml:space="preserve">After the initial build, ongoing costs are driven primarily by API usage and cloud platform subscriptions. The total monthly cost is deliberately kept low to ensure the solution remains viable for a medium-sized company budget.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0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OpenAI API</w:t>
            </w:r>
          </w:p>
        </w:tc>
        <w:tc>
          <w:tcPr>
            <w:tcW w:type="dxa" w:w="42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LLM calls for document analysis + evaluation runs</w:t>
            </w:r>
          </w:p>
        </w:tc>
        <w:tc>
          <w:tcPr>
            <w:tcW w:type="dxa" w:w="3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€50 – €150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monitoring — EU endpoint (GDPR compliant)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€50</w:t>
            </w:r>
          </w:p>
        </w:tc>
      </w:tr>
      <w:tr>
        <w:tc>
          <w:tcPr>
            <w:tcW w:type="dxa" w:w="20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n8n Cloud</w:t>
            </w:r>
          </w:p>
        </w:tc>
        <w:tc>
          <w:tcPr>
            <w:tcW w:type="dxa" w:w="42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Workflow automation — daily midnight runs</w:t>
            </w:r>
          </w:p>
        </w:tc>
        <w:tc>
          <w:tcPr>
            <w:tcW w:type="dxa" w:w="3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€20 –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Cloud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dashboards — overview + customs clearance 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 €150</w:t>
            </w:r>
          </w:p>
        </w:tc>
      </w:tr>
      <w:tr>
        <w:tc>
          <w:tcPr>
            <w:tcW w:type="dxa" w:w="20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Cloud storage</w:t>
            </w:r>
          </w:p>
        </w:tc>
        <w:tc>
          <w:tcPr>
            <w:tcW w:type="dxa" w:w="42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Document storage — AWS S3 EU or Azure Blob</w:t>
            </w:r>
          </w:p>
        </w:tc>
        <w:tc>
          <w:tcPr>
            <w:tcW w:type="dxa" w:w="3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€20 –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MONTHLY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 €450</w:t>
            </w:r>
          </w:p>
        </w:tc>
      </w:tr>
    </w:tbl>
    <w:p>
      <w:pPr>
        <w:spacing w:after="160"/>
      </w:pPr>
      <w:r>
        <w:t xml:space="preserve"/>
      </w:r>
    </w:p>
    <w:p>
      <w:pPr>
        <w:pStyle w:val="Heading1"/>
      </w:pPr>
      <w:r>
        <w:rPr>
          <w:rFonts w:ascii="Arial" w:cs="Arial" w:eastAsia="Arial" w:hAnsi="Arial"/>
          <w:b/>
          <w:bCs/>
          <w:color w:val="1A3A5C"/>
          <w:sz w:val="30"/>
          <w:szCs w:val="30"/>
        </w:rPr>
        <w:t xml:space="preserve">3. ROI Analysis</w:t>
      </w:r>
    </w:p>
    <w:p>
      <w:pPr>
        <w:spacing w:after="120"/>
      </w:pPr>
      <w:r>
        <w:rPr>
          <w:rFonts w:ascii="Arial" w:cs="Arial" w:eastAsia="Arial" w:hAnsi="Arial"/>
          <w:sz w:val="22"/>
          <w:szCs w:val="22"/>
        </w:rPr>
        <w:t xml:space="preserve">The return on investment is driven by three factors: staff time savings, error rate reduction, and elimination of customs holds. The table below compares the current manual process against the AI-automated process based on our 500-document dataset analysis.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Without AI</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With AI</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Saving</w:t>
            </w:r>
          </w:p>
        </w:tc>
      </w:tr>
      <w:tr>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Processing time per document</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9–12 minutes</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44 seconds</w:t>
            </w:r>
          </w:p>
        </w:tc>
        <w:tc>
          <w:tcPr>
            <w:tcW w:type="dxa" w:w="33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93% time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Error/non-compliance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 fewer errors</w:t>
            </w:r>
          </w:p>
        </w:tc>
      </w:tr>
      <w:tr>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Staff time per day (500 docs)</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83+ hours</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~6 hours</w:t>
            </w:r>
          </w:p>
        </w:tc>
        <w:tc>
          <w:tcPr>
            <w:tcW w:type="dxa" w:w="33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77 hours/day freed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Customs holds per week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reduction</w:t>
            </w:r>
          </w:p>
        </w:tc>
      </w:tr>
      <w:tr>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ADR fine risk</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€50,000+/violation</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Near zero</w:t>
            </w:r>
          </w:p>
        </w:tc>
        <w:tc>
          <w:tcPr>
            <w:tcW w:type="dxa" w:w="33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Risk fully mitigated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cost savings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€80,000 – €120,000</w:t>
            </w:r>
          </w:p>
        </w:tc>
      </w:tr>
    </w:tbl>
    <w:p>
      <w:pPr>
        <w:spacing w:after="160"/>
      </w:pPr>
      <w:r>
        <w:t xml:space="preserve"/>
      </w:r>
    </w:p>
    <w:p>
      <w:pPr>
        <w:spacing w:after="120"/>
      </w:pPr>
      <w:r>
        <w:rPr>
          <w:rFonts w:ascii="Arial" w:cs="Arial" w:eastAsia="Arial" w:hAnsi="Arial"/>
          <w:b w:val="false"/>
          <w:bCs w:val="false"/>
          <w:sz w:val="22"/>
          <w:szCs w:val="22"/>
        </w:rPr>
        <w:t xml:space="preserve">ROI payback period: With a maximum upfront cost of €8,000 and estimated monthly savings of €6,500+, the full investment is recovered in approximately 1.2 months. Even using a conservative annual savings estimate of €80,000, the payback period is well under 6 months.</w:t>
      </w:r>
    </w:p>
    <w:p>
      <w:pPr>
        <w:spacing w:after="160"/>
      </w:pPr>
      <w:r>
        <w:t xml:space="preserve"/>
      </w:r>
    </w:p>
    <w:p>
      <w:pPr>
        <w:pStyle w:val="Heading1"/>
      </w:pPr>
      <w:r>
        <w:rPr>
          <w:rFonts w:ascii="Arial" w:cs="Arial" w:eastAsia="Arial" w:hAnsi="Arial"/>
          <w:b/>
          <w:bCs/>
          <w:color w:val="1A3A5C"/>
          <w:sz w:val="30"/>
          <w:szCs w:val="30"/>
        </w:rPr>
        <w:t xml:space="preserve">4. AI Evaluation Cost</w:t>
      </w:r>
    </w:p>
    <w:p>
      <w:pPr>
        <w:spacing w:after="120"/>
      </w:pPr>
      <w:r>
        <w:rPr>
          <w:rFonts w:ascii="Arial" w:cs="Arial" w:eastAsia="Arial" w:hAnsi="Arial"/>
          <w:sz w:val="22"/>
          <w:szCs w:val="22"/>
        </w:rPr>
        <w:t xml:space="preserve">The LLM-as-judge evaluation (evaluation.py) adds a quality assurance layer to the system at virtually no cost. Running evaluation.py takes under 2 minutes and costs less than €0.05 per full evaluation run, making it practical to run after every major dataset update or system change.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Judge LLM API calls</w:t>
            </w:r>
          </w:p>
        </w:tc>
        <w:tc>
          <w:tcPr>
            <w:tcW w:type="dxa" w:w="3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7 insights × GPT-3.5-Turbo evaluation</w:t>
            </w:r>
          </w:p>
        </w:tc>
        <w:tc>
          <w:tcPr>
            <w:tcW w:type="dxa" w:w="29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~€0.02 per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evaluation dataset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DG-Customs-Evaluation-Dataset (7 examples)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evaluation_report.md</w:t>
            </w:r>
          </w:p>
        </w:tc>
        <w:tc>
          <w:tcPr>
            <w:tcW w:type="dxa" w:w="3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Auto-generated markdown report</w:t>
            </w:r>
          </w:p>
        </w:tc>
        <w:tc>
          <w:tcPr>
            <w:tcW w:type="dxa" w:w="29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EVALUATION COST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complete evaluation run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€0.05</w:t>
            </w:r>
          </w:p>
        </w:tc>
      </w:tr>
    </w:tbl>
    <w:p>
      <w:pPr>
        <w:spacing w:after="160"/>
      </w:pPr>
      <w:r>
        <w:t xml:space="preserve"/>
      </w:r>
    </w:p>
    <w:p>
      <w:pPr>
        <w:pStyle w:val="Heading1"/>
      </w:pPr>
      <w:r>
        <w:rPr>
          <w:rFonts w:ascii="Arial" w:cs="Arial" w:eastAsia="Arial" w:hAnsi="Arial"/>
          <w:b/>
          <w:bCs/>
          <w:color w:val="1A3A5C"/>
          <w:sz w:val="30"/>
          <w:szCs w:val="30"/>
        </w:rPr>
        <w:t xml:space="preserve">5. Implementation Timeline</w:t>
      </w:r>
    </w:p>
    <w:p>
      <w:pPr>
        <w:spacing w:after="120"/>
      </w:pPr>
      <w:r>
        <w:rPr>
          <w:rFonts w:ascii="Arial" w:cs="Arial" w:eastAsia="Arial" w:hAnsi="Arial"/>
          <w:sz w:val="22"/>
          <w:szCs w:val="22"/>
        </w:rPr>
        <w:t xml:space="preserve">The 8-week timeline is designed for a medium-sized company with limited internal IT resources. Each phase builds on the previous one, with a working demo available from the end of Phase 2 onwards. The final week is dedicated to documentation, testing, and GitHub submission.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2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Environment setup, dataset generation, sector research</w:t>
            </w:r>
          </w:p>
        </w:tc>
        <w:tc>
          <w:tcPr>
            <w:tcW w:type="dxa" w:w="43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shipments.csv · project5_research_final.docx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agent — DG + customs compliance tools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langchain_agent.py · agent.py</w:t>
            </w:r>
          </w:p>
        </w:tc>
      </w:tr>
      <w:tr>
        <w:tc>
          <w:tcPr>
            <w:tcW w:type="dxa" w:w="12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5–6</w:t>
            </w:r>
          </w:p>
        </w:tc>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Tableau dashboards + n8n workflow + main.py orchestrator</w:t>
            </w:r>
          </w:p>
        </w:tc>
        <w:tc>
          <w:tcPr>
            <w:tcW w:type="dxa" w:w="43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2 dashboards · workflow published · main.py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monitoring + LLM-as-judge 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evaluation.py · evaluation_report.md</w:t>
            </w:r>
          </w:p>
        </w:tc>
      </w:tr>
      <w:tr>
        <w:tc>
          <w:tcPr>
            <w:tcW w:type="dxa" w:w="12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Final</w:t>
            </w:r>
          </w:p>
        </w:tc>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Documentation + GitHub push + presentation</w:t>
            </w:r>
          </w:p>
        </w:tc>
        <w:tc>
          <w:tcPr>
            <w:tcW w:type="dxa" w:w="43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All files committed · README.md · presentation.pptx</w:t>
            </w:r>
          </w:p>
        </w:tc>
      </w:tr>
    </w:tbl>
    <w:p>
      <w:pPr>
        <w:spacing w:after="160"/>
      </w:pPr>
      <w:r>
        <w:t xml:space="preserve"/>
      </w:r>
    </w:p>
    <w:p>
      <w:pPr>
        <w:spacing w:before="400"/>
        <w:jc w:val="center"/>
      </w:pPr>
      <w:r>
        <w:rPr>
          <w:rFonts w:ascii="Arial" w:cs="Arial" w:eastAsia="Arial" w:hAnsi="Arial"/>
          <w:i/>
          <w:iCs/>
          <w:color w:val="999999"/>
          <w:sz w:val="18"/>
          <w:szCs w:val="18"/>
        </w:rPr>
        <w:t xml:space="preserve">Prepared by: Kinda Faisal  |  AI Consulting Bootcamp — Week 7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A5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A9E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2026-03-22T23:45:29.389Z</dcterms:created>
  <dcterms:modified xsi:type="dcterms:W3CDTF">2026-03-22T23:45:29.389Z</dcterms:modified>
</cp:coreProperties>
</file>

<file path=docProps/custom.xml><?xml version="1.0" encoding="utf-8"?>
<Properties xmlns="http://schemas.openxmlformats.org/officeDocument/2006/custom-properties" xmlns:vt="http://schemas.openxmlformats.org/officeDocument/2006/docPropsVTypes"/>
</file>