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A3A5C"/>
          <w:sz w:val="40"/>
          <w:szCs w:val="40"/>
        </w:rPr>
        <w:t xml:space="preserve">Project 5 — Sector Research &amp; Use Case Proposal</w:t>
      </w:r>
    </w:p>
    <w:p>
      <w:pPr>
        <w:spacing w:after="160"/>
        <w:jc w:val="center"/>
      </w:pPr>
      <w:r>
        <w:rPr>
          <w:rFonts w:ascii="Arial" w:cs="Arial" w:eastAsia="Arial" w:hAnsi="Arial"/>
          <w:i/>
          <w:iCs/>
          <w:color w:val="1A9E9B"/>
          <w:sz w:val="26"/>
          <w:szCs w:val="26"/>
        </w:rPr>
        <w:t xml:space="preserve">Smart Document Automation: Dangerous Goods &amp; Customs Clearance</w:t>
      </w:r>
    </w:p>
    <w:p>
      <w:pPr>
        <w:spacing w:after="240"/>
        <w:jc w:val="center"/>
      </w:pPr>
      <w:r>
        <w:rPr>
          <w:rFonts w:ascii="Arial" w:cs="Arial" w:eastAsia="Arial" w:hAnsi="Arial"/>
          <w:color w:val="777777"/>
          <w:sz w:val="20"/>
          <w:szCs w:val="20"/>
        </w:rPr>
        <w:t xml:space="preserve">Sector: Logistics / Supply Chain  |  Medium (50–200 employees)  |  Germany  |  Week 7</w:t>
      </w:r>
    </w:p>
    <w:p>
      <w:pPr>
        <w:spacing w:after="160"/>
      </w:pPr>
      <w:r>
        <w:t xml:space="preserve"/>
      </w:r>
    </w:p>
    <w:p>
      <w:pPr>
        <w:pStyle w:val="Heading1"/>
      </w:pPr>
      <w:r>
        <w:rPr>
          <w:rFonts w:ascii="Arial" w:cs="Arial" w:eastAsia="Arial" w:hAnsi="Arial"/>
          <w:b/>
          <w:bCs/>
          <w:color w:val="1A3A5C"/>
          <w:sz w:val="30"/>
          <w:szCs w:val="30"/>
        </w:rPr>
        <w:t xml:space="preserve">1. Company Profile &amp; Problem Statement</w:t>
      </w:r>
    </w:p>
    <w:p>
      <w:pPr>
        <w:spacing w:after="120"/>
      </w:pPr>
      <w:r>
        <w:rPr>
          <w:rFonts w:ascii="Arial" w:cs="Arial" w:eastAsia="Arial" w:hAnsi="Arial"/>
          <w:sz w:val="22"/>
          <w:szCs w:val="22"/>
        </w:rPr>
        <w:t xml:space="preserve">Chleo is the CEO of a medium-sized German freight forwarder with 50–200 employees handling 50–300 international shipments per day. The company processes two types of compliance-critical documents daily — Dangerous Goods (DG) declarations and Customs Clearance paperwork. Currently, staff spend 9–12 minutes manually processing each document, leading to errors, customs holds, and the risk of ADR fines up to €50,000 per violation. The core challenge is that Chleo fears AI is not transparent, which is the central concern this project addresses.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Company type</w:t>
            </w:r>
          </w:p>
        </w:tc>
        <w:tc>
          <w:tcPr>
            <w:tcW w:type="dxa" w:w="67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International freight forwarder — Germany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50–200 employees</w:t>
            </w:r>
          </w:p>
        </w:tc>
      </w:tr>
      <w:tr>
        <w:tc>
          <w:tcPr>
            <w:tcW w:type="dxa" w:w="2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Daily shipments</w:t>
            </w:r>
          </w:p>
        </w:tc>
        <w:tc>
          <w:tcPr>
            <w:tcW w:type="dxa" w:w="67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50–300 international per 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routes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DE→TR · DE→GB · DE→US · DE→CN · DE→CH · DE→FR</w:t>
            </w:r>
          </w:p>
        </w:tc>
      </w:tr>
      <w:tr>
        <w:tc>
          <w:tcPr>
            <w:tcW w:type="dxa" w:w="2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Core pain point</w:t>
            </w:r>
          </w:p>
        </w:tc>
        <w:tc>
          <w:tcPr>
            <w:tcW w:type="dxa" w:w="67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Manual compliance processing — 9–12 min/doc vs 44s with AI</w:t>
            </w:r>
          </w:p>
        </w:tc>
      </w:tr>
    </w:tbl>
    <w:p>
      <w:pPr>
        <w:spacing w:after="160"/>
      </w:pPr>
      <w:r>
        <w:t xml:space="preserve"/>
      </w:r>
    </w:p>
    <w:p>
      <w:pPr>
        <w:pStyle w:val="Heading1"/>
      </w:pPr>
      <w:r>
        <w:rPr>
          <w:rFonts w:ascii="Arial" w:cs="Arial" w:eastAsia="Arial" w:hAnsi="Arial"/>
          <w:b/>
          <w:bCs/>
          <w:color w:val="1A3A5C"/>
          <w:sz w:val="30"/>
          <w:szCs w:val="30"/>
        </w:rPr>
        <w:t xml:space="preserve">2. Use Case Selected — DG &amp; Customs Compliance Automation</w:t>
      </w:r>
    </w:p>
    <w:p>
      <w:pPr>
        <w:spacing w:after="120"/>
      </w:pPr>
      <w:r>
        <w:rPr>
          <w:rFonts w:ascii="Arial" w:cs="Arial" w:eastAsia="Arial" w:hAnsi="Arial"/>
          <w:sz w:val="22"/>
          <w:szCs w:val="22"/>
        </w:rPr>
        <w:t xml:space="preserve">The company faces compliance challenges across TWO separate document workstreams that must both be automated:</w:t>
      </w:r>
    </w:p>
    <w:p>
      <w:pPr>
        <w:spacing w:after="160"/>
      </w:pPr>
      <w:r>
        <w:t xml:space="preserve"/>
      </w:r>
    </w:p>
    <w:p>
      <w:pPr>
        <w:spacing w:after="120"/>
      </w:pPr>
      <w:r>
        <w:rPr>
          <w:rFonts w:ascii="Arial" w:cs="Arial" w:eastAsia="Arial" w:hAnsi="Arial"/>
          <w:b w:val="false"/>
          <w:bCs w:val="false"/>
          <w:sz w:val="22"/>
          <w:szCs w:val="22"/>
        </w:rPr>
        <w:t xml:space="preserve">Workstream 1 — Dangerous Goods (DG) Declarations: Every shipment containing chemicals, gases, flammable liquids, or any hazardous material requires a DG declaration filed under international regulations. A single error — wrong UN number, missing DG class, incorrect tunnel restriction code — can result in fines up to €50,000 under ADR, shipment rejection at the border, or a serious safety incident. The regulations change frequently: ADR updates every 2 years, IATA DGR annually.</w:t>
      </w:r>
    </w:p>
    <w:p>
      <w:pPr>
        <w:spacing w:after="160"/>
      </w:pPr>
      <w:r>
        <w:t xml:space="preserve"/>
      </w:r>
    </w:p>
    <w:p>
      <w:pPr>
        <w:spacing w:after="120"/>
      </w:pPr>
      <w:r>
        <w:rPr>
          <w:rFonts w:ascii="Arial" w:cs="Arial" w:eastAsia="Arial" w:hAnsi="Arial"/>
          <w:b w:val="false"/>
          <w:bCs w:val="false"/>
          <w:sz w:val="22"/>
          <w:szCs w:val="22"/>
        </w:rPr>
        <w:t xml:space="preserve">Workstream 2 — Customs Clearance Documents: Every shipment leaving Germany to a non-EU country (or to special cases like the UK and Turkey) requires customs paperwork. A customs export declaration must be filed with the correct HS code (8-digit), EORI number, and Incoterms. CMR waybills must accompany all road shipments. EUR.1 certificates are required for routes like DE→TR to claim EU-Turkey customs union preferential tariffs. Errors here cause 1–2 day customs holds at the border, directly impacting customer satisfaction and carrier relationships.</w:t>
      </w:r>
    </w:p>
    <w:p>
      <w:pPr>
        <w:spacing w:after="160"/>
      </w:pPr>
      <w:r>
        <w:t xml:space="preserve"/>
      </w:r>
    </w:p>
    <w:p>
      <w:pPr>
        <w:spacing w:after="120"/>
      </w:pPr>
      <w:r>
        <w:rPr>
          <w:rFonts w:ascii="Arial" w:cs="Arial" w:eastAsia="Arial" w:hAnsi="Arial"/>
          <w:sz w:val="22"/>
          <w:szCs w:val="22"/>
        </w:rPr>
        <w:t xml:space="preserve">After evaluating four potential use cases, Use Case 4 — combined DG and Customs Compliance Automation — was selected because it covers both workstreams simultaneously, addresses the highest legal and financial risk, and directly demonstrates AI transparency to Chleo through LangSmith tracing.</w:t>
      </w:r>
    </w:p>
    <w:p>
      <w:pPr>
        <w:spacing w:after="160"/>
      </w:pPr>
      <w:r>
        <w:t xml:space="preserve"/>
      </w:r>
    </w:p>
    <w:p>
      <w:pPr>
        <w:pStyle w:val="Heading2"/>
      </w:pPr>
      <w:r>
        <w:rPr>
          <w:rFonts w:ascii="Arial" w:cs="Arial" w:eastAsia="Arial" w:hAnsi="Arial"/>
          <w:b/>
          <w:bCs/>
          <w:color w:val="1A9E9B"/>
          <w:sz w:val="24"/>
          <w:szCs w:val="24"/>
        </w:rPr>
        <w:t xml:space="preserve">Document Types Covered</w:t>
      </w:r>
    </w:p>
    <w:p>
      <w:pPr>
        <w:spacing w:after="120"/>
      </w:pPr>
      <w:r>
        <w:rPr>
          <w:rFonts w:ascii="Arial" w:cs="Arial" w:eastAsia="Arial" w:hAnsi="Arial"/>
          <w:sz w:val="22"/>
          <w:szCs w:val="22"/>
        </w:rPr>
        <w:t xml:space="preserve">The system automates compliance checks for all seven document types across both workstreams: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600"/>
        <w:gridCol w:w="4160"/>
      </w:tblGrid>
      <w:tr>
        <w:tc>
          <w:tcPr>
            <w:tcW w:type="dxa" w:w="1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AI Compliance Check</w:t>
            </w:r>
          </w:p>
        </w:tc>
      </w:tr>
      <w:tr>
        <w:tc>
          <w:tcPr>
            <w:tcW w:type="dxa" w:w="19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DG Declaration (ADR)</w:t>
            </w:r>
          </w:p>
        </w:tc>
        <w:tc>
          <w:tcPr>
            <w:tcW w:type="dxa" w:w="17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Dangerous Goods</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ADR 2023 — road</w:t>
            </w:r>
          </w:p>
        </w:tc>
        <w:tc>
          <w:tcPr>
            <w:tcW w:type="dxa" w:w="4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UN number, DG class, tunnel restriction code, 24h emergency contact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 Declaration (IMDG)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Dangerous Goods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IMDG — sea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Stowage category, marine pollutant status, segregation group</w:t>
            </w:r>
          </w:p>
        </w:tc>
      </w:tr>
      <w:tr>
        <w:tc>
          <w:tcPr>
            <w:tcW w:type="dxa" w:w="19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DG Declaration (IATA)</w:t>
            </w:r>
          </w:p>
        </w:tc>
        <w:tc>
          <w:tcPr>
            <w:tcW w:type="dxa" w:w="17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Dangerous Goods</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IATA DGR — air</w:t>
            </w:r>
          </w:p>
        </w:tc>
        <w:tc>
          <w:tcPr>
            <w:tcW w:type="dxa" w:w="4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Packing instruction, net quantity per package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Customs Export Declaration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Customs Clearance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UCC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EORI number, HS code (8-digit), Incoterms, country of origin</w:t>
            </w:r>
          </w:p>
        </w:tc>
      </w:tr>
      <w:tr>
        <w:tc>
          <w:tcPr>
            <w:tcW w:type="dxa" w:w="19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CMR Waybill</w:t>
            </w:r>
          </w:p>
        </w:tc>
        <w:tc>
          <w:tcPr>
            <w:tcW w:type="dxa" w:w="17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Customs Clearance</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CMR Convention</w:t>
            </w:r>
          </w:p>
        </w:tc>
        <w:tc>
          <w:tcPr>
            <w:tcW w:type="dxa" w:w="4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Completeness check, post-Brexit UK reference, TIR Carnet for DE→TR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EUR.1 Certificate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Customs Clearance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trade agreements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eligibility check, goods origin, destination country rules</w:t>
            </w:r>
          </w:p>
        </w:tc>
      </w:tr>
      <w:tr>
        <w:tc>
          <w:tcPr>
            <w:tcW w:type="dxa" w:w="19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Commercial Invoice</w:t>
            </w:r>
          </w:p>
        </w:tc>
        <w:tc>
          <w:tcPr>
            <w:tcW w:type="dxa" w:w="17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Customs Clearance</w:t>
            </w:r>
          </w:p>
        </w:tc>
        <w:tc>
          <w:tcPr>
            <w:tcW w:type="dxa" w:w="16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Country-specific</w:t>
            </w:r>
          </w:p>
        </w:tc>
        <w:tc>
          <w:tcPr>
            <w:tcW w:type="dxa" w:w="41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HS code validity and country of origin for non-EU destinations</w:t>
            </w:r>
          </w:p>
        </w:tc>
      </w:tr>
    </w:tbl>
    <w:p>
      <w:pPr>
        <w:spacing w:after="160"/>
      </w:pPr>
      <w:r>
        <w:t xml:space="preserve"/>
      </w:r>
    </w:p>
    <w:p>
      <w:pPr>
        <w:pStyle w:val="Heading1"/>
      </w:pPr>
      <w:r>
        <w:rPr>
          <w:rFonts w:ascii="Arial" w:cs="Arial" w:eastAsia="Arial" w:hAnsi="Arial"/>
          <w:b/>
          <w:bCs/>
          <w:color w:val="1A3A5C"/>
          <w:sz w:val="30"/>
          <w:szCs w:val="30"/>
        </w:rPr>
        <w:t xml:space="preserve">3. Opportunities &amp; Risks</w:t>
      </w:r>
    </w:p>
    <w:p>
      <w:pPr>
        <w:spacing w:after="120"/>
      </w:pPr>
      <w:r>
        <w:rPr>
          <w:rFonts w:ascii="Arial" w:cs="Arial" w:eastAsia="Arial" w:hAnsi="Arial"/>
          <w:sz w:val="22"/>
          <w:szCs w:val="22"/>
        </w:rPr>
        <w:t xml:space="preserve">The logistics sector presents significant AI automation opportunities, particularly for mid-market German freight companies that currently have no affordable combined DG and customs compliance solution. The table below maps the key opportunities identified during sector research, along with the associated risks and how each is mitigated in our solution.</w:t>
      </w:r>
    </w:p>
    <w:p>
      <w:pPr>
        <w:spacing w:after="160"/>
      </w:pPr>
      <w:r>
        <w:t xml:space="preserve"/>
      </w:r>
    </w:p>
    <w:p>
      <w:pPr>
        <w:pStyle w:val="Heading2"/>
      </w:pPr>
      <w:r>
        <w:rPr>
          <w:rFonts w:ascii="Arial" w:cs="Arial" w:eastAsia="Arial" w:hAnsi="Arial"/>
          <w:b/>
          <w:bCs/>
          <w:color w:val="1A9E9B"/>
          <w:sz w:val="24"/>
          <w:szCs w:val="24"/>
        </w:rPr>
        <w:t xml:space="preserve">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5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Automate DG declarations (ADR/IMDG/IATA)</w:t>
            </w:r>
          </w:p>
        </w:tc>
        <w:tc>
          <w:tcPr>
            <w:tcW w:type="dxa" w:w="5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Eliminates risk of €50,000+ ADR fines per violation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 customs document validation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1–2 day customs holds from HS code errors and missing EUR.1 certificates</w:t>
            </w:r>
          </w:p>
        </w:tc>
      </w:tr>
      <w:tr>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LangSmith full AI transparency</w:t>
            </w:r>
          </w:p>
        </w:tc>
        <w:tc>
          <w:tcPr>
            <w:tcW w:type="dxa" w:w="5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Directly addresses Chleo concern — every AI decision is fully traceable and explainable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midnight automation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wakes up with both DG and customs compliance issues already identified and emailed</w:t>
            </w:r>
          </w:p>
        </w:tc>
      </w:tr>
      <w:tr>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LLM-as-judge evaluation</w:t>
            </w:r>
          </w:p>
        </w:tc>
        <w:tc>
          <w:tcPr>
            <w:tcW w:type="dxa" w:w="5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Independently verifies AI insight quality — achieved 8.7/10 average score across 7 insights</w:t>
            </w:r>
          </w:p>
        </w:tc>
      </w:tr>
    </w:tbl>
    <w:p>
      <w:pPr>
        <w:spacing w:after="160"/>
      </w:pPr>
      <w:r>
        <w:t xml:space="preserve"/>
      </w:r>
    </w:p>
    <w:p>
      <w:pPr>
        <w:pStyle w:val="Heading2"/>
      </w:pPr>
      <w:r>
        <w:rPr>
          <w:rFonts w:ascii="Arial" w:cs="Arial" w:eastAsia="Arial" w:hAnsi="Arial"/>
          <w:b/>
          <w:bCs/>
          <w:color w:val="1A9E9B"/>
          <w:sz w:val="24"/>
          <w:szCs w:val="24"/>
        </w:rPr>
        <w:t xml:space="preserve">Risks</w:t>
      </w:r>
    </w:p>
    <w:p>
      <w:pPr>
        <w:spacing w:after="120"/>
      </w:pPr>
      <w:r>
        <w:rPr>
          <w:rFonts w:ascii="Arial" w:cs="Arial" w:eastAsia="Arial" w:hAnsi="Arial"/>
          <w:sz w:val="22"/>
          <w:szCs w:val="22"/>
        </w:rPr>
        <w:t xml:space="preserve">Every AI system carries risks. The following risks were identified and mitigation strategies built into the architecture: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AI misreads a DG declaration</w:t>
            </w:r>
          </w:p>
        </w:tc>
        <w:tc>
          <w:tcPr>
            <w:tcW w:type="dxa" w:w="5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Human-in-the-loop: all flagged documents require manual review before submission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misses a customs requirement by route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Route-specific rules coded per destination (DE→TR EUR.1, DE→GB post-Brexit, DE→US HS code)</w:t>
            </w:r>
          </w:p>
        </w:tc>
      </w:tr>
      <w:tr>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Regulation changes not reflected in AI</w:t>
            </w:r>
          </w:p>
        </w:tc>
        <w:tc>
          <w:tcPr>
            <w:tcW w:type="dxa" w:w="5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LangSmith monitoring alerts team + scheduled regulation dataset updates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 data compliance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EU-hosted LangSmith endpoint — all shipment data stays within Europe</w:t>
            </w:r>
          </w:p>
        </w:tc>
      </w:tr>
      <w:tr>
        <w:tc>
          <w:tcPr>
            <w:tcW w:type="dxa" w:w="38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Staff distrust of AI outputs</w:t>
            </w:r>
          </w:p>
        </w:tc>
        <w:tc>
          <w:tcPr>
            <w:tcW w:type="dxa" w:w="5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Full audit trail in LangSmith — every decision explained with data-backed reasoning</w:t>
            </w:r>
          </w:p>
        </w:tc>
      </w:tr>
    </w:tbl>
    <w:p>
      <w:pPr>
        <w:spacing w:after="160"/>
      </w:pPr>
      <w:r>
        <w:t xml:space="preserve"/>
      </w:r>
    </w:p>
    <w:p>
      <w:pPr>
        <w:pStyle w:val="Heading1"/>
      </w:pPr>
      <w:r>
        <w:rPr>
          <w:rFonts w:ascii="Arial" w:cs="Arial" w:eastAsia="Arial" w:hAnsi="Arial"/>
          <w:b/>
          <w:bCs/>
          <w:color w:val="1A3A5C"/>
          <w:sz w:val="30"/>
          <w:szCs w:val="30"/>
        </w:rPr>
        <w:t xml:space="preserve">4. System Architecture</w:t>
      </w:r>
    </w:p>
    <w:p>
      <w:pPr>
        <w:spacing w:after="120"/>
      </w:pPr>
      <w:r>
        <w:rPr>
          <w:rFonts w:ascii="Arial" w:cs="Arial" w:eastAsia="Arial" w:hAnsi="Arial"/>
          <w:sz w:val="22"/>
          <w:szCs w:val="22"/>
        </w:rPr>
        <w:t xml:space="preserve">The solution connects six components that work together automatically. Running a single command — python main.py — triggers the entire pipeline: the AI agent analyzes both DG and customs documents, results are saved and logged to LangSmith, and n8n sends email alerts if compliance issues are found.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 / File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Dataset generation</w:t>
            </w:r>
          </w:p>
        </w:tc>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generate_dataset.py</w:t>
            </w:r>
          </w:p>
        </w:tc>
        <w:tc>
          <w:tcPr>
            <w:tcW w:type="dxa" w:w="4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Creates 500 synthetic shipment records — 7 doc types, 10 routes, both DG and customs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 + Customs AI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langchain_agent.py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ADR/IMDG/IATA and UCC/CMR/EUR.1/HS codes with dedicated tools per workstream</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AI monitoring &amp; transparency</w:t>
            </w:r>
          </w:p>
        </w:tc>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LangSmith (EU)</w:t>
            </w:r>
          </w:p>
        </w:tc>
        <w:tc>
          <w:tcPr>
            <w:tcW w:type="dxa" w:w="4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Traces every AI decision — addresses Chleo concern about AI transparency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cloud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Midnight schedule + webhook trigger → Gmail alert covering both DG and customs issues</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BI dashboard</w:t>
            </w:r>
          </w:p>
        </w:tc>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Tableau Cloud</w:t>
            </w:r>
          </w:p>
        </w:tc>
        <w:tc>
          <w:tcPr>
            <w:tcW w:type="dxa" w:w="4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Overview dashboard + dedicated customs clearance dashboard with route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LLM-as-judge evaluation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AI scores 7 business insights on quality — avg 8.7/10</w:t>
            </w:r>
          </w:p>
        </w:tc>
      </w:tr>
      <w:tr>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System orchestrator</w:t>
            </w:r>
          </w:p>
        </w:tc>
        <w:tc>
          <w:tcPr>
            <w:tcW w:type="dxa" w:w="2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main.py</w:t>
            </w:r>
          </w:p>
        </w:tc>
        <w:tc>
          <w:tcPr>
            <w:tcW w:type="dxa" w:w="45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One command connects and runs all 6 components above</w:t>
            </w:r>
          </w:p>
        </w:tc>
      </w:tr>
    </w:tbl>
    <w:p>
      <w:pPr>
        <w:spacing w:after="160"/>
      </w:pPr>
      <w:r>
        <w:t xml:space="preserve"/>
      </w:r>
    </w:p>
    <w:p>
      <w:pPr>
        <w:pStyle w:val="Heading1"/>
      </w:pPr>
      <w:r>
        <w:rPr>
          <w:rFonts w:ascii="Arial" w:cs="Arial" w:eastAsia="Arial" w:hAnsi="Arial"/>
          <w:b/>
          <w:bCs/>
          <w:color w:val="1A3A5C"/>
          <w:sz w:val="30"/>
          <w:szCs w:val="30"/>
        </w:rPr>
        <w:t xml:space="preserve">5. AI Evaluation Results</w:t>
      </w:r>
    </w:p>
    <w:p>
      <w:pPr>
        <w:spacing w:after="120"/>
      </w:pPr>
      <w:r>
        <w:rPr>
          <w:rFonts w:ascii="Arial" w:cs="Arial" w:eastAsia="Arial" w:hAnsi="Arial"/>
          <w:sz w:val="22"/>
          <w:szCs w:val="22"/>
        </w:rPr>
        <w:t xml:space="preserve">To verify the quality of the AI-generated insights covering both DG and customs workstreams, a second language model (the judge) evaluated each insight on four criteria: Relevance, Accuracy, Actionability, and Clarity. This LLM-as-judge approach provides an objective, automated quality assessment without requiring human reviewers for every run.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0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Relevance</w:t>
            </w:r>
          </w:p>
        </w:tc>
        <w:tc>
          <w:tcPr>
            <w:tcW w:type="dxa" w:w="1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9.1/10</w:t>
            </w:r>
          </w:p>
        </w:tc>
        <w:tc>
          <w:tcPr>
            <w:tcW w:type="dxa" w:w="59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Insights directly address both DG and customs pain points for a German freight company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numbers are backed by real calculations from the 500-record dataset</w:t>
            </w:r>
          </w:p>
        </w:tc>
      </w:tr>
      <w:tr>
        <w:tc>
          <w:tcPr>
            <w:tcW w:type="dxa" w:w="20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Actionability</w:t>
            </w:r>
          </w:p>
        </w:tc>
        <w:tc>
          <w:tcPr>
            <w:tcW w:type="dxa" w:w="1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8.1/10</w:t>
            </w:r>
          </w:p>
        </w:tc>
        <w:tc>
          <w:tcPr>
            <w:tcW w:type="dxa" w:w="59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CEO Chleo can act on most insights immediately or within the project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language with minimal jargon — suitable for a non-technical CEO audience</w:t>
            </w:r>
          </w:p>
        </w:tc>
      </w:tr>
      <w:tr>
        <w:tc>
          <w:tcPr>
            <w:tcW w:type="dxa" w:w="20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Overall Average</w:t>
            </w:r>
          </w:p>
        </w:tc>
        <w:tc>
          <w:tcPr>
            <w:tcW w:type="dxa" w:w="140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8.7/10</w:t>
            </w:r>
          </w:p>
        </w:tc>
        <w:tc>
          <w:tcPr>
            <w:tcW w:type="dxa" w:w="5960"/>
            <w:tcBorders>
              <w:top w:val="single" w:color="CCCCCC" w:sz="1"/>
              <w:left w:val="single" w:color="CCCCCC" w:sz="1"/>
              <w:bottom w:val="single" w:color="CCCCCC" w:sz="1"/>
              <w:right w:val="single" w:color="CCCCCC" w:sz="1"/>
            </w:tcBorders>
            <w:shd w:fill="F0F9F8" w:val="clear"/>
            <w:tcMar>
              <w:top w:type="dxa" w:w="80"/>
              <w:left w:type="dxa" w:w="120"/>
              <w:bottom w:type="dxa" w:w="80"/>
              <w:right w:type="dxa" w:w="120"/>
            </w:tcMar>
          </w:tcPr>
          <w:p>
            <w:r>
              <w:rPr>
                <w:rFonts w:ascii="Arial" w:cs="Arial" w:eastAsia="Arial" w:hAnsi="Arial"/>
                <w:sz w:val="20"/>
                <w:szCs w:val="20"/>
              </w:rPr>
              <w:t xml:space="preserve">High quality overall — best: Error Rate insight (9.5/10), weakest: Confidence (8.0/10)</w:t>
            </w:r>
          </w:p>
        </w:tc>
      </w:tr>
    </w:tbl>
    <w:p>
      <w:pPr>
        <w:spacing w:after="160"/>
      </w:pPr>
      <w:r>
        <w:t xml:space="preserve"/>
      </w:r>
    </w:p>
    <w:p>
      <w:pPr>
        <w:spacing w:after="120"/>
      </w:pPr>
      <w:r>
        <w:rPr>
          <w:rFonts w:ascii="Arial" w:cs="Arial" w:eastAsia="Arial" w:hAnsi="Arial"/>
          <w:i/>
          <w:iCs/>
          <w:sz w:val="22"/>
          <w:szCs w:val="22"/>
        </w:rPr>
        <w:t xml:space="preserve">Note: A known limitation of LLM-as-judge is that the model may score its own outputs higher than human reviewers would. A human baseline evaluation is recommended for production deployment.</w:t>
      </w:r>
    </w:p>
    <w:p>
      <w:pPr>
        <w:spacing w:after="160"/>
      </w:pPr>
      <w:r>
        <w:t xml:space="preserve"/>
      </w:r>
    </w:p>
    <w:p>
      <w:pPr>
        <w:spacing w:before="400"/>
        <w:jc w:val="center"/>
      </w:pPr>
      <w:r>
        <w:rPr>
          <w:rFonts w:ascii="Arial" w:cs="Arial" w:eastAsia="Arial" w:hAnsi="Arial"/>
          <w:i/>
          <w:iCs/>
          <w:color w:val="999999"/>
          <w:sz w:val="18"/>
          <w:szCs w:val="18"/>
        </w:rPr>
        <w:t xml:space="preserve">Prepared by: Kinda Faisal  |  AI Consulting Bootcamp — Week 7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A5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A9E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2026-03-22T23:48:05.467Z</dcterms:created>
  <dcterms:modified xsi:type="dcterms:W3CDTF">2026-03-22T23:48:05.468Z</dcterms:modified>
</cp:coreProperties>
</file>

<file path=docProps/custom.xml><?xml version="1.0" encoding="utf-8"?>
<Properties xmlns="http://schemas.openxmlformats.org/officeDocument/2006/custom-properties" xmlns:vt="http://schemas.openxmlformats.org/officeDocument/2006/docPropsVTypes"/>
</file>