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CBAAD">
      <w:pPr>
        <w:spacing w:before="156" w:beforeLines="50" w:after="62" w:afterLines="20" w:line="500" w:lineRule="exact"/>
        <w:ind w:firstLine="1044" w:firstLineChars="200"/>
        <w:rPr>
          <w:rFonts w:eastAsia="楷体_GB2312"/>
          <w:b/>
          <w:bCs/>
          <w:sz w:val="52"/>
        </w:rPr>
      </w:pPr>
    </w:p>
    <w:p w14:paraId="53F25EE8">
      <w:pPr>
        <w:spacing w:after="62" w:afterLines="20" w:line="360" w:lineRule="auto"/>
        <w:ind w:firstLine="420" w:firstLineChars="200"/>
        <w:jc w:val="center"/>
        <w:rPr>
          <w:rFonts w:hint="eastAsia" w:ascii="宋体" w:hAnsi="宋体"/>
        </w:rPr>
      </w:pPr>
      <w:r>
        <w:rPr>
          <w:rFonts w:hint="eastAsia" w:ascii="宋体" w:hAnsi="宋体"/>
        </w:rPr>
        <w:drawing>
          <wp:inline distT="0" distB="0" distL="114300" distR="114300">
            <wp:extent cx="2040890" cy="474345"/>
            <wp:effectExtent l="0" t="0" r="16510" b="1905"/>
            <wp:docPr id="1" name="图片 1" descr="x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z"/>
                    <pic:cNvPicPr>
                      <a:picLocks noChangeAspect="1"/>
                    </pic:cNvPicPr>
                  </pic:nvPicPr>
                  <pic:blipFill>
                    <a:blip r:embed="rId6"/>
                    <a:stretch>
                      <a:fillRect/>
                    </a:stretch>
                  </pic:blipFill>
                  <pic:spPr>
                    <a:xfrm>
                      <a:off x="0" y="0"/>
                      <a:ext cx="2040890" cy="474345"/>
                    </a:xfrm>
                    <a:prstGeom prst="rect">
                      <a:avLst/>
                    </a:prstGeom>
                    <a:noFill/>
                    <a:ln>
                      <a:noFill/>
                    </a:ln>
                  </pic:spPr>
                </pic:pic>
              </a:graphicData>
            </a:graphic>
          </wp:inline>
        </w:drawing>
      </w:r>
    </w:p>
    <w:p w14:paraId="142FBEE1">
      <w:pPr>
        <w:pStyle w:val="2"/>
        <w:spacing w:line="360" w:lineRule="auto"/>
        <w:ind w:right="-632" w:rightChars="-301" w:firstLine="280" w:firstLineChars="39"/>
        <w:rPr>
          <w:rFonts w:ascii="黑体" w:eastAsia="黑体"/>
          <w:sz w:val="72"/>
        </w:rPr>
      </w:pPr>
      <w:r>
        <w:rPr>
          <w:rFonts w:hint="eastAsia" w:ascii="黑体" w:eastAsia="黑体"/>
          <w:sz w:val="72"/>
        </w:rPr>
        <w:t>毕业设计</w:t>
      </w:r>
      <w:r>
        <w:rPr>
          <w:rFonts w:ascii="黑体" w:eastAsia="黑体"/>
          <w:sz w:val="72"/>
        </w:rPr>
        <w:t>(</w:t>
      </w:r>
      <w:r>
        <w:rPr>
          <w:rFonts w:hint="eastAsia" w:ascii="黑体" w:eastAsia="黑体"/>
          <w:sz w:val="72"/>
        </w:rPr>
        <w:t>论文</w:t>
      </w:r>
      <w:r>
        <w:rPr>
          <w:rFonts w:ascii="黑体" w:eastAsia="黑体"/>
          <w:sz w:val="72"/>
        </w:rPr>
        <w:t>)</w:t>
      </w:r>
      <w:r>
        <w:rPr>
          <w:rFonts w:hint="eastAsia" w:ascii="黑体" w:eastAsia="黑体"/>
          <w:sz w:val="72"/>
        </w:rPr>
        <w:t>英文翻译</w:t>
      </w:r>
    </w:p>
    <w:p w14:paraId="06BA73FD">
      <w:pPr>
        <w:ind w:firstLine="600" w:firstLineChars="200"/>
        <w:jc w:val="center"/>
        <w:rPr>
          <w:sz w:val="30"/>
        </w:rPr>
      </w:pPr>
    </w:p>
    <w:p w14:paraId="3A0077DE">
      <w:pPr>
        <w:spacing w:line="720" w:lineRule="exact"/>
        <w:ind w:firstLine="643" w:firstLineChars="200"/>
        <w:rPr>
          <w:rFonts w:hint="eastAsia" w:ascii="宋体" w:hAnsi="宋体"/>
          <w:sz w:val="32"/>
        </w:rPr>
      </w:pPr>
      <w:r>
        <w:rPr>
          <w:rFonts w:hint="eastAsia" w:ascii="宋体" w:hAnsi="宋体"/>
          <w:b/>
          <w:bCs/>
          <w:sz w:val="32"/>
        </w:rPr>
        <w:t>学生姓名：</w:t>
      </w:r>
      <w:r>
        <w:rPr>
          <w:rFonts w:hint="eastAsia" w:ascii="宋体" w:hAnsi="宋体"/>
          <w:sz w:val="32"/>
          <w:u w:val="single"/>
        </w:rPr>
        <w:t xml:space="preserve">             余涛                      </w:t>
      </w:r>
    </w:p>
    <w:p w14:paraId="3F035A03">
      <w:pPr>
        <w:spacing w:line="720" w:lineRule="exact"/>
        <w:ind w:firstLine="643" w:firstLineChars="200"/>
        <w:rPr>
          <w:rFonts w:hint="eastAsia" w:ascii="宋体" w:hAnsi="宋体"/>
          <w:sz w:val="32"/>
          <w:u w:val="single"/>
        </w:rPr>
      </w:pPr>
      <w:r>
        <w:rPr>
          <w:rFonts w:hint="eastAsia" w:ascii="宋体" w:hAnsi="宋体"/>
          <w:b/>
          <w:bCs/>
          <w:sz w:val="32"/>
        </w:rPr>
        <w:t>学 号：</w:t>
      </w:r>
      <w:r>
        <w:rPr>
          <w:rFonts w:hint="eastAsia" w:ascii="宋体" w:hAnsi="宋体"/>
          <w:sz w:val="32"/>
          <w:u w:val="single"/>
        </w:rPr>
        <w:t xml:space="preserve">              202221131051                   </w:t>
      </w:r>
    </w:p>
    <w:p w14:paraId="7EA1012C">
      <w:pPr>
        <w:spacing w:line="720" w:lineRule="exact"/>
        <w:ind w:firstLine="643" w:firstLineChars="200"/>
        <w:rPr>
          <w:rFonts w:hint="eastAsia" w:ascii="宋体" w:hAnsi="宋体"/>
          <w:b/>
          <w:bCs/>
          <w:sz w:val="32"/>
        </w:rPr>
      </w:pPr>
      <w:r>
        <w:rPr>
          <w:rFonts w:hint="eastAsia" w:ascii="宋体" w:hAnsi="宋体"/>
          <w:b/>
          <w:bCs/>
          <w:sz w:val="32"/>
        </w:rPr>
        <w:t>所在学院：</w:t>
      </w:r>
      <w:r>
        <w:rPr>
          <w:rFonts w:hint="eastAsia" w:ascii="宋体" w:hAnsi="宋体"/>
          <w:sz w:val="32"/>
          <w:u w:val="single"/>
        </w:rPr>
        <w:t xml:space="preserve">       电气工程与控制科学学院   </w:t>
      </w:r>
      <w:r>
        <w:rPr>
          <w:rFonts w:ascii="宋体" w:hAnsi="宋体"/>
          <w:sz w:val="32"/>
          <w:u w:val="single"/>
        </w:rPr>
        <w:t xml:space="preserve"> </w:t>
      </w:r>
      <w:r>
        <w:rPr>
          <w:rFonts w:hint="eastAsia" w:ascii="宋体" w:hAnsi="宋体"/>
          <w:sz w:val="32"/>
          <w:u w:val="single"/>
        </w:rPr>
        <w:t xml:space="preserve">        </w:t>
      </w:r>
    </w:p>
    <w:p w14:paraId="01B6FE42">
      <w:pPr>
        <w:spacing w:line="720" w:lineRule="exact"/>
        <w:ind w:firstLine="643" w:firstLineChars="200"/>
        <w:rPr>
          <w:rFonts w:hint="eastAsia" w:ascii="宋体" w:hAnsi="宋体"/>
          <w:sz w:val="32"/>
        </w:rPr>
      </w:pPr>
      <w:r>
        <w:rPr>
          <w:rFonts w:hint="eastAsia" w:ascii="宋体" w:hAnsi="宋体"/>
          <w:b/>
          <w:bCs/>
          <w:sz w:val="32"/>
        </w:rPr>
        <w:t>专    业：</w:t>
      </w:r>
      <w:r>
        <w:rPr>
          <w:rFonts w:hint="eastAsia" w:ascii="宋体" w:hAnsi="宋体"/>
          <w:sz w:val="32"/>
          <w:u w:val="single"/>
        </w:rPr>
        <w:t xml:space="preserve">            自 动 化               </w:t>
      </w:r>
      <w:r>
        <w:rPr>
          <w:rFonts w:ascii="宋体" w:hAnsi="宋体"/>
          <w:sz w:val="32"/>
          <w:u w:val="single"/>
        </w:rPr>
        <w:t xml:space="preserve"> </w:t>
      </w:r>
      <w:r>
        <w:rPr>
          <w:rFonts w:hint="eastAsia" w:ascii="宋体" w:hAnsi="宋体"/>
          <w:sz w:val="32"/>
          <w:u w:val="single"/>
        </w:rPr>
        <w:t xml:space="preserve">    </w:t>
      </w:r>
    </w:p>
    <w:p w14:paraId="120F0050">
      <w:pPr>
        <w:spacing w:line="720" w:lineRule="exact"/>
        <w:ind w:left="630" w:leftChars="300" w:right="422" w:rightChars="201"/>
        <w:rPr>
          <w:rFonts w:hint="eastAsia" w:ascii="宋体" w:hAnsi="宋体"/>
          <w:sz w:val="32"/>
          <w:u w:val="single"/>
        </w:rPr>
      </w:pPr>
      <w:r>
        <w:rPr>
          <w:rFonts w:hint="eastAsia" w:ascii="宋体" w:hAnsi="宋体"/>
          <w:b/>
          <w:bCs/>
          <w:sz w:val="32"/>
        </w:rPr>
        <w:t>中文译文题目：</w:t>
      </w:r>
      <w:r>
        <w:rPr>
          <w:rFonts w:hint="eastAsia" w:ascii="宋体" w:hAnsi="宋体"/>
          <w:sz w:val="32"/>
          <w:u w:val="single"/>
        </w:rPr>
        <w:t xml:space="preserve"> 基于图像分析与关键点体尺特征提取的绵</w:t>
      </w:r>
    </w:p>
    <w:p w14:paraId="6444D476">
      <w:pPr>
        <w:spacing w:line="720" w:lineRule="exact"/>
        <w:ind w:left="630" w:leftChars="300" w:right="422" w:rightChars="201"/>
        <w:rPr>
          <w:rFonts w:hint="eastAsia" w:ascii="宋体" w:hAnsi="宋体"/>
          <w:sz w:val="32"/>
          <w:u w:val="single"/>
        </w:rPr>
      </w:pPr>
      <w:r>
        <w:rPr>
          <w:rFonts w:hint="eastAsia" w:ascii="宋体" w:hAnsi="宋体"/>
          <w:sz w:val="32"/>
          <w:u w:val="single"/>
        </w:rPr>
        <w:t xml:space="preserve">羊姿态估计研究                                </w:t>
      </w:r>
    </w:p>
    <w:p w14:paraId="3F978C56">
      <w:pPr>
        <w:spacing w:line="720" w:lineRule="exact"/>
        <w:ind w:left="630" w:leftChars="300" w:right="422" w:rightChars="201"/>
        <w:rPr>
          <w:rFonts w:hint="eastAsia" w:ascii="宋体" w:hAnsi="宋体"/>
          <w:sz w:val="32"/>
          <w:u w:val="single"/>
        </w:rPr>
      </w:pPr>
      <w:r>
        <w:rPr>
          <w:rFonts w:hint="eastAsia" w:ascii="宋体" w:hAnsi="宋体"/>
          <w:b/>
          <w:bCs/>
          <w:sz w:val="32"/>
        </w:rPr>
        <w:t>英文原文题目：</w:t>
      </w:r>
      <w:r>
        <w:rPr>
          <w:rFonts w:hint="eastAsia" w:ascii="宋体" w:hAnsi="宋体"/>
          <w:sz w:val="28"/>
          <w:szCs w:val="28"/>
          <w:u w:val="single"/>
        </w:rPr>
        <w:t>Sheep pose estimation via image analysis and body measurements derived from key points</w:t>
      </w:r>
      <w:r>
        <w:rPr>
          <w:sz w:val="30"/>
          <w:u w:val="single"/>
        </w:rPr>
        <w:t xml:space="preserve"> </w:t>
      </w:r>
      <w:r>
        <w:rPr>
          <w:sz w:val="32"/>
          <w:u w:val="single"/>
        </w:rPr>
        <w:t xml:space="preserve">    </w:t>
      </w:r>
      <w:r>
        <w:rPr>
          <w:rFonts w:hint="eastAsia" w:ascii="宋体" w:hAnsi="宋体"/>
          <w:sz w:val="32"/>
          <w:u w:val="single"/>
        </w:rPr>
        <w:t xml:space="preserve">                      </w:t>
      </w:r>
    </w:p>
    <w:p w14:paraId="33EF8514">
      <w:pPr>
        <w:spacing w:line="720" w:lineRule="exact"/>
        <w:ind w:firstLine="643" w:firstLineChars="200"/>
        <w:rPr>
          <w:rFonts w:ascii="楷体_GB2312"/>
          <w:sz w:val="32"/>
          <w:u w:val="single"/>
        </w:rPr>
      </w:pPr>
      <w:r>
        <w:rPr>
          <w:rFonts w:hint="eastAsia" w:ascii="宋体" w:hAnsi="宋体"/>
          <w:b/>
          <w:bCs/>
          <w:sz w:val="32"/>
        </w:rPr>
        <w:t>指导教师：</w:t>
      </w:r>
      <w:r>
        <w:rPr>
          <w:rFonts w:hint="eastAsia" w:ascii="宋体" w:hAnsi="宋体"/>
          <w:sz w:val="32"/>
          <w:u w:val="single"/>
        </w:rPr>
        <w:t xml:space="preserve">           肖     迪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p>
    <w:p w14:paraId="06D10ED6">
      <w:pPr>
        <w:spacing w:line="400" w:lineRule="exact"/>
        <w:ind w:firstLine="640" w:firstLineChars="200"/>
        <w:jc w:val="left"/>
        <w:rPr>
          <w:sz w:val="32"/>
        </w:rPr>
      </w:pPr>
    </w:p>
    <w:p w14:paraId="1D32CE8F">
      <w:pPr>
        <w:ind w:firstLine="640" w:firstLineChars="200"/>
        <w:jc w:val="center"/>
        <w:rPr>
          <w:rFonts w:hint="eastAsia" w:ascii="黑体" w:hAnsi="宋体" w:eastAsia="黑体"/>
          <w:sz w:val="32"/>
        </w:rPr>
      </w:pPr>
      <w:r>
        <w:rPr>
          <w:rFonts w:hint="eastAsia" w:ascii="黑体" w:hAnsi="宋体" w:eastAsia="黑体"/>
          <w:sz w:val="32"/>
        </w:rPr>
        <w:t>2026年1月11日</w:t>
      </w:r>
    </w:p>
    <w:p w14:paraId="412AFADF">
      <w:pPr>
        <w:spacing w:line="360" w:lineRule="auto"/>
        <w:ind w:firstLine="640" w:firstLineChars="200"/>
        <w:jc w:val="center"/>
        <w:rPr>
          <w:rFonts w:hint="eastAsia" w:ascii="宋体" w:hAnsi="宋体" w:cs="Arial"/>
          <w:color w:val="000000"/>
          <w:kern w:val="0"/>
          <w:sz w:val="32"/>
          <w:szCs w:val="32"/>
        </w:rPr>
      </w:pPr>
      <w:r>
        <w:rPr>
          <w:rFonts w:ascii="宋体" w:hAnsi="宋体" w:cs="Arial"/>
          <w:color w:val="000000"/>
          <w:kern w:val="0"/>
          <w:sz w:val="32"/>
          <w:szCs w:val="32"/>
        </w:rPr>
        <w:br w:type="page"/>
      </w:r>
      <w:r>
        <w:rPr>
          <w:rFonts w:hint="eastAsia" w:ascii="宋体" w:hAnsi="宋体" w:cs="Arial"/>
          <w:color w:val="000000"/>
          <w:kern w:val="0"/>
          <w:sz w:val="32"/>
          <w:szCs w:val="32"/>
        </w:rPr>
        <w:t>基于图像分析与关键点提取的羊只姿态估计及体尺测量</w:t>
      </w:r>
    </w:p>
    <w:p w14:paraId="28E71C52">
      <w:pPr>
        <w:spacing w:line="360" w:lineRule="auto"/>
        <w:ind w:firstLine="480" w:firstLineChars="200"/>
        <w:jc w:val="center"/>
        <w:rPr>
          <w:spacing w:val="20"/>
          <w:sz w:val="24"/>
        </w:rPr>
      </w:pPr>
      <w:r>
        <w:rPr>
          <w:rFonts w:ascii="宋体" w:hAnsi="宋体" w:cs="宋体"/>
          <w:sz w:val="24"/>
        </w:rPr>
        <w:t>Cafer Tayyar Bati</w:t>
      </w:r>
      <w:r>
        <w:rPr>
          <w:spacing w:val="20"/>
          <w:sz w:val="24"/>
        </w:rPr>
        <w:t>.</w:t>
      </w:r>
    </w:p>
    <w:p w14:paraId="4536516D">
      <w:pPr>
        <w:spacing w:line="360" w:lineRule="auto"/>
        <w:rPr>
          <w:rFonts w:hint="eastAsia" w:hAnsi="宋体"/>
          <w:sz w:val="24"/>
        </w:rPr>
      </w:pPr>
      <w:r>
        <w:rPr>
          <w:rFonts w:hAnsi="宋体"/>
          <w:sz w:val="24"/>
        </w:rPr>
        <w:t>摘要：</w:t>
      </w:r>
      <w:r>
        <w:rPr>
          <w:rFonts w:hint="eastAsia" w:hAnsi="宋体"/>
          <w:sz w:val="24"/>
        </w:rPr>
        <w:t>牲畜的姿态估计与体尺测量在健康监测、育种和管理等多种农业应用中发挥着重要作用。本文提出了一种基于目标检测与监督式机器学习算法的绵羊体尺测量与姿态估计新方法。研究采用绵羊数据集进行实验，每一类姿态（采食、站立和卧坐）均包含 40 段侧视视频，每段视频时长约为 8 秒，用于模型训练。首先，利用 YOLOv8 姿态目标检测框架对绵羊图像进行姿态分类。同时，对图像进行关键点训练，以检测绵羊解剖学关键部位的关键点。随后，基于这些关键点对图像中的绵羊进行多种体尺参数测量，并构建了一个综合体尺数据集。在此基础上，训练了六种不同的监督式机器学习算法，以进一步提升姿态估计性能。此外，为评估模型在不同拍摄角度及数据特征条件下的鲁棒性，研究还在正视图像上对模型进行了测试。实验结果表明，基于体尺测量数据训练的监督式机器学习算法在侧视图像和正视图像上的表现均优于仅基于图像数据的主流深度学习网络。其中，K 近邻算法在侧视图像上的 mAP 达到 1.00，支持向量机在正视图像上的 mAP 达到 0.94，均优于 YOLOv8（侧视/正视 mAP 分别为 0.94 / 0.89）、EfficientNet（0.93 / 0.91）、RetinaNet（0.91 / 0.88）和 Faster R-CNN（0.89 / 0.87）。该方法通过更加精确的姿态估计与体尺测量，可有效提升牲畜管理系统的准确性与效率，在动物福利监测、群体健康评估以及精准农业等实际应用中具有重要价值。</w:t>
      </w:r>
    </w:p>
    <w:p w14:paraId="0CD6B462">
      <w:pPr>
        <w:spacing w:line="360" w:lineRule="auto"/>
        <w:rPr>
          <w:rFonts w:ascii="宋体" w:hAnsi="宋体" w:cs="宋体"/>
          <w:sz w:val="24"/>
          <w:highlight w:val="none"/>
        </w:rPr>
      </w:pPr>
      <w:r>
        <w:rPr>
          <w:rFonts w:hint="eastAsia" w:hAnsi="宋体"/>
          <w:color w:val="000000"/>
          <w:sz w:val="24"/>
          <w:highlight w:val="none"/>
          <w:lang w:val="en-US" w:eastAsia="zh-CN"/>
        </w:rPr>
        <w:t>关键词</w:t>
      </w:r>
      <w:r>
        <w:rPr>
          <w:rFonts w:hAnsi="宋体"/>
          <w:color w:val="000000"/>
          <w:sz w:val="24"/>
          <w:highlight w:val="none"/>
        </w:rPr>
        <w:t>：</w:t>
      </w:r>
      <w:r>
        <w:rPr>
          <w:rFonts w:ascii="宋体" w:hAnsi="宋体" w:cs="宋体"/>
          <w:sz w:val="24"/>
          <w:highlight w:val="none"/>
        </w:rPr>
        <w:t>体尺测量；关键点检测；畜牧管理；对象关键点相似度（OKS）；监督学习</w:t>
      </w:r>
    </w:p>
    <w:p w14:paraId="4FDEA20E">
      <w:pPr>
        <w:spacing w:line="360" w:lineRule="auto"/>
        <w:rPr>
          <w:rFonts w:hint="eastAsia" w:ascii="黑体" w:hAnsi="黑体" w:eastAsia="黑体"/>
          <w:color w:val="000000"/>
          <w:sz w:val="30"/>
          <w:szCs w:val="30"/>
        </w:rPr>
      </w:pPr>
      <w:r>
        <w:rPr>
          <w:rFonts w:ascii="黑体" w:hAnsi="黑体" w:eastAsia="黑体"/>
          <w:color w:val="000000"/>
          <w:sz w:val="30"/>
          <w:szCs w:val="30"/>
        </w:rPr>
        <w:t>1</w:t>
      </w:r>
      <w:r>
        <w:rPr>
          <w:rFonts w:hint="eastAsia" w:ascii="黑体" w:hAnsi="黑体" w:eastAsia="黑体"/>
          <w:color w:val="000000"/>
          <w:sz w:val="30"/>
          <w:szCs w:val="30"/>
        </w:rPr>
        <w:t>.</w:t>
      </w:r>
      <w:r>
        <w:rPr>
          <w:rFonts w:ascii="黑体" w:hAnsi="黑体" w:eastAsia="黑体"/>
          <w:color w:val="000000"/>
          <w:sz w:val="30"/>
          <w:szCs w:val="30"/>
        </w:rPr>
        <w:t xml:space="preserve"> 引言</w:t>
      </w:r>
    </w:p>
    <w:p w14:paraId="2AFBDCA9">
      <w:pPr>
        <w:spacing w:line="360" w:lineRule="auto"/>
        <w:ind w:firstLine="480" w:firstLineChars="200"/>
        <w:rPr>
          <w:rFonts w:hint="eastAsia" w:hAnsi="宋体"/>
          <w:color w:val="000000"/>
          <w:sz w:val="24"/>
        </w:rPr>
      </w:pPr>
      <w:r>
        <w:rPr>
          <w:rFonts w:hint="eastAsia" w:hAnsi="宋体"/>
          <w:color w:val="000000"/>
          <w:sz w:val="24"/>
        </w:rPr>
        <w:t>到2050年，随着世界人口的增长，全球对肉类和动物产为品的需求预计将大幅增加。这就强调了畜牧业需要更高效的生产方法(Forslund et al.， 2023)。因此，有必要专注于开发新的创新解决方案，以更有效地利用资源(Hamadani和Ganai,2023)。绵羊养殖在农业活动中占有重要地位，动物福利监测和评估是该行业的重要要求。尽管用于羊福利监测的基于接触的动物行为检测方法具有高精度和快速的数据处理能力，但由于为每只羊配备传感器会增加成本，因此对于羊养殖业来说并不实用。此外，这种传感器不适合长期群体动物行为监测，需要定期手动更换电池(Xu et al.， 2023)。深度学习等机器学习技术因其自动预测绵羊姿势和行为的能力而备受关注。这些方法为可能对动物福利产生负面影响的接触式传感器技术提供了一种替代方案(Bati和Ser, 2023a)。最近的研究越来越多地利用机器学习方法来监测动物行为和预测身体特征。这些方法在从图像中估计身体成分，从3D扫描中预测身体状况，以及在各种环境条件下对绵羊的一般行为进行分类等任务中显示出有希望的结果(Jin等人，2022;González-Baldizón等人，2022;Stephansen等人，2023;Shalaldeh et al.，2023)。近年来，研究人员和实践者在此类研究中的共同目的是能够将他们对农场动物福利的态度转化为具有远程监测能力的实际改进。虽然这些研究证明了基于图像的分析在动物科学中的适用性，但它们通常将姿势识别和身体测量作为单独的任务来处理。在此背景下，目前的研究提出了一种新的两阶段方法，将监督学习与基于深度学习的关键点检测相结合，以导出身体测量，从而提供了一个混合和可解释的系统，用于准确分类绵羊的姿势。</w:t>
      </w:r>
    </w:p>
    <w:p w14:paraId="1B4D169D">
      <w:pPr>
        <w:spacing w:line="360" w:lineRule="auto"/>
        <w:ind w:firstLine="480" w:firstLineChars="200"/>
        <w:rPr>
          <w:rFonts w:hint="eastAsia" w:hAnsi="宋体"/>
          <w:color w:val="000000"/>
          <w:sz w:val="24"/>
        </w:rPr>
      </w:pPr>
      <w:r>
        <w:rPr>
          <w:rFonts w:hint="eastAsia" w:hAnsi="宋体"/>
          <w:color w:val="000000"/>
          <w:sz w:val="24"/>
        </w:rPr>
        <w:t>准确评估羊的动作，使农民能够无创地监测羊的表现。由于农场动物的行为有可能反映它们对环境和健康条件的反应，因此可以对此进行详细观察动物行为在动物科学中具有重要的价值。例如，在炎热的天气中，绵羊可能会增加躺卧时间(Pollard et al.， 2004)并降低行走速度(Horie et al.， 2023)，这可能会减少采食量并增加健康问题的概率(sch&lt;s:1&gt; tz et al.， 2024)。因此，监测和分析绵羊的行为可以确定它们的健康和福利，并有助于采取适当的措施(Jin等人，2022;Hu et al.， 2023)。监测绵羊行为的过程还可能涉及对不同活动的分类和分割。绵羊的监测行为通常包括放牧、躺卧、站立、行走、反刍、奔跑等(Jin等，2022)。对于这些行为的检测，通常使用一组关键点和这些关键点之间的身体测量。这些关键点代表了羊的不同关节，这些关键点和身体测量值可以用于姿态估计。姿态参数可以用作更详细分析的工具，并允许许多羊的行为研究自动化。例如，区分绵羊的放牧行为和休息行为并分析放牧行为是很重要的。因为对自由放养反刍动物的放牧行为进行识别和分类，将有助于提高动物生产效率(Alvarenga etal.， 2016)。然而，在绵羊产业中，对身体测量的估计非常重要，因为它提供了活体动物肌肉和脂肪覆盖的粗略指示。这些测量可以影响出售或保留动物的决定，并有助于估计胴体产量和质量。身体测量还可以用来计算许多生长性状，这些性状可以帮助确定动物的生产力，并确定适合育种的优良动物(Kenyon et al.， 2014)。</w:t>
      </w:r>
    </w:p>
    <w:p w14:paraId="776948FE">
      <w:pPr>
        <w:spacing w:line="360" w:lineRule="auto"/>
        <w:ind w:firstLine="480" w:firstLineChars="200"/>
        <w:rPr>
          <w:rFonts w:hint="eastAsia" w:hAnsi="宋体"/>
          <w:color w:val="000000"/>
          <w:sz w:val="24"/>
        </w:rPr>
      </w:pPr>
      <w:r>
        <w:rPr>
          <w:rFonts w:hint="eastAsia" w:hAnsi="宋体"/>
          <w:color w:val="000000"/>
          <w:sz w:val="24"/>
        </w:rPr>
        <w:t>虽然身体测量在畜牧业中非常重要，但手动进行这些测量，使用传统方法监测和分析动物行为可能是侵入性的、耗时的和主观的，特别是在大型农场(Meckbach等人，2021;Stephansen et al.， 2023;Gao et al.， 2023)。因此，使用通过图像分析(而不是传统方法)获得的测量值来对绵羊姿势进行分类并预测它们的姿势，有可能克服传统测量方法的侵入性缺点。姿态估计——使用机器学习方法对视频序列进行定位是一个相对较新的研究领域。通过关键点和图像分析进行的身体测量提供了一种强大的方法，可以轻松快速地观察自然环境中的动物运动，而不会出现人类观察可能带来的偏见。</w:t>
      </w:r>
    </w:p>
    <w:p w14:paraId="1D222ED0">
      <w:pPr>
        <w:spacing w:line="360" w:lineRule="auto"/>
        <w:ind w:firstLine="480" w:firstLineChars="200"/>
        <w:rPr>
          <w:rFonts w:hint="eastAsia" w:hAnsi="宋体"/>
          <w:color w:val="000000"/>
          <w:sz w:val="24"/>
        </w:rPr>
      </w:pPr>
      <w:r>
        <w:rPr>
          <w:rFonts w:hint="eastAsia" w:hAnsi="宋体"/>
          <w:color w:val="000000"/>
          <w:sz w:val="24"/>
        </w:rPr>
        <w:t>基于深度学习的姿势估计，尽管在最近的研究中得到了广泛的应用，但大多数方法只关注从图像中提取的视觉特征，而没有纳入可以提高分类精度的结构身体测量。将姿势分类与基于关键点的身体测量无缝结合的集成系统仍然缺乏。为了解决这一差距，本研究提出了一种混合方法，利用基于图像的检测和定量生物特征来增强绵羊姿势预测的鲁棒性和准确性。根据这一动机，本研究提出了一个专门用于绵羊姿势识别和分类的基于计算机视觉的两阶段框架。首先，训练一个基于YOLOv8姿势的网络，对羊的行为进行分类，并检测羊身体的关键点。其次，设计一个预测的、有监督的机器学习模型，根据检测到的关键点和自动计算的身体测量来识别动物的行为。此外，将提出的方法与最近使用的目标检测模型进行了比较，并进行了对比实验。手稿中提出的方法提出了一种使用计算机视觉技术自动进行羊姿势分类和身体测量的创新方法。</w:t>
      </w:r>
    </w:p>
    <w:p w14:paraId="436AA2D3">
      <w:pPr>
        <w:spacing w:line="360" w:lineRule="auto"/>
        <w:rPr>
          <w:rFonts w:hint="eastAsia" w:ascii="黑体" w:hAnsi="黑体" w:eastAsia="黑体"/>
          <w:color w:val="000000"/>
          <w:sz w:val="30"/>
          <w:szCs w:val="30"/>
        </w:rPr>
      </w:pPr>
      <w:r>
        <w:rPr>
          <w:rFonts w:hint="eastAsia" w:ascii="黑体" w:hAnsi="黑体" w:eastAsia="黑体"/>
          <w:color w:val="000000"/>
          <w:sz w:val="30"/>
          <w:szCs w:val="30"/>
        </w:rPr>
        <w:t>2.实验设置</w:t>
      </w:r>
    </w:p>
    <w:p w14:paraId="6CF55A82">
      <w:pPr>
        <w:spacing w:line="360" w:lineRule="auto"/>
        <w:ind w:firstLine="480" w:firstLineChars="200"/>
        <w:rPr>
          <w:kern w:val="0"/>
          <w:sz w:val="24"/>
        </w:rPr>
      </w:pPr>
      <w:r>
        <w:rPr>
          <w:rFonts w:hint="eastAsia"/>
          <w:kern w:val="0"/>
          <w:sz w:val="24"/>
        </w:rPr>
        <w:t>在本节中，详细描述了实验数据集和实验设置的每个阶段。研究的工作流程如图1所示。</w:t>
      </w:r>
    </w:p>
    <w:p w14:paraId="1B9E0F9C">
      <w:pPr>
        <w:spacing w:line="360" w:lineRule="auto"/>
        <w:rPr>
          <w:rFonts w:hint="eastAsia" w:ascii="黑体" w:hAnsi="黑体" w:eastAsia="黑体"/>
          <w:color w:val="000000"/>
          <w:sz w:val="30"/>
          <w:szCs w:val="30"/>
        </w:rPr>
      </w:pPr>
      <w:r>
        <w:rPr>
          <w:rFonts w:hint="eastAsia" w:ascii="黑体" w:hAnsi="黑体" w:eastAsia="黑体"/>
          <w:color w:val="000000"/>
          <w:sz w:val="30"/>
          <w:szCs w:val="30"/>
        </w:rPr>
        <w:t>3.视频数据</w:t>
      </w:r>
    </w:p>
    <w:p w14:paraId="19C99A2F">
      <w:pPr>
        <w:spacing w:line="360" w:lineRule="auto"/>
        <w:ind w:firstLine="480" w:firstLineChars="200"/>
        <w:rPr>
          <w:rFonts w:hint="eastAsia"/>
          <w:kern w:val="0"/>
          <w:sz w:val="24"/>
        </w:rPr>
      </w:pPr>
      <w:r>
        <w:rPr>
          <w:rFonts w:hint="eastAsia"/>
          <w:kern w:val="0"/>
          <w:sz w:val="24"/>
        </w:rPr>
        <w:t>在这项研究中，使用了一个由417个羊视频组成的数据集，涵盖了五种活动类别，包括放牧，跑步，坐着，站着和走路(Khan和Kelly 2023a;2023b)。每个行为都从正面和侧面记录。进一步关于数据集的信息可以在Kelly等人(2024)中找到(参见图2中的示例帧)。</w:t>
      </w:r>
    </w:p>
    <w:p w14:paraId="5A0A5ACE">
      <w:pPr>
        <w:spacing w:line="360" w:lineRule="auto"/>
        <w:ind w:firstLine="480" w:firstLineChars="200"/>
        <w:rPr>
          <w:rFonts w:hint="eastAsia"/>
          <w:kern w:val="0"/>
          <w:sz w:val="24"/>
        </w:rPr>
      </w:pPr>
    </w:p>
    <w:p w14:paraId="17441F7C">
      <w:pPr>
        <w:spacing w:line="360" w:lineRule="auto"/>
        <w:jc w:val="center"/>
      </w:pPr>
      <w:r>
        <w:drawing>
          <wp:inline distT="0" distB="0" distL="114300" distR="114300">
            <wp:extent cx="5927725" cy="2358390"/>
            <wp:effectExtent l="0" t="0" r="15875"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927725" cy="2358390"/>
                    </a:xfrm>
                    <a:prstGeom prst="rect">
                      <a:avLst/>
                    </a:prstGeom>
                    <a:noFill/>
                    <a:ln>
                      <a:noFill/>
                    </a:ln>
                  </pic:spPr>
                </pic:pic>
              </a:graphicData>
            </a:graphic>
          </wp:inline>
        </w:drawing>
      </w:r>
    </w:p>
    <w:p w14:paraId="5B83E80B">
      <w:pPr>
        <w:spacing w:line="360" w:lineRule="auto"/>
        <w:ind w:firstLine="480" w:firstLineChars="200"/>
        <w:jc w:val="center"/>
        <w:rPr>
          <w:rFonts w:hint="eastAsia"/>
          <w:kern w:val="0"/>
          <w:sz w:val="24"/>
        </w:rPr>
      </w:pPr>
      <w:r>
        <w:rPr>
          <w:rFonts w:hint="eastAsia"/>
          <w:kern w:val="0"/>
          <w:sz w:val="24"/>
        </w:rPr>
        <w:t>图1. 本研究的工作流程</w:t>
      </w:r>
    </w:p>
    <w:p w14:paraId="662CADA0">
      <w:pPr>
        <w:spacing w:line="360" w:lineRule="auto"/>
        <w:rPr>
          <w:rFonts w:hint="eastAsia" w:ascii="黑体" w:hAnsi="黑体" w:eastAsia="黑体"/>
          <w:color w:val="000000"/>
          <w:sz w:val="30"/>
          <w:szCs w:val="30"/>
        </w:rPr>
      </w:pPr>
      <w:r>
        <w:rPr>
          <w:rFonts w:hint="eastAsia" w:ascii="黑体" w:hAnsi="黑体" w:eastAsia="黑体"/>
          <w:color w:val="000000"/>
          <w:sz w:val="30"/>
          <w:szCs w:val="30"/>
        </w:rPr>
        <w:t>4.图像处理和标记</w:t>
      </w:r>
    </w:p>
    <w:p w14:paraId="5B0DC7F0">
      <w:pPr>
        <w:spacing w:line="360" w:lineRule="auto"/>
        <w:ind w:firstLine="480" w:firstLineChars="200"/>
        <w:rPr>
          <w:kern w:val="0"/>
          <w:sz w:val="24"/>
        </w:rPr>
      </w:pPr>
      <w:r>
        <w:rPr>
          <w:rFonts w:hint="eastAsia"/>
          <w:kern w:val="0"/>
          <w:sz w:val="24"/>
        </w:rPr>
        <w:t>在实验设置中，通过从数据集中的放牧、站立和坐着行为类中随机选择40个侧面记录视频，共使用了120个视频。之后，从视频中每秒捕获5帧，每帧平均持续8秒。这样，就创建了一个总共包含5015帧的图像训练数据集。然后，准备一个由正面图像组成的测试数据集，以便在具有不同特征的数据集上测试模型。该测试集包含1146张图像(每个类382张)。每张高分辨率图像(3840x2160)占用了大约3mb的内存。考虑到标记和分析期间的计算机处理能力，每张图像被重新缩放(800x450)并减少到大约180 KB。每张图像都要用于训练使用计算机视觉注释工具(CVAT) (https://cvat.ai/)(图3)将测试目的标记为一个类，并标记每只羊的13个不同关键点(图4)。根据不同的解剖参考点选择了总共13个关键点，这些参考点通常在羊的不同姿势中可见并且是必要的无论是姿势分类还是身体测量的提取。这些关键点包括头部、颈部、肩部、肘部、膝盖、脚跟和尾基。这些点的数量和位置是根据之前的姿势估计研究确定的，并通过目视检查进行验证，以确保在各种姿势中保持一致的可见性和足够的解剖覆盖。</w:t>
      </w:r>
    </w:p>
    <w:p w14:paraId="3ABC22D8">
      <w:pPr>
        <w:spacing w:line="360" w:lineRule="auto"/>
        <w:rPr>
          <w:rFonts w:hint="eastAsia" w:ascii="黑体" w:hAnsi="黑体" w:eastAsia="黑体"/>
          <w:color w:val="000000"/>
          <w:sz w:val="30"/>
          <w:szCs w:val="30"/>
        </w:rPr>
      </w:pPr>
      <w:r>
        <w:rPr>
          <w:rFonts w:hint="eastAsia" w:ascii="黑体" w:hAnsi="黑体" w:eastAsia="黑体"/>
          <w:color w:val="000000"/>
          <w:sz w:val="30"/>
          <w:szCs w:val="30"/>
        </w:rPr>
        <w:t>5.从关键点进行人体测量</w:t>
      </w:r>
    </w:p>
    <w:p w14:paraId="5E919E72">
      <w:pPr>
        <w:spacing w:line="360" w:lineRule="auto"/>
        <w:ind w:firstLine="480" w:firstLineChars="200"/>
        <w:rPr>
          <w:kern w:val="0"/>
          <w:sz w:val="24"/>
        </w:rPr>
      </w:pPr>
      <w:r>
        <w:rPr>
          <w:rFonts w:hint="eastAsia"/>
          <w:kern w:val="0"/>
          <w:sz w:val="24"/>
        </w:rPr>
        <w:t>对于该研究的监督机器学习分析，使用欧几里得距离来计算图像上的身体测量值(Eq. 1)YOLOv8模型的dict”模块，用于检测图像上的关键点，然后自动测量确定的距离。相应地，将每张图像计算的测量值分别记录在excel文件中。最后，对所有图像合并此excel文件，并将身体测量数据集保存为csv格式。</w:t>
      </w:r>
    </w:p>
    <w:p w14:paraId="13785D6C">
      <w:pPr>
        <w:spacing w:line="360" w:lineRule="auto"/>
        <w:ind w:firstLine="480" w:firstLineChars="200"/>
        <w:rPr>
          <w:kern w:val="0"/>
          <w:sz w:val="24"/>
        </w:rPr>
      </w:pPr>
      <m:oMathPara>
        <m:oMath>
          <m:m>
            <m:mPr>
              <m:mcs>
                <m:mc>
                  <m:mcPr>
                    <m:count m:val="1"/>
                    <m:mcJc m:val="center"/>
                  </m:mcPr>
                </m:mc>
              </m:mcs>
              <m:plcHide m:val="1"/>
              <m:ctrlPr>
                <w:rPr>
                  <w:rFonts w:ascii="Cambria Math" w:hAnsi="Cambria Math"/>
                  <w:i/>
                  <w:sz w:val="24"/>
                </w:rPr>
              </m:ctrlPr>
            </m:mPr>
            <m:mr>
              <m:e>
                <m:r>
                  <m:rPr/>
                  <w:rPr>
                    <w:rFonts w:ascii="Cambria Math" w:hAnsi="Cambria Math"/>
                    <w:sz w:val="24"/>
                  </w:rPr>
                  <m:t>d(</m:t>
                </m:r>
                <m:sSub>
                  <m:sSubPr>
                    <m:ctrlPr>
                      <w:rPr>
                        <w:rFonts w:ascii="Cambria Math" w:hAnsi="Cambria Math"/>
                        <w:sz w:val="24"/>
                      </w:rPr>
                    </m:ctrlPr>
                  </m:sSubPr>
                  <m:e>
                    <m:r>
                      <m:rPr/>
                      <w:rPr>
                        <w:rFonts w:ascii="Cambria Math" w:hAnsi="Cambria Math"/>
                        <w:sz w:val="24"/>
                      </w:rPr>
                      <m:t>Keypoint</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Keypoint</m:t>
                    </m:r>
                    <m:ctrlPr>
                      <w:rPr>
                        <w:rFonts w:ascii="Cambria Math" w:hAnsi="Cambria Math"/>
                        <w:sz w:val="24"/>
                      </w:rPr>
                    </m:ctrlPr>
                  </m:e>
                  <m:sub>
                    <m:r>
                      <m:rPr/>
                      <w:rPr>
                        <w:rFonts w:ascii="Cambria Math" w:hAnsi="Cambria Math"/>
                        <w:sz w:val="24"/>
                      </w:rPr>
                      <m:t>j</m:t>
                    </m:r>
                    <m:ctrlPr>
                      <w:rPr>
                        <w:rFonts w:ascii="Cambria Math" w:hAnsi="Cambria Math"/>
                        <w:sz w:val="24"/>
                      </w:rPr>
                    </m:ctrlPr>
                  </m:sub>
                </m:sSub>
                <m:r>
                  <m:rPr/>
                  <w:rPr>
                    <w:rFonts w:ascii="Cambria Math" w:hAnsi="Cambria Math"/>
                    <w:sz w:val="24"/>
                  </w:rPr>
                  <m:t>)=</m:t>
                </m:r>
                <m:rad>
                  <m:radPr>
                    <m:degHide m:val="1"/>
                    <m:ctrlPr>
                      <w:rPr>
                        <w:rFonts w:ascii="Cambria Math" w:hAnsi="Cambria Math"/>
                        <w:i/>
                        <w:sz w:val="24"/>
                      </w:rPr>
                    </m:ctrlPr>
                  </m:radPr>
                  <m:deg>
                    <m:ctrlPr>
                      <w:rPr>
                        <w:rFonts w:ascii="Cambria Math" w:hAnsi="Cambria Math"/>
                        <w:sz w:val="24"/>
                      </w:rPr>
                    </m:ctrlPr>
                  </m:deg>
                  <m:e>
                    <m:r>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j</m:t>
                        </m:r>
                        <m:ctrlPr>
                          <w:rPr>
                            <w:rFonts w:ascii="Cambria Math" w:hAnsi="Cambria Math"/>
                            <w:sz w:val="24"/>
                          </w:rPr>
                        </m:ctrlPr>
                      </m:sub>
                    </m:sSub>
                    <m:sSup>
                      <m:sSupPr>
                        <m:ctrlPr>
                          <w:rPr>
                            <w:rFonts w:ascii="Cambria Math" w:hAnsi="Cambria Math"/>
                            <w:sz w:val="24"/>
                          </w:rPr>
                        </m:ctrlPr>
                      </m:sSupPr>
                      <m:e>
                        <m:r>
                          <m:rPr/>
                          <w:rPr>
                            <w:rFonts w:ascii="Cambria Math" w:hAnsi="Cambria Math"/>
                            <w:sz w:val="24"/>
                          </w:rPr>
                          <m:t>)</m:t>
                        </m:r>
                        <m:ctrlPr>
                          <w:rPr>
                            <w:rFonts w:ascii="Cambria Math" w:hAnsi="Cambria Math"/>
                            <w:sz w:val="24"/>
                          </w:rPr>
                        </m:ctrlPr>
                      </m:e>
                      <m:sup>
                        <m:r>
                          <m:rPr/>
                          <w:rPr>
                            <w:rFonts w:ascii="Cambria Math" w:hAnsi="Cambria Math"/>
                            <w:sz w:val="24"/>
                          </w:rPr>
                          <m:t>2</m:t>
                        </m:r>
                        <m:ctrlPr>
                          <w:rPr>
                            <w:rFonts w:ascii="Cambria Math" w:hAnsi="Cambria Math"/>
                            <w:sz w:val="24"/>
                          </w:rPr>
                        </m:ctrlPr>
                      </m:sup>
                    </m:sSup>
                    <m:r>
                      <m:rPr/>
                      <w:rPr>
                        <w:rFonts w:ascii="Cambria Math" w:hAnsi="Cambria Math"/>
                        <w:sz w:val="24"/>
                      </w:rPr>
                      <m:t>+(</m:t>
                    </m:r>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j</m:t>
                        </m:r>
                        <m:ctrlPr>
                          <w:rPr>
                            <w:rFonts w:ascii="Cambria Math" w:hAnsi="Cambria Math"/>
                            <w:sz w:val="24"/>
                          </w:rPr>
                        </m:ctrlPr>
                      </m:sub>
                    </m:sSub>
                    <m:sSup>
                      <m:sSupPr>
                        <m:ctrlPr>
                          <w:rPr>
                            <w:rFonts w:ascii="Cambria Math" w:hAnsi="Cambria Math"/>
                            <w:sz w:val="24"/>
                          </w:rPr>
                        </m:ctrlPr>
                      </m:sSupPr>
                      <m:e>
                        <m:r>
                          <m:rPr/>
                          <w:rPr>
                            <w:rFonts w:ascii="Cambria Math" w:hAnsi="Cambria Math"/>
                            <w:sz w:val="24"/>
                          </w:rPr>
                          <m:t>)</m:t>
                        </m:r>
                        <m:ctrlPr>
                          <w:rPr>
                            <w:rFonts w:ascii="Cambria Math" w:hAnsi="Cambria Math"/>
                            <w:sz w:val="24"/>
                          </w:rPr>
                        </m:ctrlPr>
                      </m:e>
                      <m:sup>
                        <m:r>
                          <m:rPr/>
                          <w:rPr>
                            <w:rFonts w:ascii="Cambria Math" w:hAnsi="Cambria Math"/>
                            <w:sz w:val="24"/>
                          </w:rPr>
                          <m:t>2</m:t>
                        </m:r>
                        <m:ctrlPr>
                          <w:rPr>
                            <w:rFonts w:ascii="Cambria Math" w:hAnsi="Cambria Math"/>
                            <w:sz w:val="24"/>
                          </w:rPr>
                        </m:ctrlPr>
                      </m:sup>
                    </m:sSup>
                    <m:ctrlPr>
                      <w:rPr>
                        <w:rFonts w:ascii="Cambria Math" w:hAnsi="Cambria Math"/>
                        <w:sz w:val="24"/>
                      </w:rPr>
                    </m:ctrlPr>
                  </m:e>
                </m:rad>
                <m:ctrlPr>
                  <w:rPr>
                    <w:rFonts w:ascii="Cambria Math" w:hAnsi="Cambria Math"/>
                    <w:i/>
                    <w:sz w:val="24"/>
                  </w:rPr>
                </m:ctrlPr>
              </m:e>
            </m:mr>
          </m:m>
        </m:oMath>
      </m:oMathPara>
    </w:p>
    <w:p w14:paraId="0BA4C231">
      <w:pPr>
        <w:spacing w:line="360" w:lineRule="auto"/>
        <w:ind w:firstLine="480" w:firstLineChars="200"/>
        <w:rPr>
          <w:rFonts w:hint="eastAsia"/>
          <w:kern w:val="0"/>
          <w:sz w:val="24"/>
          <w:lang w:eastAsia="zh-CN"/>
        </w:rPr>
      </w:pPr>
      <w:r>
        <w:rPr>
          <w:rFonts w:hint="eastAsia"/>
          <w:kern w:val="0"/>
          <w:sz w:val="24"/>
        </w:rPr>
        <w:t>图5显示了绵羊的计算体尺。因此，关键点1与关键点12之间的测量为测量1 (M1)，关键点2与关键点11之间的测量为M2，关键点4与关键点12之间的测量为M3，关键点5与关键点8之间的测量为M4，关键点10与关键点12之间的测量为M5，关键点6和关键点8之间的测量值分配给变量M6，关键点10和关键点11之间分配给变量M7，关键点6和关键点7之间分配给变量M8，关键点11和关键点12之间分配给变量M9，关键点7和关键点8之间分配给变量M10。为所有图像获得的这些测量值分配了类值，并创建了表1中的数据集模型配置</w:t>
      </w:r>
      <w:r>
        <w:rPr>
          <w:rFonts w:hint="eastAsia"/>
          <w:kern w:val="0"/>
          <w:sz w:val="24"/>
          <w:lang w:eastAsia="zh-CN"/>
        </w:rPr>
        <w:t>。</w:t>
      </w:r>
    </w:p>
    <w:p w14:paraId="7A13071D">
      <w:pPr>
        <w:spacing w:line="360" w:lineRule="auto"/>
      </w:pPr>
      <w:r>
        <w:rPr>
          <w:rFonts w:hint="eastAsia"/>
          <w:lang w:val="en-US" w:eastAsia="zh-CN"/>
        </w:rPr>
        <w:t xml:space="preserve"> </w:t>
      </w:r>
      <w:r>
        <w:drawing>
          <wp:inline distT="0" distB="0" distL="114300" distR="114300">
            <wp:extent cx="5936615" cy="2452370"/>
            <wp:effectExtent l="0" t="0" r="6985" b="1143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5936615" cy="2452370"/>
                    </a:xfrm>
                    <a:prstGeom prst="rect">
                      <a:avLst/>
                    </a:prstGeom>
                    <a:noFill/>
                    <a:ln>
                      <a:noFill/>
                    </a:ln>
                  </pic:spPr>
                </pic:pic>
              </a:graphicData>
            </a:graphic>
          </wp:inline>
        </w:drawing>
      </w:r>
    </w:p>
    <w:p w14:paraId="0669A71B">
      <w:pPr>
        <w:spacing w:line="360" w:lineRule="auto"/>
        <w:ind w:firstLine="480" w:firstLineChars="200"/>
        <w:jc w:val="center"/>
        <w:rPr>
          <w:rFonts w:hint="eastAsia"/>
          <w:kern w:val="0"/>
          <w:sz w:val="24"/>
        </w:rPr>
      </w:pPr>
      <w:r>
        <w:rPr>
          <w:rFonts w:hint="eastAsia"/>
          <w:kern w:val="0"/>
          <w:sz w:val="24"/>
        </w:rPr>
        <w:t>图2. 数据集中样本图像示例。a）吃草；b）奔跑；c）坐姿；d）站立；e）行走；1）正面视角；2）侧面视角。</w:t>
      </w:r>
    </w:p>
    <w:p w14:paraId="5EF56A21">
      <w:pPr>
        <w:spacing w:line="360" w:lineRule="auto"/>
        <w:jc w:val="center"/>
      </w:pPr>
      <w:r>
        <w:drawing>
          <wp:inline distT="0" distB="0" distL="114300" distR="114300">
            <wp:extent cx="3397250" cy="2641600"/>
            <wp:effectExtent l="0" t="0" r="6350" b="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9"/>
                    <a:stretch>
                      <a:fillRect/>
                    </a:stretch>
                  </pic:blipFill>
                  <pic:spPr>
                    <a:xfrm>
                      <a:off x="0" y="0"/>
                      <a:ext cx="3397250" cy="2641600"/>
                    </a:xfrm>
                    <a:prstGeom prst="rect">
                      <a:avLst/>
                    </a:prstGeom>
                    <a:noFill/>
                    <a:ln>
                      <a:noFill/>
                    </a:ln>
                  </pic:spPr>
                </pic:pic>
              </a:graphicData>
            </a:graphic>
          </wp:inline>
        </w:drawing>
      </w:r>
    </w:p>
    <w:p w14:paraId="25714AD7">
      <w:pPr>
        <w:spacing w:line="360" w:lineRule="auto"/>
        <w:ind w:firstLine="480" w:firstLineChars="200"/>
        <w:jc w:val="center"/>
        <w:rPr>
          <w:rFonts w:hint="eastAsia"/>
          <w:kern w:val="0"/>
          <w:sz w:val="24"/>
          <w:lang w:eastAsia="zh-CN"/>
        </w:rPr>
      </w:pPr>
      <w:r>
        <w:rPr>
          <w:rFonts w:hint="eastAsia"/>
          <w:kern w:val="0"/>
          <w:sz w:val="24"/>
        </w:rPr>
        <w:t>图3. 本研究所用数据集标注过程的示例图像。a）吃草；b）站立；c）坐姿。</w:t>
      </w:r>
    </w:p>
    <w:p w14:paraId="4ABA8FFE">
      <w:pPr>
        <w:numPr>
          <w:ilvl w:val="0"/>
          <w:numId w:val="1"/>
        </w:numPr>
        <w:spacing w:line="360" w:lineRule="auto"/>
        <w:rPr>
          <w:rFonts w:hint="eastAsia" w:ascii="黑体" w:hAnsi="黑体" w:eastAsia="黑体"/>
          <w:color w:val="000000"/>
          <w:sz w:val="30"/>
          <w:szCs w:val="30"/>
        </w:rPr>
      </w:pPr>
      <w:r>
        <w:rPr>
          <w:rFonts w:hint="eastAsia" w:ascii="黑体" w:hAnsi="黑体" w:eastAsia="黑体"/>
          <w:color w:val="000000"/>
          <w:sz w:val="30"/>
          <w:szCs w:val="30"/>
        </w:rPr>
        <w:t>模型配置</w:t>
      </w:r>
    </w:p>
    <w:p w14:paraId="7232D3F8">
      <w:pPr>
        <w:spacing w:line="360" w:lineRule="auto"/>
        <w:ind w:firstLine="482" w:firstLineChars="200"/>
        <w:rPr>
          <w:b/>
          <w:bCs/>
          <w:kern w:val="0"/>
          <w:sz w:val="24"/>
        </w:rPr>
      </w:pPr>
      <w:r>
        <w:rPr>
          <w:rFonts w:hint="eastAsia"/>
          <w:b/>
          <w:bCs/>
          <w:kern w:val="0"/>
          <w:sz w:val="24"/>
        </w:rPr>
        <w:t>YOLOv8用于姿态分类</w:t>
      </w:r>
    </w:p>
    <w:p w14:paraId="22FAC2FD">
      <w:pPr>
        <w:spacing w:line="360" w:lineRule="auto"/>
        <w:ind w:firstLine="480" w:firstLineChars="200"/>
        <w:rPr>
          <w:kern w:val="0"/>
          <w:sz w:val="24"/>
        </w:rPr>
      </w:pPr>
      <w:r>
        <w:rPr>
          <w:rFonts w:hint="eastAsia"/>
          <w:kern w:val="0"/>
          <w:sz w:val="24"/>
        </w:rPr>
        <w:t>本研究的图像分析部分使用了YOLOV8姿态模型。数据集分为70%用于训练，20%用于验证，10%用于测试。相应地，每个班级的40个视频中有28个用于训练，8个用于验证，4个用于测试。因此，总共使用了3561张侧图进行训练，954个验证数据点用于验证，500个数据点用于测试。模型的批大小为16，学习率为0.01，动量为0.937,epoch为100，图像大小为640，优化方法为SGD。此阶段的训练大约需要3.5小时。所使用的超参数(例如，批大小，学习率，动量)最初是根据相关文献中报告的默认YOLOv8设置选择的，然后使用预验证实验进行微调。例如，我们测试了0.001、0.005和0.01的学习率，而0.01提供了收敛速度和准确性之间的最佳平衡。在训练阶段，应用集成到YOLOv8训练管道中的默认数据增强技术。这些技术包括随机水平翻转、HSV颜色抖动、图像缩放和平移。没有额外的手动增强，如高斯噪声或自定义的亮度/对比度变化应用。</w:t>
      </w:r>
    </w:p>
    <w:p w14:paraId="09171AFC">
      <w:pPr>
        <w:spacing w:line="360" w:lineRule="auto"/>
        <w:ind w:firstLine="482" w:firstLineChars="200"/>
        <w:rPr>
          <w:b/>
          <w:bCs/>
          <w:kern w:val="0"/>
          <w:sz w:val="24"/>
        </w:rPr>
      </w:pPr>
      <w:r>
        <w:rPr>
          <w:rFonts w:hint="eastAsia"/>
          <w:b/>
          <w:bCs/>
          <w:kern w:val="0"/>
          <w:sz w:val="24"/>
        </w:rPr>
        <w:t>基于身体测量的姿势估计的监督机器学习算法</w:t>
      </w:r>
    </w:p>
    <w:p w14:paraId="5672FC6E">
      <w:pPr>
        <w:spacing w:line="360" w:lineRule="auto"/>
        <w:ind w:firstLine="480" w:firstLineChars="200"/>
        <w:rPr>
          <w:kern w:val="0"/>
          <w:sz w:val="24"/>
        </w:rPr>
      </w:pPr>
      <w:r>
        <w:rPr>
          <w:rFonts w:hint="eastAsia"/>
          <w:kern w:val="0"/>
          <w:sz w:val="24"/>
        </w:rPr>
        <w:t>在这部分研究中使用了六种不同的监督机器学习算法。这些是支持向量机(SVM)， Naïve贝叶斯(NB)，分类和回归树(CART)， k近邻(KNN)，人工神经网络(ANN)和随机森林(RF)算法。在人工神经网络中，使用了大小为(128,128)的隐藏层，使用relu作为激活函数，并使用sgd作为优化方法。此外，在CART和RF算法中使用基尼指数，在SVM中使用rbf作为核。在RF算法中，估计器个数取100，最小样本分割取2，最小样本叶数取1。在KNN算法中，取邻居个数为5，以“minkowski”作为度量。在NB算法中算法，采用“高斯朴素贝叶斯”模型，方差平滑值为1e-9，为默认值。在研究的这一阶段，10%的数据集被保留用于测试。此外，在模型分析中使用了10倍交叉验证。人工神经网络中的隐藏层大小(128,128)是通过比较几种配置(例如64×64, 128×128和256×256)来实验确定的。所选择的大小提供了模型复杂性和性能之间的平衡。</w:t>
      </w:r>
    </w:p>
    <w:p w14:paraId="144ADB5C">
      <w:pPr>
        <w:numPr>
          <w:ilvl w:val="0"/>
          <w:numId w:val="1"/>
        </w:numPr>
        <w:spacing w:line="360" w:lineRule="auto"/>
        <w:rPr>
          <w:rFonts w:hint="eastAsia" w:ascii="黑体" w:hAnsi="黑体" w:eastAsia="黑体"/>
          <w:color w:val="000000"/>
          <w:sz w:val="30"/>
          <w:szCs w:val="30"/>
        </w:rPr>
      </w:pPr>
      <w:r>
        <w:rPr>
          <w:rFonts w:hint="eastAsia" w:ascii="黑体" w:hAnsi="黑体" w:eastAsia="黑体"/>
          <w:color w:val="000000"/>
          <w:sz w:val="30"/>
          <w:szCs w:val="30"/>
        </w:rPr>
        <w:t>性能评估指标和系统利用率</w:t>
      </w:r>
    </w:p>
    <w:p w14:paraId="16CE1245">
      <w:pPr>
        <w:spacing w:line="360" w:lineRule="auto"/>
        <w:ind w:firstLine="480" w:firstLineChars="200"/>
        <w:rPr>
          <w:kern w:val="0"/>
          <w:sz w:val="24"/>
        </w:rPr>
      </w:pPr>
      <w:r>
        <w:rPr>
          <w:rFonts w:hint="eastAsia"/>
          <w:kern w:val="0"/>
          <w:sz w:val="24"/>
        </w:rPr>
        <w:t>用于评估模型有效性的评估方法包括准确性、精密度、召回率和mAP(平均精密度)。这些性能指标来源于从混淆矩阵中提取的真阳性(TP)、真阴性(TN)、假阳性(FP)和假阴性(FN)值，如Eq. 2至5所述(Bati和Ser, 2023b)。</w:t>
      </w:r>
    </w:p>
    <w:p w14:paraId="7A9F9D3B">
      <w:pPr>
        <w:spacing w:line="360" w:lineRule="auto"/>
        <w:ind w:firstLine="480" w:firstLineChars="200"/>
        <w:rPr>
          <w:rFonts w:hAnsi="Cambria Math"/>
          <w:sz w:val="24"/>
        </w:rPr>
      </w:pPr>
      <m:oMathPara>
        <m:oMath>
          <m:m>
            <m:mPr>
              <m:mcs>
                <m:mc>
                  <m:mcPr>
                    <m:count m:val="1"/>
                    <m:mcJc m:val="center"/>
                  </m:mcPr>
                </m:mc>
              </m:mcs>
              <m:plcHide m:val="1"/>
              <m:ctrlPr>
                <w:rPr>
                  <w:rFonts w:ascii="Cambria Math" w:hAnsi="Cambria Math"/>
                  <w:i/>
                  <w:sz w:val="24"/>
                </w:rPr>
              </m:ctrlPr>
            </m:mPr>
            <m:mr>
              <m:e>
                <m:r>
                  <m:rPr/>
                  <w:rPr>
                    <w:rFonts w:ascii="Cambria Math" w:hAnsi="Cambria Math"/>
                    <w:sz w:val="24"/>
                  </w:rPr>
                  <m:t>Accuracy=</m:t>
                </m:r>
                <m:f>
                  <m:fPr>
                    <m:ctrlPr>
                      <w:rPr>
                        <w:rFonts w:ascii="Cambria Math" w:hAnsi="Cambria Math"/>
                        <w:i/>
                        <w:sz w:val="24"/>
                      </w:rPr>
                    </m:ctrlPr>
                  </m:fPr>
                  <m:num>
                    <m:r>
                      <m:rPr/>
                      <w:rPr>
                        <w:rFonts w:ascii="Cambria Math" w:hAnsi="Cambria Math"/>
                        <w:sz w:val="24"/>
                      </w:rPr>
                      <m:t>tp+tn</m:t>
                    </m:r>
                    <m:ctrlPr>
                      <w:rPr>
                        <w:rFonts w:ascii="Cambria Math" w:hAnsi="Cambria Math"/>
                        <w:sz w:val="24"/>
                      </w:rPr>
                    </m:ctrlPr>
                  </m:num>
                  <m:den>
                    <m:r>
                      <m:rPr/>
                      <w:rPr>
                        <w:rFonts w:ascii="Cambria Math" w:hAnsi="Cambria Math"/>
                        <w:sz w:val="24"/>
                      </w:rPr>
                      <m:t>tp+tn+fp+fn</m:t>
                    </m:r>
                    <m:ctrlPr>
                      <w:rPr>
                        <w:rFonts w:ascii="Cambria Math" w:hAnsi="Cambria Math"/>
                        <w:sz w:val="24"/>
                      </w:rPr>
                    </m:ctrlPr>
                  </m:den>
                </m:f>
                <m:ctrlPr>
                  <w:rPr>
                    <w:rFonts w:ascii="Cambria Math" w:hAnsi="Cambria Math"/>
                    <w:i/>
                    <w:sz w:val="24"/>
                  </w:rPr>
                </m:ctrlPr>
              </m:e>
            </m:mr>
          </m:m>
        </m:oMath>
      </m:oMathPara>
    </w:p>
    <w:p w14:paraId="585FDB2A">
      <w:pPr>
        <w:spacing w:line="360" w:lineRule="auto"/>
        <w:ind w:firstLine="480" w:firstLineChars="200"/>
        <w:rPr>
          <w:rFonts w:hAnsi="Cambria Math"/>
          <w:i w:val="0"/>
          <w:sz w:val="24"/>
        </w:rPr>
      </w:pPr>
      <m:oMathPara>
        <m:oMath>
          <m:m>
            <m:mPr>
              <m:mcs>
                <m:mc>
                  <m:mcPr>
                    <m:count m:val="1"/>
                    <m:mcJc m:val="center"/>
                  </m:mcPr>
                </m:mc>
              </m:mcs>
              <m:plcHide m:val="1"/>
              <m:ctrlPr>
                <w:rPr>
                  <w:rFonts w:ascii="Cambria Math" w:hAnsi="Cambria Math"/>
                  <w:i/>
                  <w:sz w:val="24"/>
                </w:rPr>
              </m:ctrlPr>
            </m:mPr>
            <m:mr>
              <m:e>
                <m:r>
                  <m:rPr/>
                  <w:rPr>
                    <w:rFonts w:ascii="Cambria Math" w:hAnsi="Cambria Math"/>
                    <w:sz w:val="24"/>
                  </w:rPr>
                  <m:t>Precision=</m:t>
                </m:r>
                <m:f>
                  <m:fPr>
                    <m:ctrlPr>
                      <w:rPr>
                        <w:rFonts w:ascii="Cambria Math" w:hAnsi="Cambria Math"/>
                        <w:i/>
                        <w:sz w:val="24"/>
                      </w:rPr>
                    </m:ctrlPr>
                  </m:fPr>
                  <m:num>
                    <m:r>
                      <m:rPr/>
                      <w:rPr>
                        <w:rFonts w:ascii="Cambria Math" w:hAnsi="Cambria Math"/>
                        <w:sz w:val="24"/>
                      </w:rPr>
                      <m:t>tp</m:t>
                    </m:r>
                    <m:ctrlPr>
                      <w:rPr>
                        <w:rFonts w:ascii="Cambria Math" w:hAnsi="Cambria Math"/>
                        <w:sz w:val="24"/>
                      </w:rPr>
                    </m:ctrlPr>
                  </m:num>
                  <m:den>
                    <m:r>
                      <m:rPr/>
                      <w:rPr>
                        <w:rFonts w:ascii="Cambria Math" w:hAnsi="Cambria Math"/>
                        <w:sz w:val="24"/>
                      </w:rPr>
                      <m:t>tp+fp</m:t>
                    </m:r>
                    <m:ctrlPr>
                      <w:rPr>
                        <w:rFonts w:ascii="Cambria Math" w:hAnsi="Cambria Math"/>
                        <w:sz w:val="24"/>
                      </w:rPr>
                    </m:ctrlPr>
                  </m:den>
                </m:f>
                <m:ctrlPr>
                  <w:rPr>
                    <w:rFonts w:ascii="Cambria Math" w:hAnsi="Cambria Math"/>
                    <w:i/>
                    <w:sz w:val="24"/>
                  </w:rPr>
                </m:ctrlPr>
              </m:e>
            </m:mr>
          </m:m>
        </m:oMath>
      </m:oMathPara>
    </w:p>
    <w:p w14:paraId="2E9A7B1C">
      <w:pPr>
        <w:spacing w:line="360" w:lineRule="auto"/>
        <w:jc w:val="center"/>
      </w:pPr>
      <w:r>
        <w:drawing>
          <wp:inline distT="0" distB="0" distL="114300" distR="114300">
            <wp:extent cx="3168650" cy="1231900"/>
            <wp:effectExtent l="0" t="0" r="6350" b="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0"/>
                    <a:stretch>
                      <a:fillRect/>
                    </a:stretch>
                  </pic:blipFill>
                  <pic:spPr>
                    <a:xfrm>
                      <a:off x="0" y="0"/>
                      <a:ext cx="3168650" cy="1231900"/>
                    </a:xfrm>
                    <a:prstGeom prst="rect">
                      <a:avLst/>
                    </a:prstGeom>
                    <a:noFill/>
                    <a:ln>
                      <a:noFill/>
                    </a:ln>
                  </pic:spPr>
                </pic:pic>
              </a:graphicData>
            </a:graphic>
          </wp:inline>
        </w:drawing>
      </w:r>
    </w:p>
    <w:p w14:paraId="48E8AB3F">
      <w:pPr>
        <w:spacing w:line="360" w:lineRule="auto"/>
        <w:ind w:firstLine="480" w:firstLineChars="200"/>
        <w:jc w:val="center"/>
        <w:rPr>
          <w:rFonts w:hint="eastAsia"/>
          <w:kern w:val="0"/>
          <w:sz w:val="24"/>
        </w:rPr>
      </w:pPr>
      <w:r>
        <w:rPr>
          <w:rFonts w:hint="eastAsia"/>
          <w:kern w:val="0"/>
          <w:sz w:val="24"/>
        </w:rPr>
        <w:t>图4. 关键点的标注示例。</w:t>
      </w:r>
    </w:p>
    <w:p w14:paraId="0B4246C8">
      <w:pPr>
        <w:spacing w:line="360" w:lineRule="auto"/>
        <w:jc w:val="center"/>
      </w:pPr>
      <w:r>
        <w:drawing>
          <wp:inline distT="0" distB="0" distL="114300" distR="114300">
            <wp:extent cx="2730500" cy="1320800"/>
            <wp:effectExtent l="0" t="0" r="0" b="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1"/>
                    <a:stretch>
                      <a:fillRect/>
                    </a:stretch>
                  </pic:blipFill>
                  <pic:spPr>
                    <a:xfrm>
                      <a:off x="0" y="0"/>
                      <a:ext cx="2730500" cy="1320800"/>
                    </a:xfrm>
                    <a:prstGeom prst="rect">
                      <a:avLst/>
                    </a:prstGeom>
                    <a:noFill/>
                    <a:ln>
                      <a:noFill/>
                    </a:ln>
                  </pic:spPr>
                </pic:pic>
              </a:graphicData>
            </a:graphic>
          </wp:inline>
        </w:drawing>
      </w:r>
    </w:p>
    <w:p w14:paraId="0913873A">
      <w:pPr>
        <w:spacing w:line="360" w:lineRule="auto"/>
        <w:ind w:firstLine="480" w:firstLineChars="200"/>
        <w:jc w:val="center"/>
        <w:rPr>
          <w:rFonts w:hint="eastAsia"/>
          <w:kern w:val="0"/>
          <w:sz w:val="24"/>
        </w:rPr>
      </w:pPr>
      <w:r>
        <w:rPr>
          <w:rFonts w:hint="eastAsia"/>
          <w:kern w:val="0"/>
          <w:sz w:val="24"/>
        </w:rPr>
        <w:t>图5. 利用关键点计算得到的身体尺寸参数。</w:t>
      </w:r>
    </w:p>
    <w:p w14:paraId="06DE7F2D">
      <w:pPr>
        <w:spacing w:line="360" w:lineRule="auto"/>
        <w:ind w:firstLine="480" w:firstLineChars="200"/>
        <w:jc w:val="center"/>
        <w:rPr>
          <w:rFonts w:hint="eastAsia"/>
          <w:kern w:val="0"/>
          <w:sz w:val="24"/>
        </w:rPr>
      </w:pPr>
      <w:r>
        <w:rPr>
          <w:rFonts w:hint="eastAsia"/>
          <w:kern w:val="0"/>
          <w:sz w:val="24"/>
        </w:rPr>
        <w:t>表1. 身体尺寸测量数据。</w:t>
      </w:r>
    </w:p>
    <w:p w14:paraId="6B26EF62">
      <w:pPr>
        <w:spacing w:line="360" w:lineRule="auto"/>
        <w:jc w:val="center"/>
      </w:pPr>
      <w:r>
        <w:drawing>
          <wp:inline distT="0" distB="0" distL="114300" distR="114300">
            <wp:extent cx="3219450" cy="1200150"/>
            <wp:effectExtent l="0" t="0" r="6350" b="635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2"/>
                    <a:stretch>
                      <a:fillRect/>
                    </a:stretch>
                  </pic:blipFill>
                  <pic:spPr>
                    <a:xfrm>
                      <a:off x="0" y="0"/>
                      <a:ext cx="3219450" cy="1200150"/>
                    </a:xfrm>
                    <a:prstGeom prst="rect">
                      <a:avLst/>
                    </a:prstGeom>
                    <a:noFill/>
                    <a:ln>
                      <a:noFill/>
                    </a:ln>
                  </pic:spPr>
                </pic:pic>
              </a:graphicData>
            </a:graphic>
          </wp:inline>
        </w:drawing>
      </w:r>
    </w:p>
    <w:p w14:paraId="7067C87A">
      <w:pPr>
        <w:spacing w:line="360" w:lineRule="auto"/>
        <w:ind w:firstLine="480" w:firstLineChars="200"/>
        <w:rPr>
          <w:rFonts w:hAnsi="Cambria Math"/>
          <w:sz w:val="24"/>
        </w:rPr>
      </w:pPr>
      <m:oMathPara>
        <m:oMath>
          <m:m>
            <m:mPr>
              <m:mcs>
                <m:mc>
                  <m:mcPr>
                    <m:count m:val="1"/>
                    <m:mcJc m:val="center"/>
                  </m:mcPr>
                </m:mc>
              </m:mcs>
              <m:plcHide m:val="1"/>
              <m:ctrlPr>
                <w:rPr>
                  <w:rFonts w:ascii="Cambria Math" w:hAnsi="Cambria Math"/>
                  <w:i/>
                  <w:sz w:val="24"/>
                </w:rPr>
              </m:ctrlPr>
            </m:mPr>
            <m:mr>
              <m:e>
                <m:r>
                  <m:rPr/>
                  <w:rPr>
                    <w:rFonts w:ascii="Cambria Math" w:hAnsi="Cambria Math"/>
                    <w:sz w:val="24"/>
                  </w:rPr>
                  <m:t>Recall=</m:t>
                </m:r>
                <m:f>
                  <m:fPr>
                    <m:ctrlPr>
                      <w:rPr>
                        <w:rFonts w:ascii="Cambria Math" w:hAnsi="Cambria Math"/>
                        <w:i/>
                        <w:sz w:val="24"/>
                      </w:rPr>
                    </m:ctrlPr>
                  </m:fPr>
                  <m:num>
                    <m:r>
                      <m:rPr/>
                      <w:rPr>
                        <w:rFonts w:ascii="Cambria Math" w:hAnsi="Cambria Math"/>
                        <w:sz w:val="24"/>
                      </w:rPr>
                      <m:t>TP</m:t>
                    </m:r>
                    <m:ctrlPr>
                      <w:rPr>
                        <w:rFonts w:ascii="Cambria Math" w:hAnsi="Cambria Math"/>
                        <w:sz w:val="24"/>
                      </w:rPr>
                    </m:ctrlPr>
                  </m:num>
                  <m:den>
                    <m:r>
                      <m:rPr/>
                      <w:rPr>
                        <w:rFonts w:ascii="Cambria Math" w:hAnsi="Cambria Math"/>
                        <w:sz w:val="24"/>
                      </w:rPr>
                      <m:t>TP+FN</m:t>
                    </m:r>
                    <m:ctrlPr>
                      <w:rPr>
                        <w:rFonts w:ascii="Cambria Math" w:hAnsi="Cambria Math"/>
                        <w:sz w:val="24"/>
                      </w:rPr>
                    </m:ctrlPr>
                  </m:den>
                </m:f>
                <m:ctrlPr>
                  <w:rPr>
                    <w:rFonts w:ascii="Cambria Math" w:hAnsi="Cambria Math"/>
                    <w:i/>
                    <w:sz w:val="24"/>
                  </w:rPr>
                </m:ctrlPr>
              </m:e>
            </m:mr>
          </m:m>
        </m:oMath>
      </m:oMathPara>
    </w:p>
    <w:p w14:paraId="5882D193">
      <w:pPr>
        <w:spacing w:line="360" w:lineRule="auto"/>
        <w:ind w:firstLine="480" w:firstLineChars="200"/>
        <w:rPr>
          <w:rFonts w:hAnsi="Cambria Math"/>
          <w:sz w:val="24"/>
        </w:rPr>
      </w:pPr>
      <m:oMathPara>
        <m:oMath>
          <m:m>
            <m:mPr>
              <m:mcs>
                <m:mc>
                  <m:mcPr>
                    <m:count m:val="1"/>
                    <m:mcJc m:val="center"/>
                  </m:mcPr>
                </m:mc>
              </m:mcs>
              <m:plcHide m:val="1"/>
              <m:ctrlPr>
                <w:rPr>
                  <w:rFonts w:ascii="Cambria Math" w:hAnsi="Cambria Math"/>
                  <w:i/>
                  <w:sz w:val="24"/>
                </w:rPr>
              </m:ctrlPr>
            </m:mPr>
            <m:mr>
              <m:e>
                <m:r>
                  <m:rPr/>
                  <w:rPr>
                    <w:rFonts w:ascii="Cambria Math" w:hAnsi="Cambria Math"/>
                    <w:sz w:val="24"/>
                  </w:rPr>
                  <m:t>mAP=</m:t>
                </m:r>
                <m:f>
                  <m:fPr>
                    <m:ctrlPr>
                      <w:rPr>
                        <w:rFonts w:ascii="Cambria Math" w:hAnsi="Cambria Math"/>
                        <w:i/>
                        <w:sz w:val="24"/>
                      </w:rPr>
                    </m:ctrlPr>
                  </m:fPr>
                  <m:num>
                    <m:r>
                      <m:rPr/>
                      <w:rPr>
                        <w:rFonts w:ascii="Cambria Math" w:hAnsi="Cambria Math"/>
                        <w:sz w:val="24"/>
                      </w:rPr>
                      <m:t>1</m:t>
                    </m:r>
                    <m:ctrlPr>
                      <w:rPr>
                        <w:rFonts w:ascii="Cambria Math" w:hAnsi="Cambria Math"/>
                        <w:sz w:val="24"/>
                      </w:rPr>
                    </m:ctrlPr>
                  </m:num>
                  <m:den>
                    <m:r>
                      <m:rPr/>
                      <w:rPr>
                        <w:rFonts w:ascii="Cambria Math" w:hAnsi="Cambria Math"/>
                        <w:sz w:val="24"/>
                      </w:rPr>
                      <m:t>N</m:t>
                    </m:r>
                    <m:ctrlPr>
                      <w:rPr>
                        <w:rFonts w:ascii="Cambria Math" w:hAnsi="Cambria Math"/>
                        <w:sz w:val="24"/>
                      </w:rPr>
                    </m:ctrlPr>
                  </m:den>
                </m:f>
                <m:nary>
                  <m:naryPr>
                    <m:chr m:val="∑"/>
                    <m:limLoc m:val="undOvr"/>
                    <m:ctrlPr>
                      <w:rPr>
                        <w:rFonts w:ascii="Cambria Math" w:hAnsi="Cambria Math"/>
                        <w:i/>
                        <w:sz w:val="24"/>
                      </w:rPr>
                    </m:ctrlPr>
                  </m:naryPr>
                  <m:sub>
                    <m:r>
                      <m:rPr/>
                      <w:rPr>
                        <w:rFonts w:ascii="Cambria Math" w:hAnsi="Cambria Math"/>
                        <w:sz w:val="24"/>
                      </w:rPr>
                      <m:t>i=1</m:t>
                    </m:r>
                    <m:ctrlPr>
                      <w:rPr>
                        <w:rFonts w:ascii="Cambria Math" w:hAnsi="Cambria Math"/>
                        <w:sz w:val="24"/>
                      </w:rPr>
                    </m:ctrlPr>
                  </m:sub>
                  <m:sup>
                    <m:r>
                      <m:rPr/>
                      <w:rPr>
                        <w:rFonts w:ascii="Cambria Math" w:hAnsi="Cambria Math"/>
                        <w:sz w:val="24"/>
                      </w:rPr>
                      <m:t>N</m:t>
                    </m:r>
                    <m:ctrlPr>
                      <w:rPr>
                        <w:rFonts w:ascii="Cambria Math" w:hAnsi="Cambria Math"/>
                        <w:sz w:val="24"/>
                      </w:rPr>
                    </m:ctrlPr>
                  </m:sup>
                  <m:e>
                    <m:r>
                      <m:rPr/>
                      <w:rPr>
                        <w:rFonts w:ascii="Cambria Math" w:hAnsi="Cambria Math"/>
                        <w:sz w:val="24"/>
                      </w:rPr>
                      <m:t>A</m:t>
                    </m:r>
                    <m:ctrlPr>
                      <w:rPr>
                        <w:rFonts w:ascii="Cambria Math" w:hAnsi="Cambria Math"/>
                        <w:sz w:val="24"/>
                      </w:rPr>
                    </m:ctrlPr>
                  </m:e>
                </m:nary>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i</m:t>
                    </m:r>
                    <m:ctrlPr>
                      <w:rPr>
                        <w:rFonts w:ascii="Cambria Math" w:hAnsi="Cambria Math"/>
                        <w:sz w:val="24"/>
                      </w:rPr>
                    </m:ctrlPr>
                  </m:sub>
                </m:sSub>
                <m:ctrlPr>
                  <w:rPr>
                    <w:rFonts w:ascii="Cambria Math" w:hAnsi="Cambria Math"/>
                    <w:sz w:val="24"/>
                  </w:rPr>
                </m:ctrlPr>
              </m:e>
            </m:mr>
          </m:m>
        </m:oMath>
      </m:oMathPara>
    </w:p>
    <w:p w14:paraId="2DAEEBEA">
      <w:pPr>
        <w:spacing w:line="360" w:lineRule="auto"/>
        <w:ind w:firstLine="480" w:firstLineChars="200"/>
        <w:rPr>
          <w:kern w:val="0"/>
          <w:sz w:val="24"/>
        </w:rPr>
      </w:pPr>
      <w:r>
        <w:rPr>
          <w:rFonts w:hint="eastAsia"/>
          <w:kern w:val="0"/>
          <w:sz w:val="24"/>
        </w:rPr>
        <w:t>式中:AP为平均精度。</w:t>
      </w:r>
    </w:p>
    <w:p w14:paraId="2A9D3EFC">
      <w:pPr>
        <w:spacing w:line="360" w:lineRule="auto"/>
        <w:ind w:firstLine="480" w:firstLineChars="200"/>
        <w:rPr>
          <w:kern w:val="0"/>
          <w:sz w:val="24"/>
        </w:rPr>
      </w:pPr>
      <w:r>
        <w:rPr>
          <w:rFonts w:hint="eastAsia"/>
          <w:kern w:val="0"/>
          <w:sz w:val="24"/>
        </w:rPr>
        <w:t>正如Maji等人(2022)所指出的，对象关键点相似度(OKS)被广泛认为是关键点评估的标准度量。它在0到1的范围内进行测量，分数越高，对应于预测的关键点与基本事实之间的匹配越紧密。在姿态估计模型的背景下，如果预测的关键点位于距离实际地面真值关键点的预定义距离阈值内，则预测被分类为“正”或准确(Jocher et al.， 2023)。每个关键点的关键点相似度(KS)是通过将预测和真实关键点之间的欧几里得距离应用于标准差为的非归一化高斯分布来确定的。</w:t>
      </w:r>
    </w:p>
    <w:p w14:paraId="6D860E41">
      <w:pPr>
        <w:spacing w:line="360" w:lineRule="auto"/>
        <w:ind w:firstLine="480" w:firstLineChars="200"/>
        <w:rPr>
          <w:kern w:val="0"/>
          <w:sz w:val="24"/>
        </w:rPr>
      </w:pPr>
      <w:r>
        <w:rPr>
          <w:rFonts w:hint="eastAsia"/>
          <w:kern w:val="0"/>
          <w:sz w:val="24"/>
        </w:rPr>
        <w:t>形式上，第-个关键点类型的关键点相似度可以表示为Eq. 6 (Dutta and Dawn, 2023)。</w:t>
      </w:r>
    </w:p>
    <w:p w14:paraId="4ADDC31B">
      <w:pPr>
        <w:spacing w:line="360" w:lineRule="auto"/>
        <w:ind w:firstLine="480" w:firstLineChars="200"/>
        <w:rPr>
          <w:kern w:val="0"/>
          <w:sz w:val="24"/>
        </w:rPr>
      </w:pPr>
      <m:oMathPara>
        <m:oMath>
          <m:m>
            <m:mPr>
              <m:mcs>
                <m:mc>
                  <m:mcPr>
                    <m:count m:val="1"/>
                    <m:mcJc m:val="center"/>
                  </m:mcPr>
                </m:mc>
              </m:mcs>
              <m:plcHide m:val="1"/>
              <m:ctrlPr>
                <w:rPr>
                  <w:rFonts w:ascii="Cambria Math" w:hAnsi="Cambria Math"/>
                  <w:i/>
                  <w:sz w:val="24"/>
                </w:rPr>
              </m:ctrlPr>
            </m:mPr>
            <m:mr>
              <m:e>
                <m:r>
                  <m:rPr/>
                  <w:rPr>
                    <w:rFonts w:ascii="Cambria Math" w:hAnsi="Cambria Math"/>
                    <w:sz w:val="24"/>
                  </w:rPr>
                  <m:t>K</m:t>
                </m:r>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exp</m:t>
                    </m:r>
                    <m:ctrlPr>
                      <w:rPr>
                        <w:rFonts w:ascii="Cambria Math" w:hAnsi="Cambria Math"/>
                        <w:sz w:val="24"/>
                      </w:rPr>
                    </m:ctrlPr>
                  </m:fName>
                  <m:e>
                    <m:d>
                      <m:dPr>
                        <m:ctrlPr>
                          <w:rPr>
                            <w:rFonts w:ascii="Cambria Math" w:hAnsi="Cambria Math"/>
                            <w:i/>
                            <w:sz w:val="24"/>
                          </w:rPr>
                        </m:ctrlPr>
                      </m:dPr>
                      <m:e>
                        <m:r>
                          <m:rPr/>
                          <w:rPr>
                            <w:rFonts w:ascii="Cambria Math" w:hAnsi="Cambria Math"/>
                            <w:sz w:val="24"/>
                          </w:rPr>
                          <m:t>−</m:t>
                        </m:r>
                        <m:f>
                          <m:fPr>
                            <m:ctrlPr>
                              <w:rPr>
                                <w:rFonts w:ascii="Cambria Math" w:hAnsi="Cambria Math"/>
                                <w:i/>
                                <w:sz w:val="24"/>
                              </w:rPr>
                            </m:ctrlPr>
                          </m:fPr>
                          <m:num>
                            <m:sSubSup>
                              <m:sSubSupPr>
                                <m:ctrlPr>
                                  <w:rPr>
                                    <w:rFonts w:ascii="Cambria Math" w:hAnsi="Cambria Math"/>
                                    <w:sz w:val="24"/>
                                  </w:rPr>
                                </m:ctrlPr>
                              </m:sSubSupPr>
                              <m:e>
                                <m:r>
                                  <m:rPr/>
                                  <w:rPr>
                                    <w:rFonts w:ascii="Cambria Math" w:hAnsi="Cambria Math"/>
                                    <w:sz w:val="24"/>
                                  </w:rPr>
                                  <m:t>d</m:t>
                                </m:r>
                                <m:ctrlPr>
                                  <w:rPr>
                                    <w:rFonts w:ascii="Cambria Math" w:hAnsi="Cambria Math"/>
                                    <w:sz w:val="24"/>
                                  </w:rPr>
                                </m:ctrlPr>
                              </m:e>
                              <m:sub>
                                <m:r>
                                  <m:rPr/>
                                  <w:rPr>
                                    <w:rFonts w:ascii="Cambria Math" w:hAnsi="Cambria Math"/>
                                    <w:sz w:val="24"/>
                                  </w:rPr>
                                  <m:t>i</m:t>
                                </m:r>
                                <m:ctrlPr>
                                  <w:rPr>
                                    <w:rFonts w:ascii="Cambria Math" w:hAnsi="Cambria Math"/>
                                    <w:sz w:val="24"/>
                                  </w:rPr>
                                </m:ctrlPr>
                              </m:sub>
                              <m:sup>
                                <m:r>
                                  <m:rPr/>
                                  <w:rPr>
                                    <w:rFonts w:ascii="Cambria Math" w:hAnsi="Cambria Math"/>
                                    <w:sz w:val="24"/>
                                  </w:rPr>
                                  <m:t>2</m:t>
                                </m:r>
                                <m:ctrlPr>
                                  <w:rPr>
                                    <w:rFonts w:ascii="Cambria Math" w:hAnsi="Cambria Math"/>
                                    <w:sz w:val="24"/>
                                  </w:rPr>
                                </m:ctrlPr>
                              </m:sup>
                            </m:sSubSup>
                            <m:ctrlPr>
                              <w:rPr>
                                <w:rFonts w:ascii="Cambria Math" w:hAnsi="Cambria Math"/>
                                <w:sz w:val="24"/>
                              </w:rPr>
                            </m:ctrlPr>
                          </m:num>
                          <m:den>
                            <m:r>
                              <m:rPr/>
                              <w:rPr>
                                <w:rFonts w:ascii="Cambria Math" w:hAnsi="Cambria Math"/>
                                <w:sz w:val="24"/>
                              </w:rPr>
                              <m:t>2</m:t>
                            </m:r>
                            <m:sSup>
                              <m:sSupPr>
                                <m:ctrlPr>
                                  <w:rPr>
                                    <w:rFonts w:ascii="Cambria Math" w:hAnsi="Cambria Math"/>
                                    <w:sz w:val="24"/>
                                  </w:rPr>
                                </m:ctrlPr>
                              </m:sSupPr>
                              <m:e>
                                <m:r>
                                  <m:rPr/>
                                  <w:rPr>
                                    <w:rFonts w:ascii="Cambria Math" w:hAnsi="Cambria Math"/>
                                    <w:sz w:val="24"/>
                                  </w:rPr>
                                  <m:t>s</m:t>
                                </m:r>
                                <m:ctrlPr>
                                  <w:rPr>
                                    <w:rFonts w:ascii="Cambria Math" w:hAnsi="Cambria Math"/>
                                    <w:sz w:val="24"/>
                                  </w:rPr>
                                </m:ctrlPr>
                              </m:e>
                              <m:sup>
                                <m:r>
                                  <m:rPr/>
                                  <w:rPr>
                                    <w:rFonts w:ascii="Cambria Math" w:hAnsi="Cambria Math"/>
                                    <w:sz w:val="24"/>
                                  </w:rPr>
                                  <m:t>2</m:t>
                                </m:r>
                                <m:ctrlPr>
                                  <w:rPr>
                                    <w:rFonts w:ascii="Cambria Math" w:hAnsi="Cambria Math"/>
                                    <w:sz w:val="24"/>
                                  </w:rPr>
                                </m:ctrlPr>
                              </m:sup>
                            </m:sSup>
                            <m:sSubSup>
                              <m:sSubSupPr>
                                <m:ctrlPr>
                                  <w:rPr>
                                    <w:rFonts w:ascii="Cambria Math" w:hAnsi="Cambria Math"/>
                                    <w:sz w:val="24"/>
                                  </w:rPr>
                                </m:ctrlPr>
                              </m:sSubSupPr>
                              <m:e>
                                <m:r>
                                  <m:rPr/>
                                  <w:rPr>
                                    <w:rFonts w:ascii="Cambria Math" w:hAnsi="Cambria Math"/>
                                    <w:sz w:val="24"/>
                                  </w:rPr>
                                  <m:t>k</m:t>
                                </m:r>
                                <m:ctrlPr>
                                  <w:rPr>
                                    <w:rFonts w:ascii="Cambria Math" w:hAnsi="Cambria Math"/>
                                    <w:sz w:val="24"/>
                                  </w:rPr>
                                </m:ctrlPr>
                              </m:e>
                              <m:sub>
                                <m:r>
                                  <m:rPr/>
                                  <w:rPr>
                                    <w:rFonts w:ascii="Cambria Math" w:hAnsi="Cambria Math"/>
                                    <w:sz w:val="24"/>
                                  </w:rPr>
                                  <m:t>i</m:t>
                                </m:r>
                                <m:ctrlPr>
                                  <w:rPr>
                                    <w:rFonts w:ascii="Cambria Math" w:hAnsi="Cambria Math"/>
                                    <w:sz w:val="24"/>
                                  </w:rPr>
                                </m:ctrlPr>
                              </m:sub>
                              <m:sup>
                                <m:r>
                                  <m:rPr/>
                                  <w:rPr>
                                    <w:rFonts w:ascii="Cambria Math" w:hAnsi="Cambria Math"/>
                                    <w:sz w:val="24"/>
                                  </w:rPr>
                                  <m:t>2</m:t>
                                </m:r>
                                <m:ctrlPr>
                                  <w:rPr>
                                    <w:rFonts w:ascii="Cambria Math" w:hAnsi="Cambria Math"/>
                                    <w:sz w:val="24"/>
                                  </w:rPr>
                                </m:ctrlPr>
                              </m:sup>
                            </m:sSubSup>
                            <m:ctrlPr>
                              <w:rPr>
                                <w:rFonts w:ascii="Cambria Math" w:hAnsi="Cambria Math"/>
                                <w:sz w:val="24"/>
                              </w:rPr>
                            </m:ctrlPr>
                          </m:den>
                        </m:f>
                        <m:ctrlPr>
                          <w:rPr>
                            <w:rFonts w:ascii="Cambria Math" w:hAnsi="Cambria Math"/>
                            <w:i/>
                            <w:sz w:val="24"/>
                          </w:rPr>
                        </m:ctrlPr>
                      </m:e>
                    </m:d>
                    <m:ctrlPr>
                      <w:rPr>
                        <w:rFonts w:ascii="Cambria Math" w:hAnsi="Cambria Math"/>
                        <w:i/>
                        <w:sz w:val="24"/>
                      </w:rPr>
                    </m:ctrlPr>
                  </m:e>
                </m:func>
                <m:ctrlPr>
                  <w:rPr>
                    <w:rFonts w:ascii="Cambria Math" w:hAnsi="Cambria Math"/>
                    <w:sz w:val="24"/>
                  </w:rPr>
                </m:ctrlPr>
              </m:e>
            </m:mr>
          </m:m>
        </m:oMath>
      </m:oMathPara>
    </w:p>
    <w:p w14:paraId="3892C770">
      <w:pPr>
        <w:spacing w:line="360" w:lineRule="auto"/>
        <w:ind w:firstLine="480" w:firstLineChars="200"/>
        <w:rPr>
          <w:kern w:val="0"/>
          <w:sz w:val="24"/>
        </w:rPr>
      </w:pPr>
      <w:r>
        <w:rPr>
          <w:rFonts w:hint="eastAsia"/>
          <w:kern w:val="0"/>
          <w:sz w:val="24"/>
        </w:rPr>
        <w:t>式中:di为地面真值与预测的第i个关键点之间的欧几里得距离;K是与第i个关键点相关的常数;S表示地面真值对象的尺度，使得s2对应于该对象的分割面积。OKS最终被计算为给定实例中所有注释关键点的算术平均值。OKS的数学表示见Eq. 7(Dutta and Dawn, 2023)。式中:KSi为第-类关键点的关键点相似度;Vi为第-类关键点的ground truth visibility flag;d(vi &gt; 0)是Dirac-delta函数，如果第-个关键点被注释，则为1，否则为0。未注释的部分(其中vi =0)不影响OKS计算。真阳性、假阳性和假阴性的确定基于OKS阈值，类似到交联(Intersection over Union, IoU)度量。如果真实值和预测值之间的OKS分数超过OKS阈值，则检测被认为是真阳性;否则，则被视为假阳性。所有不匹配的基础真理都被认为是假否定(Ronchi and Perona, 2017;《Dutta andDawn》，2023)。</w:t>
      </w:r>
    </w:p>
    <w:p w14:paraId="71F9EB5A">
      <w:pPr>
        <w:spacing w:line="360" w:lineRule="auto"/>
        <w:ind w:firstLine="480" w:firstLineChars="200"/>
        <w:rPr>
          <w:rFonts w:hAnsi="Cambria Math"/>
          <w:i w:val="0"/>
          <w:sz w:val="24"/>
        </w:rPr>
      </w:pPr>
      <m:oMathPara>
        <m:oMath>
          <m:m>
            <m:mPr>
              <m:mcs>
                <m:mc>
                  <m:mcPr>
                    <m:count m:val="1"/>
                    <m:mcJc m:val="center"/>
                  </m:mcPr>
                </m:mc>
              </m:mcs>
              <m:plcHide m:val="1"/>
              <m:ctrlPr>
                <w:rPr>
                  <w:rFonts w:ascii="Cambria Math" w:hAnsi="Cambria Math"/>
                  <w:i/>
                  <w:sz w:val="24"/>
                </w:rPr>
              </m:ctrlPr>
            </m:mPr>
            <m:mr>
              <m:e>
                <m:r>
                  <m:rPr/>
                  <w:rPr>
                    <w:rFonts w:ascii="Cambria Math" w:hAnsi="Cambria Math"/>
                    <w:sz w:val="24"/>
                  </w:rPr>
                  <m:t>OKS=</m:t>
                </m:r>
                <m:f>
                  <m:fPr>
                    <m:ctrlPr>
                      <w:rPr>
                        <w:rFonts w:ascii="Cambria Math" w:hAnsi="Cambria Math"/>
                        <w:i/>
                        <w:sz w:val="24"/>
                      </w:rPr>
                    </m:ctrlPr>
                  </m:fPr>
                  <m:num>
                    <m:nary>
                      <m:naryPr>
                        <m:chr m:val="∑"/>
                        <m:limLoc m:val="undOvr"/>
                        <m:supHide m:val="1"/>
                        <m:ctrlPr>
                          <w:rPr>
                            <w:rFonts w:ascii="Cambria Math" w:hAnsi="Cambria Math"/>
                            <w:i/>
                            <w:sz w:val="24"/>
                          </w:rPr>
                        </m:ctrlPr>
                      </m:naryPr>
                      <m:sub>
                        <m:r>
                          <m:rPr/>
                          <w:rPr>
                            <w:rFonts w:ascii="Cambria Math" w:hAnsi="Cambria Math"/>
                            <w:sz w:val="24"/>
                          </w:rPr>
                          <m:t>i</m:t>
                        </m:r>
                        <m:ctrlPr>
                          <w:rPr>
                            <w:rFonts w:ascii="Cambria Math" w:hAnsi="Cambria Math"/>
                            <w:sz w:val="24"/>
                          </w:rPr>
                        </m:ctrlPr>
                      </m:sub>
                      <m:sup>
                        <m:ctrlPr>
                          <w:rPr>
                            <w:rFonts w:ascii="Cambria Math" w:hAnsi="Cambria Math"/>
                            <w:sz w:val="24"/>
                          </w:rPr>
                        </m:ctrlPr>
                      </m:sup>
                      <m:e>
                        <m:r>
                          <m:rPr/>
                          <w:rPr>
                            <w:rFonts w:ascii="Cambria Math" w:hAnsi="Cambria Math"/>
                            <w:sz w:val="24"/>
                          </w:rPr>
                          <m:t>K</m:t>
                        </m:r>
                        <m:ctrlPr>
                          <w:rPr>
                            <w:rFonts w:ascii="Cambria Math" w:hAnsi="Cambria Math"/>
                            <w:sz w:val="24"/>
                          </w:rPr>
                        </m:ctrlPr>
                      </m:e>
                    </m:nary>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w:rPr>
                        <w:rFonts w:ascii="Cambria Math" w:hAnsi="Cambria Math"/>
                        <w:sz w:val="24"/>
                      </w:rPr>
                      <m:t> δ(</m:t>
                    </m:r>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w:rPr>
                        <w:rFonts w:ascii="Cambria Math" w:hAnsi="Cambria Math"/>
                        <w:sz w:val="24"/>
                      </w:rPr>
                      <m:t>&gt;0)</m:t>
                    </m:r>
                    <m:ctrlPr>
                      <w:rPr>
                        <w:rFonts w:ascii="Cambria Math" w:hAnsi="Cambria Math"/>
                        <w:sz w:val="24"/>
                      </w:rPr>
                    </m:ctrlPr>
                  </m:num>
                  <m:den>
                    <m:nary>
                      <m:naryPr>
                        <m:chr m:val="∑"/>
                        <m:limLoc m:val="undOvr"/>
                        <m:supHide m:val="1"/>
                        <m:ctrlPr>
                          <w:rPr>
                            <w:rFonts w:ascii="Cambria Math" w:hAnsi="Cambria Math"/>
                            <w:i/>
                            <w:sz w:val="24"/>
                          </w:rPr>
                        </m:ctrlPr>
                      </m:naryPr>
                      <m:sub>
                        <m:r>
                          <m:rPr/>
                          <w:rPr>
                            <w:rFonts w:ascii="Cambria Math" w:hAnsi="Cambria Math"/>
                            <w:sz w:val="24"/>
                          </w:rPr>
                          <m:t>i</m:t>
                        </m:r>
                        <m:ctrlPr>
                          <w:rPr>
                            <w:rFonts w:ascii="Cambria Math" w:hAnsi="Cambria Math"/>
                            <w:sz w:val="24"/>
                          </w:rPr>
                        </m:ctrlPr>
                      </m:sub>
                      <m:sup>
                        <m:ctrlPr>
                          <w:rPr>
                            <w:rFonts w:ascii="Cambria Math" w:hAnsi="Cambria Math"/>
                            <w:sz w:val="24"/>
                          </w:rPr>
                        </m:ctrlPr>
                      </m:sup>
                      <m:e>
                        <m:r>
                          <m:rPr/>
                          <w:rPr>
                            <w:rFonts w:ascii="Cambria Math" w:hAnsi="Cambria Math"/>
                            <w:sz w:val="24"/>
                          </w:rPr>
                          <m:t>δ</m:t>
                        </m:r>
                        <m:ctrlPr>
                          <w:rPr>
                            <w:rFonts w:ascii="Cambria Math" w:hAnsi="Cambria Math"/>
                            <w:sz w:val="24"/>
                          </w:rPr>
                        </m:ctrlPr>
                      </m:e>
                    </m:nary>
                    <m:r>
                      <m:rPr/>
                      <w:rPr>
                        <w:rFonts w:ascii="Cambria Math" w:hAnsi="Cambria Math"/>
                        <w:sz w:val="24"/>
                      </w:rPr>
                      <m:t>(</m:t>
                    </m:r>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w:rPr>
                        <w:rFonts w:ascii="Cambria Math" w:hAnsi="Cambria Math"/>
                        <w:sz w:val="24"/>
                      </w:rPr>
                      <m:t>&gt;0)</m:t>
                    </m:r>
                    <m:ctrlPr>
                      <w:rPr>
                        <w:rFonts w:ascii="Cambria Math" w:hAnsi="Cambria Math"/>
                        <w:sz w:val="24"/>
                      </w:rPr>
                    </m:ctrlPr>
                  </m:den>
                </m:f>
                <m:ctrlPr>
                  <w:rPr>
                    <w:rFonts w:ascii="Cambria Math" w:hAnsi="Cambria Math"/>
                    <w:i/>
                    <w:sz w:val="24"/>
                  </w:rPr>
                </m:ctrlPr>
              </m:e>
            </m:mr>
          </m:m>
        </m:oMath>
      </m:oMathPara>
    </w:p>
    <w:p w14:paraId="0BE76D38">
      <w:pPr>
        <w:spacing w:line="360" w:lineRule="auto"/>
        <w:ind w:firstLine="420" w:firstLineChars="200"/>
      </w:pPr>
      <w:r>
        <w:drawing>
          <wp:inline distT="0" distB="0" distL="114300" distR="114300">
            <wp:extent cx="5111750" cy="5473700"/>
            <wp:effectExtent l="0" t="0" r="6350" b="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3"/>
                    <a:stretch>
                      <a:fillRect/>
                    </a:stretch>
                  </pic:blipFill>
                  <pic:spPr>
                    <a:xfrm>
                      <a:off x="0" y="0"/>
                      <a:ext cx="5111750" cy="5473700"/>
                    </a:xfrm>
                    <a:prstGeom prst="rect">
                      <a:avLst/>
                    </a:prstGeom>
                    <a:noFill/>
                    <a:ln>
                      <a:noFill/>
                    </a:ln>
                  </pic:spPr>
                </pic:pic>
              </a:graphicData>
            </a:graphic>
          </wp:inline>
        </w:drawing>
      </w:r>
    </w:p>
    <w:p w14:paraId="3DE7FC2E">
      <w:pPr>
        <w:spacing w:line="360" w:lineRule="auto"/>
        <w:ind w:firstLine="480" w:firstLineChars="200"/>
        <w:jc w:val="center"/>
        <w:rPr>
          <w:rFonts w:hint="eastAsia"/>
          <w:kern w:val="0"/>
          <w:sz w:val="24"/>
        </w:rPr>
      </w:pPr>
      <w:r>
        <w:rPr>
          <w:rFonts w:hint="eastAsia"/>
          <w:kern w:val="0"/>
          <w:sz w:val="24"/>
        </w:rPr>
        <w:t>图6. 姿态分类模型训练过程中获得的结果。</w:t>
      </w:r>
    </w:p>
    <w:p w14:paraId="5AC6A6D2">
      <w:pPr>
        <w:spacing w:line="360" w:lineRule="auto"/>
        <w:ind w:firstLine="420" w:firstLineChars="200"/>
      </w:pPr>
    </w:p>
    <w:p w14:paraId="1BC6C978">
      <w:pPr>
        <w:spacing w:line="360" w:lineRule="auto"/>
        <w:ind w:firstLine="480" w:firstLineChars="200"/>
        <w:rPr>
          <w:rFonts w:hint="eastAsia"/>
          <w:kern w:val="0"/>
          <w:sz w:val="24"/>
        </w:rPr>
      </w:pPr>
      <w:r>
        <w:rPr>
          <w:rFonts w:hint="eastAsia"/>
          <w:kern w:val="0"/>
          <w:sz w:val="24"/>
        </w:rPr>
        <w:t>与目标检测类似，计算精度和召回值，然后计算最终度量mAP (Dutta and Dawn, 2023)。深度学习分析中使用了开源Python 3.8.3 (Van Rossum and Drake,2009)包程序和Pytorch 1.11.0 (Paszke et al.， 2019)，这是一个针对YOLO v8 pose的高性能深度学习库。研究中使用的计算机的硬件特征如下;处理器:英特尔酷睿i7-9750H，图 形 :NVIDIA GeForce RTX 2070, 8 GB GDDR6 专 用VRAM，内存:32 GB DDR4 2666 MHz。</w:t>
      </w:r>
    </w:p>
    <w:p w14:paraId="1D2028F4">
      <w:pPr>
        <w:spacing w:line="360" w:lineRule="auto"/>
        <w:jc w:val="left"/>
        <w:rPr>
          <w:rFonts w:hint="eastAsia" w:ascii="宋体" w:hAnsi="宋体"/>
          <w:sz w:val="28"/>
          <w:szCs w:val="28"/>
        </w:rPr>
      </w:pPr>
      <w:r>
        <w:rPr>
          <w:rFonts w:hint="eastAsia" w:ascii="宋体" w:hAnsi="宋体"/>
          <w:sz w:val="28"/>
          <w:szCs w:val="28"/>
        </w:rPr>
        <w:t>参考文献</w:t>
      </w:r>
    </w:p>
    <w:p w14:paraId="726FFE6A">
      <w:pPr>
        <w:numPr>
          <w:ilvl w:val="0"/>
          <w:numId w:val="2"/>
        </w:numPr>
        <w:spacing w:line="360" w:lineRule="auto"/>
        <w:rPr>
          <w:rFonts w:hint="eastAsia" w:ascii="宋体" w:hAnsi="宋体" w:cs="宋体"/>
          <w:sz w:val="24"/>
        </w:rPr>
      </w:pPr>
      <w:bookmarkStart w:id="0" w:name="_Ref29857"/>
      <w:bookmarkStart w:id="1" w:name="_Ref12225"/>
      <w:r>
        <w:rPr>
          <w:rFonts w:hint="eastAsia" w:ascii="宋体" w:hAnsi="宋体" w:cs="宋体"/>
          <w:sz w:val="24"/>
        </w:rPr>
        <w:t>Alvarenga, F.A.P., Borges, I., Palkovič, L., Rodina, J., Oddy, V.H., Dobos, R.C. 2016. Using a three-axis accelerometer to identify and classify sheep behaviour at pasture. Appl. Anim. Behav. Sci. 181:91-99.</w:t>
      </w:r>
    </w:p>
    <w:bookmarkEnd w:id="0"/>
    <w:p w14:paraId="455C1471">
      <w:pPr>
        <w:numPr>
          <w:ilvl w:val="0"/>
          <w:numId w:val="2"/>
        </w:numPr>
        <w:spacing w:line="360" w:lineRule="auto"/>
        <w:rPr>
          <w:rFonts w:hint="eastAsia" w:ascii="宋体" w:hAnsi="宋体" w:cs="宋体"/>
          <w:sz w:val="24"/>
        </w:rPr>
      </w:pPr>
      <w:r>
        <w:rPr>
          <w:rFonts w:hint="eastAsia" w:ascii="宋体" w:hAnsi="宋体" w:cs="宋体"/>
          <w:sz w:val="24"/>
        </w:rPr>
        <w:t>Bati, C.T., Ser, G. 2023a. SHEEPFEARNET: Sheep fear test behaviors classification approach from video data based on optical flow and convolutional neural networks. Comput. Electron. Agr. 204:107540.</w:t>
      </w:r>
    </w:p>
    <w:p w14:paraId="3CD061F2">
      <w:pPr>
        <w:numPr>
          <w:ilvl w:val="0"/>
          <w:numId w:val="2"/>
        </w:numPr>
        <w:spacing w:line="360" w:lineRule="auto"/>
        <w:rPr>
          <w:rFonts w:hint="eastAsia" w:ascii="宋体" w:hAnsi="宋体" w:cs="宋体"/>
          <w:sz w:val="24"/>
        </w:rPr>
      </w:pPr>
      <w:bookmarkStart w:id="2" w:name="_Ref4296"/>
      <w:r>
        <w:rPr>
          <w:rFonts w:hint="eastAsia" w:ascii="宋体" w:hAnsi="宋体" w:cs="宋体"/>
          <w:sz w:val="24"/>
        </w:rPr>
        <w:t>Bati, C.T., Ser, G. 2023b. Effects of data augmentation methods on YOLO v5s: application of deep learning with Pytorch for indi</w:t>
      </w:r>
      <w:r>
        <w:rPr>
          <w:rFonts w:hint="eastAsia" w:ascii="宋体" w:hAnsi="宋体" w:cs="宋体"/>
          <w:sz w:val="24"/>
        </w:rPr>
        <w:t/>
      </w:r>
      <w:r>
        <w:rPr>
          <w:rFonts w:hint="eastAsia" w:ascii="宋体" w:hAnsi="宋体" w:cs="宋体"/>
          <w:sz w:val="24"/>
        </w:rPr>
        <w:t>vidual cattle identification. YYU J. Agr. Sci. 33:363-376.</w:t>
      </w:r>
    </w:p>
    <w:p w14:paraId="1AEC62CE">
      <w:pPr>
        <w:numPr>
          <w:ilvl w:val="0"/>
          <w:numId w:val="2"/>
        </w:numPr>
        <w:spacing w:line="360" w:lineRule="auto"/>
        <w:rPr>
          <w:rFonts w:hint="eastAsia" w:ascii="宋体" w:hAnsi="宋体" w:cs="宋体"/>
          <w:sz w:val="24"/>
        </w:rPr>
      </w:pPr>
      <w:r>
        <w:rPr>
          <w:rFonts w:hint="eastAsia" w:ascii="宋体" w:hAnsi="宋体" w:cs="宋体"/>
          <w:sz w:val="24"/>
        </w:rPr>
        <w:t>Bati, C.T. Ser, G. 2024. Improved sheep identification and tracking algorithm based on YOLOv5 + SORT methods. SIViP 18:6683–6694.</w:t>
      </w:r>
    </w:p>
    <w:bookmarkEnd w:id="2"/>
    <w:p w14:paraId="7545FA1F">
      <w:pPr>
        <w:numPr>
          <w:ilvl w:val="0"/>
          <w:numId w:val="2"/>
        </w:numPr>
        <w:spacing w:line="360" w:lineRule="auto"/>
        <w:rPr>
          <w:rFonts w:hint="eastAsia" w:ascii="宋体" w:hAnsi="宋体" w:cs="宋体"/>
          <w:sz w:val="24"/>
        </w:rPr>
      </w:pPr>
      <w:bookmarkStart w:id="3" w:name="_Ref4315"/>
      <w:bookmarkStart w:id="4" w:name="_Ref21638"/>
      <w:r>
        <w:rPr>
          <w:rFonts w:hint="eastAsia" w:ascii="宋体" w:hAnsi="宋体" w:cs="宋体"/>
          <w:sz w:val="24"/>
        </w:rPr>
        <w:t>Castillo, P.E., Macedo, R.J., Arredondo, V., Zepeda, J.L., Valencia</w:t>
      </w:r>
      <w:r>
        <w:rPr>
          <w:rFonts w:hint="eastAsia" w:ascii="宋体" w:hAnsi="宋体" w:cs="宋体"/>
          <w:sz w:val="24"/>
        </w:rPr>
        <w:t/>
      </w:r>
      <w:r>
        <w:rPr>
          <w:rFonts w:hint="eastAsia" w:ascii="宋体" w:hAnsi="宋体" w:cs="宋体"/>
          <w:sz w:val="24"/>
        </w:rPr>
        <w:t>Posadas, M., Haubi, C.U. 2023. Morphological description and live weight prediction from body measurements of Socorro Island Merino lambs. Animal 13:1978.</w:t>
      </w:r>
    </w:p>
    <w:bookmarkEnd w:id="3"/>
    <w:bookmarkEnd w:id="4"/>
    <w:p w14:paraId="1AED3977">
      <w:pPr>
        <w:numPr>
          <w:ilvl w:val="0"/>
          <w:numId w:val="2"/>
        </w:numPr>
        <w:spacing w:line="360" w:lineRule="auto"/>
        <w:rPr>
          <w:rFonts w:hint="eastAsia" w:ascii="宋体" w:hAnsi="宋体" w:cs="宋体"/>
          <w:sz w:val="24"/>
        </w:rPr>
      </w:pPr>
      <w:bookmarkStart w:id="5" w:name="_Ref5958"/>
      <w:r>
        <w:rPr>
          <w:rFonts w:hint="eastAsia" w:ascii="宋体" w:hAnsi="宋体" w:cs="宋体"/>
          <w:sz w:val="24"/>
        </w:rPr>
        <w:t>Cheng, M., Yuan, H., Wang, Q., Cai, Z., Liu, Y., Zhang, Y. 2022. Application of deep learning in sheep behaviors recognition and influence analysis of training data characteristics on the recognition effect. Comput. Electron. Agric. 198:107010.</w:t>
      </w:r>
    </w:p>
    <w:bookmarkEnd w:id="5"/>
    <w:p w14:paraId="42605FA8">
      <w:pPr>
        <w:numPr>
          <w:ilvl w:val="0"/>
          <w:numId w:val="2"/>
        </w:numPr>
        <w:spacing w:line="360" w:lineRule="auto"/>
        <w:rPr>
          <w:rFonts w:hint="eastAsia" w:ascii="宋体" w:hAnsi="宋体" w:cs="宋体"/>
          <w:sz w:val="24"/>
        </w:rPr>
      </w:pPr>
      <w:r>
        <w:rPr>
          <w:rFonts w:hint="eastAsia" w:ascii="宋体" w:hAnsi="宋体" w:cs="宋体"/>
          <w:sz w:val="24"/>
        </w:rPr>
        <w:t>Deng, X., Yan, X., Hou, Y., Wu, H., Feng, C., Chen, L., et al. 2021. Detection of behaviour and posture of sheep based on YOLOv3. Inmateh. Agr. Eng. 64:457-466.</w:t>
      </w:r>
    </w:p>
    <w:p w14:paraId="2B0E61CF">
      <w:pPr>
        <w:numPr>
          <w:ilvl w:val="0"/>
          <w:numId w:val="2"/>
        </w:numPr>
        <w:spacing w:line="360" w:lineRule="auto"/>
        <w:rPr>
          <w:rFonts w:hint="eastAsia" w:ascii="宋体" w:hAnsi="宋体" w:cs="宋体"/>
          <w:sz w:val="24"/>
        </w:rPr>
      </w:pPr>
      <w:r>
        <w:rPr>
          <w:rFonts w:hint="eastAsia" w:ascii="宋体" w:hAnsi="宋体" w:cs="宋体"/>
          <w:sz w:val="24"/>
        </w:rPr>
        <w:t>Dutta, T., Dawn, K. 2023. Object keypoint similarity in keypoint detection. Accessed on: 31 July 2024. Available from: https://lea rnopencv.com/object -keypoint -simila rity /#disqus_thread</w:t>
      </w:r>
    </w:p>
    <w:bookmarkEnd w:id="1"/>
    <w:p w14:paraId="5F5FCF68">
      <w:pPr>
        <w:numPr>
          <w:ilvl w:val="0"/>
          <w:numId w:val="2"/>
        </w:numPr>
        <w:spacing w:line="360" w:lineRule="auto"/>
        <w:rPr>
          <w:rFonts w:hint="eastAsia" w:ascii="宋体" w:hAnsi="宋体" w:cs="宋体"/>
          <w:sz w:val="24"/>
        </w:rPr>
      </w:pPr>
      <w:bookmarkStart w:id="6" w:name="_Ref21188"/>
      <w:bookmarkStart w:id="7" w:name="_Ref14579"/>
      <w:bookmarkStart w:id="8" w:name="_Ref8992"/>
      <w:r>
        <w:rPr>
          <w:rFonts w:hint="eastAsia" w:ascii="宋体" w:hAnsi="宋体" w:cs="宋体"/>
          <w:sz w:val="24"/>
        </w:rPr>
        <w:t>Forslund, A., Tibi, A., Schmitt, B., Marajo-Petitzon, E., Debaeke, P., Durand, JL., et al. 2023. Can healthy diets be achieved worldwide in 2050 without farmland expansion? Glob. Food. Secur. 39:100711.</w:t>
      </w:r>
    </w:p>
    <w:bookmarkEnd w:id="6"/>
    <w:p w14:paraId="064261B8">
      <w:pPr>
        <w:numPr>
          <w:ilvl w:val="0"/>
          <w:numId w:val="2"/>
        </w:numPr>
        <w:spacing w:line="360" w:lineRule="auto"/>
        <w:rPr>
          <w:rFonts w:hint="eastAsia" w:ascii="宋体" w:hAnsi="宋体" w:cs="宋体"/>
          <w:sz w:val="24"/>
        </w:rPr>
      </w:pPr>
      <w:r>
        <w:rPr>
          <w:rFonts w:hint="eastAsia" w:ascii="宋体" w:hAnsi="宋体" w:cs="宋体"/>
          <w:sz w:val="24"/>
        </w:rPr>
        <w:t>Gao, G., Wang, C., Wang, J., Lv, Y., Li, Q. Ma, Y., et al. 2023. CNN-Bi-LSTM: A Complex environment-oriented cattle behavior classification network based on the fusion of CNN Article</w:t>
      </w:r>
      <w:r>
        <w:rPr>
          <w:rFonts w:hint="eastAsia" w:ascii="宋体" w:hAnsi="宋体" w:cs="宋体"/>
          <w:sz w:val="24"/>
          <w:lang w:val="en-US" w:eastAsia="zh-CN"/>
        </w:rPr>
        <w:t xml:space="preserve"> </w:t>
      </w:r>
      <w:r>
        <w:rPr>
          <w:rFonts w:hint="eastAsia" w:ascii="宋体" w:hAnsi="宋体" w:cs="宋体"/>
          <w:sz w:val="24"/>
        </w:rPr>
        <w:t>and Bi-LSTM. Sensors (Basel) 23: 714.</w:t>
      </w:r>
    </w:p>
    <w:bookmarkEnd w:id="7"/>
    <w:bookmarkEnd w:id="8"/>
    <w:p w14:paraId="2DFFB65F">
      <w:pPr>
        <w:numPr>
          <w:ilvl w:val="0"/>
          <w:numId w:val="2"/>
        </w:numPr>
        <w:spacing w:line="360" w:lineRule="auto"/>
        <w:rPr>
          <w:rFonts w:hint="eastAsia" w:ascii="宋体" w:hAnsi="宋体" w:cs="宋体"/>
          <w:sz w:val="24"/>
        </w:rPr>
      </w:pPr>
      <w:bookmarkStart w:id="9" w:name="_Ref9077"/>
      <w:bookmarkStart w:id="10" w:name="_Ref14668"/>
      <w:r>
        <w:rPr>
          <w:rFonts w:hint="eastAsia" w:ascii="宋体" w:hAnsi="宋体" w:cs="宋体"/>
          <w:sz w:val="24"/>
        </w:rPr>
        <w:t>González-Baldizón,Y.,Pérez-Patricio,M.,Camas-Anzueto,J.L.,Rodríguez-Elías, O.M., Escobar-Gómez, E.N., Vazquez</w:t>
      </w:r>
      <w:r>
        <w:rPr>
          <w:rFonts w:hint="eastAsia" w:ascii="宋体" w:hAnsi="宋体" w:cs="宋体"/>
          <w:sz w:val="24"/>
        </w:rPr>
        <w:t/>
      </w:r>
      <w:r>
        <w:rPr>
          <w:rFonts w:hint="eastAsia" w:ascii="宋体" w:hAnsi="宋体" w:cs="宋体"/>
          <w:sz w:val="24"/>
        </w:rPr>
        <w:t>Delgado, H.D., et al.2022. Lamb behaviors analysis using a predictive CNN model and a single camera. App. Sci. 12:4712.</w:t>
      </w:r>
    </w:p>
    <w:p w14:paraId="63E7E7ED">
      <w:pPr>
        <w:numPr>
          <w:ilvl w:val="0"/>
          <w:numId w:val="2"/>
        </w:numPr>
        <w:spacing w:line="360" w:lineRule="auto"/>
        <w:rPr>
          <w:rFonts w:hint="eastAsia" w:ascii="宋体" w:hAnsi="宋体" w:cs="宋体"/>
          <w:sz w:val="24"/>
        </w:rPr>
      </w:pPr>
      <w:r>
        <w:rPr>
          <w:rFonts w:hint="eastAsia" w:ascii="宋体" w:hAnsi="宋体" w:cs="宋体"/>
          <w:sz w:val="24"/>
        </w:rPr>
        <w:t>Hamadani,A.,Ganai,N.A. 2023. Artificial intelligence algorithm comparison and ranking for weight prediction in sheep. Sci. Rep. 13: 3242.</w:t>
      </w:r>
    </w:p>
    <w:bookmarkEnd w:id="9"/>
    <w:bookmarkEnd w:id="10"/>
    <w:p w14:paraId="638A1180">
      <w:pPr>
        <w:numPr>
          <w:ilvl w:val="0"/>
          <w:numId w:val="2"/>
        </w:numPr>
        <w:spacing w:line="360" w:lineRule="auto"/>
        <w:rPr>
          <w:rFonts w:hint="eastAsia" w:ascii="宋体" w:hAnsi="宋体" w:cs="宋体"/>
          <w:sz w:val="24"/>
        </w:rPr>
      </w:pPr>
      <w:bookmarkStart w:id="11" w:name="_Ref9583"/>
      <w:bookmarkStart w:id="12" w:name="_Ref15161"/>
      <w:r>
        <w:rPr>
          <w:rFonts w:hint="eastAsia" w:ascii="宋体" w:hAnsi="宋体" w:cs="宋体"/>
          <w:sz w:val="24"/>
        </w:rPr>
        <w:t>He, C., Qiao, Y., Mao, R., Li, M., Wang, M. 2023. Enhanced LiteHRNet based sheep weight estimation using RGB-D images. Comput. Electron. Agr. 206:107667.</w:t>
      </w:r>
    </w:p>
    <w:bookmarkEnd w:id="11"/>
    <w:p w14:paraId="5DD7DAC1">
      <w:pPr>
        <w:numPr>
          <w:ilvl w:val="0"/>
          <w:numId w:val="2"/>
        </w:numPr>
        <w:spacing w:line="360" w:lineRule="auto"/>
        <w:rPr>
          <w:rFonts w:hint="eastAsia" w:ascii="宋体" w:hAnsi="宋体" w:cs="宋体"/>
          <w:sz w:val="24"/>
        </w:rPr>
      </w:pPr>
      <w:r>
        <w:rPr>
          <w:rFonts w:hint="eastAsia" w:ascii="宋体" w:hAnsi="宋体" w:cs="宋体"/>
          <w:sz w:val="24"/>
          <w:lang w:val="en-US" w:eastAsia="zh-CN"/>
        </w:rPr>
        <w:t>Horie, R., Miyasaka, T., Yoshihara, Y. 2023. Grazing behavior of Mongolian sheep under different climatic conditions. J. Arid. Envion. 209:104890.</w:t>
      </w:r>
    </w:p>
    <w:p w14:paraId="494F5960">
      <w:pPr>
        <w:numPr>
          <w:ilvl w:val="0"/>
          <w:numId w:val="2"/>
        </w:numPr>
        <w:spacing w:line="360" w:lineRule="auto"/>
        <w:rPr>
          <w:rFonts w:hint="eastAsia" w:ascii="宋体" w:hAnsi="宋体" w:cs="宋体"/>
          <w:sz w:val="24"/>
          <w:lang w:val="en-US" w:eastAsia="zh-CN"/>
        </w:rPr>
      </w:pPr>
      <w:r>
        <w:rPr>
          <w:rFonts w:hint="eastAsia" w:ascii="宋体" w:hAnsi="宋体" w:cs="宋体"/>
          <w:sz w:val="24"/>
          <w:lang w:val="en-US" w:eastAsia="zh-CN"/>
        </w:rPr>
        <w:t xml:space="preserve">Hu, T., Yan, R., Jiang, C.,Chand, N.V., Bai,T., Guo, L., Qi, J. 2023. Grazing sheep behaviour recognition based on improved YOLOv5. Sensors (Basel) 23:4752. </w:t>
      </w:r>
    </w:p>
    <w:p w14:paraId="19B20027">
      <w:pPr>
        <w:numPr>
          <w:ilvl w:val="0"/>
          <w:numId w:val="2"/>
        </w:numPr>
        <w:spacing w:line="360" w:lineRule="auto"/>
        <w:rPr>
          <w:rFonts w:hint="eastAsia" w:ascii="宋体" w:hAnsi="宋体" w:cs="宋体"/>
          <w:sz w:val="24"/>
          <w:lang w:val="en-US" w:eastAsia="zh-CN"/>
        </w:rPr>
      </w:pPr>
      <w:r>
        <w:rPr>
          <w:rFonts w:hint="eastAsia" w:ascii="宋体" w:hAnsi="宋体" w:cs="宋体"/>
          <w:sz w:val="24"/>
          <w:lang w:val="en-US" w:eastAsia="zh-CN"/>
        </w:rPr>
        <w:t xml:space="preserve">Jin,Z.,Guo,L.,Shu,H.,Qi,J.,Li,Y.,Xu,B.,et al.2022.Behavior classification and analysis of grazing sheep on pasture with different sward surface heights using machine learning. Animals (Basel) 12:1744. </w:t>
      </w:r>
    </w:p>
    <w:p w14:paraId="6312C5E4">
      <w:pPr>
        <w:numPr>
          <w:ilvl w:val="0"/>
          <w:numId w:val="2"/>
        </w:numPr>
        <w:spacing w:line="360" w:lineRule="auto"/>
        <w:rPr>
          <w:rFonts w:hint="eastAsia" w:ascii="宋体" w:hAnsi="宋体" w:cs="宋体"/>
          <w:sz w:val="24"/>
          <w:lang w:val="en-US" w:eastAsia="zh-CN"/>
        </w:rPr>
      </w:pPr>
      <w:r>
        <w:rPr>
          <w:rFonts w:hint="eastAsia" w:ascii="宋体" w:hAnsi="宋体" w:cs="宋体"/>
          <w:sz w:val="24"/>
          <w:lang w:val="en-US" w:eastAsia="zh-CN"/>
        </w:rPr>
        <w:t xml:space="preserve">Jocher, G., Chaurasia, A., Qiu, J. 2023. Ultralytics YOLO (Version 8.0.0) [Computer software]. vailable from: https://github.com/ultralytics/ultralytics </w:t>
      </w:r>
    </w:p>
    <w:p w14:paraId="36E453BC">
      <w:pPr>
        <w:numPr>
          <w:ilvl w:val="0"/>
          <w:numId w:val="2"/>
        </w:numPr>
        <w:spacing w:line="360" w:lineRule="auto"/>
        <w:rPr>
          <w:rFonts w:hint="eastAsia" w:ascii="宋体" w:hAnsi="宋体" w:cs="宋体"/>
          <w:sz w:val="24"/>
          <w:lang w:val="en-US" w:eastAsia="zh-CN"/>
        </w:rPr>
      </w:pPr>
      <w:r>
        <w:rPr>
          <w:rFonts w:hint="eastAsia" w:ascii="宋体" w:hAnsi="宋体" w:cs="宋体"/>
          <w:sz w:val="24"/>
          <w:lang w:val="en-US" w:eastAsia="zh-CN"/>
        </w:rPr>
        <w:t xml:space="preserve">Kelly, N.A., Khan, B.M., Ayub, M.Y., Hussain, A.J., Dajani, K., Hou, Y., Khan, W. 2024. Video dataset of sheep activity for animal behavioral analysis via deep learning. Dat. Brief. 52:110027. </w:t>
      </w:r>
    </w:p>
    <w:p w14:paraId="7589F601">
      <w:pPr>
        <w:numPr>
          <w:ilvl w:val="0"/>
          <w:numId w:val="2"/>
        </w:numPr>
        <w:spacing w:line="360" w:lineRule="auto"/>
        <w:rPr>
          <w:rFonts w:hint="eastAsia" w:ascii="宋体" w:hAnsi="宋体" w:cs="宋体"/>
          <w:sz w:val="24"/>
          <w:lang w:val="en-US" w:eastAsia="zh-CN"/>
        </w:rPr>
      </w:pPr>
      <w:r>
        <w:rPr>
          <w:rFonts w:hint="eastAsia" w:ascii="宋体" w:hAnsi="宋体" w:cs="宋体"/>
          <w:sz w:val="24"/>
          <w:lang w:val="en-US" w:eastAsia="zh-CN"/>
        </w:rPr>
        <w:t xml:space="preserve">Kenyon, P.R., Maloney, S.K., Blache, D. 2014. Review of sheep body condition score in relation to production characteristics. N. Z. J. Agr. Res. 57:38-64. </w:t>
      </w:r>
    </w:p>
    <w:p w14:paraId="484701F8">
      <w:pPr>
        <w:numPr>
          <w:ilvl w:val="0"/>
          <w:numId w:val="2"/>
        </w:numPr>
        <w:spacing w:line="360" w:lineRule="auto"/>
        <w:rPr>
          <w:rFonts w:hint="eastAsia" w:ascii="宋体" w:hAnsi="宋体" w:cs="宋体"/>
          <w:sz w:val="24"/>
          <w:lang w:val="en-US" w:eastAsia="zh-CN"/>
        </w:rPr>
      </w:pPr>
      <w:r>
        <w:rPr>
          <w:rFonts w:hint="eastAsia" w:ascii="宋体" w:hAnsi="宋体" w:cs="宋体"/>
          <w:sz w:val="24"/>
          <w:lang w:val="en-US" w:eastAsia="zh-CN"/>
        </w:rPr>
        <w:t xml:space="preserve">Khan, B., Kelly, N. 2023a. Video dataset of sheep activity (grazing, running, sitting).Mendeley Data V1. Available </w:t>
      </w:r>
      <w:bookmarkStart w:id="13" w:name="_GoBack"/>
      <w:bookmarkEnd w:id="13"/>
      <w:r>
        <w:rPr>
          <w:rFonts w:hint="eastAsia" w:ascii="宋体" w:hAnsi="宋体" w:cs="宋体"/>
          <w:sz w:val="24"/>
          <w:lang w:val="en-US" w:eastAsia="zh-CN"/>
        </w:rPr>
        <w:t xml:space="preserve">from: https://data.mendeley.com/datasets/h5ppwx6fn4/1 </w:t>
      </w:r>
    </w:p>
    <w:p w14:paraId="504C7AFF">
      <w:pPr>
        <w:numPr>
          <w:ilvl w:val="0"/>
          <w:numId w:val="2"/>
        </w:numPr>
        <w:spacing w:line="360" w:lineRule="auto"/>
        <w:rPr>
          <w:rFonts w:hint="eastAsia" w:ascii="宋体" w:hAnsi="宋体" w:cs="宋体"/>
          <w:sz w:val="24"/>
          <w:lang w:val="en-US" w:eastAsia="zh-CN"/>
        </w:rPr>
      </w:pPr>
      <w:r>
        <w:rPr>
          <w:rFonts w:hint="eastAsia" w:ascii="宋体" w:hAnsi="宋体" w:cs="宋体"/>
          <w:sz w:val="24"/>
          <w:lang w:val="en-US" w:eastAsia="zh-CN"/>
        </w:rPr>
        <w:t>Khan, B., Kelly, N. 2023b. Video dataset of sheep activity (stand</w:t>
      </w:r>
      <w:r>
        <w:rPr>
          <w:rFonts w:hint="eastAsia" w:ascii="宋体" w:hAnsi="宋体" w:cs="宋体"/>
          <w:sz w:val="24"/>
          <w:lang w:val="en-US" w:eastAsia="zh-CN"/>
        </w:rPr>
        <w:t/>
      </w:r>
      <w:r>
        <w:rPr>
          <w:rFonts w:hint="eastAsia" w:ascii="宋体" w:hAnsi="宋体" w:cs="宋体"/>
          <w:sz w:val="24"/>
          <w:lang w:val="en-US" w:eastAsia="zh-CN"/>
        </w:rPr>
        <w:t xml:space="preserve">ing and walking). Mendeley Data V1. Available from: https://data.mendeley.com/datasets/w65pvb84dg/1 </w:t>
      </w:r>
    </w:p>
    <w:p w14:paraId="69AE045D">
      <w:pPr>
        <w:numPr>
          <w:ilvl w:val="0"/>
          <w:numId w:val="2"/>
        </w:numPr>
        <w:spacing w:line="360" w:lineRule="auto"/>
        <w:rPr>
          <w:rFonts w:hint="eastAsia" w:ascii="宋体" w:hAnsi="宋体" w:cs="宋体"/>
          <w:sz w:val="24"/>
          <w:lang w:val="en-US" w:eastAsia="zh-CN"/>
        </w:rPr>
      </w:pPr>
      <w:r>
        <w:rPr>
          <w:rFonts w:hint="eastAsia" w:ascii="宋体" w:hAnsi="宋体" w:cs="宋体"/>
          <w:sz w:val="24"/>
          <w:lang w:val="en-US" w:eastAsia="zh-CN"/>
        </w:rPr>
        <w:t xml:space="preserve">Lin, T.Y., Goyal, P., Girshick, R., He, K., Dollár, P. 2017. Focal loss for dense object detection. IEEE T Pattern Anal 42:318-327. </w:t>
      </w:r>
    </w:p>
    <w:p w14:paraId="44FB2465">
      <w:pPr>
        <w:numPr>
          <w:ilvl w:val="0"/>
          <w:numId w:val="2"/>
        </w:numPr>
        <w:spacing w:line="360" w:lineRule="auto"/>
        <w:rPr>
          <w:rFonts w:hint="eastAsia" w:ascii="宋体" w:hAnsi="宋体" w:cs="宋体"/>
          <w:sz w:val="24"/>
          <w:lang w:val="en-US" w:eastAsia="zh-CN"/>
        </w:rPr>
      </w:pPr>
      <w:r>
        <w:rPr>
          <w:rFonts w:hint="eastAsia" w:ascii="宋体" w:hAnsi="宋体" w:cs="宋体"/>
          <w:sz w:val="24"/>
          <w:lang w:val="en-US" w:eastAsia="zh-CN"/>
        </w:rPr>
        <w:t xml:space="preserve">Maji, D., Nagori, S., Mathew, M., Poddar, D. 2022. Yolo-pose: Enhancing yolo for multi person pose estimation using object keypoint similarity loss. Proc. IEEE/CVF Conf. on Computer Vision and Pattern Recognition, New Orleans. pp. 2637-2646. </w:t>
      </w:r>
    </w:p>
    <w:p w14:paraId="1DB8BA20">
      <w:pPr>
        <w:numPr>
          <w:ilvl w:val="0"/>
          <w:numId w:val="2"/>
        </w:numPr>
        <w:spacing w:line="360" w:lineRule="auto"/>
        <w:rPr>
          <w:rFonts w:hint="eastAsia" w:ascii="宋体" w:hAnsi="宋体" w:cs="宋体"/>
          <w:sz w:val="24"/>
        </w:rPr>
      </w:pPr>
      <w:r>
        <w:rPr>
          <w:rFonts w:hint="eastAsia" w:ascii="宋体" w:hAnsi="宋体" w:cs="宋体"/>
          <w:sz w:val="24"/>
          <w:lang w:val="en-US" w:eastAsia="zh-CN"/>
        </w:rPr>
        <w:t>Meckbach, C., Tiesmeyer, V., Traulsen, I. A. 2021. promising approach towards precise animal weight monitoring using con</w:t>
      </w:r>
      <w:r>
        <w:rPr>
          <w:rFonts w:hint="eastAsia" w:ascii="宋体" w:hAnsi="宋体" w:cs="宋体"/>
          <w:sz w:val="24"/>
          <w:lang w:val="en-US" w:eastAsia="zh-CN"/>
        </w:rPr>
        <w:t/>
      </w:r>
      <w:r>
        <w:rPr>
          <w:rFonts w:hint="eastAsia" w:ascii="宋体" w:hAnsi="宋体" w:cs="宋体"/>
          <w:sz w:val="24"/>
          <w:lang w:val="en-US" w:eastAsia="zh-CN"/>
        </w:rPr>
        <w:t xml:space="preserve">volutional neural networks. Comput. Electron. Agr. 183:106056.  </w:t>
      </w:r>
    </w:p>
    <w:p w14:paraId="4185F9D5">
      <w:pPr>
        <w:numPr>
          <w:ilvl w:val="0"/>
          <w:numId w:val="2"/>
        </w:numPr>
        <w:spacing w:line="360" w:lineRule="auto"/>
        <w:rPr>
          <w:rFonts w:hint="eastAsia" w:ascii="宋体" w:hAnsi="宋体" w:cs="宋体"/>
          <w:sz w:val="24"/>
          <w:lang w:val="en-US" w:eastAsia="zh-CN"/>
        </w:rPr>
      </w:pPr>
      <w:r>
        <w:rPr>
          <w:rFonts w:hint="eastAsia" w:ascii="宋体" w:hAnsi="宋体" w:cs="宋体"/>
          <w:sz w:val="24"/>
          <w:lang w:val="en-US" w:eastAsia="zh-CN"/>
        </w:rPr>
        <w:t xml:space="preserve">Paszke, A., Gross, S., Massa, F., Lerer, A., Bradbury, J., Chanan, G., et al. 2019. PyTorch: an imperative style, high-performance deep learning library. Available from: https://proceedings. neurips.cc/paper_files/paper/2019/file/bdbca288fee7f92f2bfa9f7012727740-Paper.pdf </w:t>
      </w:r>
    </w:p>
    <w:p w14:paraId="7AEA51D3">
      <w:pPr>
        <w:numPr>
          <w:ilvl w:val="0"/>
          <w:numId w:val="2"/>
        </w:numPr>
        <w:spacing w:line="360" w:lineRule="auto"/>
        <w:rPr>
          <w:rFonts w:hint="eastAsia" w:ascii="宋体" w:hAnsi="宋体" w:cs="宋体"/>
          <w:sz w:val="24"/>
          <w:lang w:val="en-US" w:eastAsia="zh-CN"/>
        </w:rPr>
      </w:pPr>
      <w:r>
        <w:rPr>
          <w:rFonts w:hint="eastAsia" w:ascii="宋体" w:hAnsi="宋体" w:cs="宋体"/>
          <w:sz w:val="24"/>
          <w:lang w:val="en-US" w:eastAsia="zh-CN"/>
        </w:rPr>
        <w:t>Pollard, J., Cox, N., Hogan, N., Huddart, F., Webster, J., Chaya, W., et al. 2004. Behavioural and physiological responses of sheep to shade. MAF Policy Project FMA 123. Ren, S., He, K., Girshick, R., Sun, J. 2015. Faster R-CNN: Towards real-time object detection with region proposal net</w:t>
      </w:r>
      <w:r>
        <w:rPr>
          <w:rFonts w:hint="eastAsia" w:ascii="宋体" w:hAnsi="宋体" w:cs="宋体"/>
          <w:sz w:val="24"/>
          <w:lang w:val="en-US" w:eastAsia="zh-CN"/>
        </w:rPr>
        <w:t/>
      </w:r>
      <w:r>
        <w:rPr>
          <w:rFonts w:hint="eastAsia" w:ascii="宋体" w:hAnsi="宋体" w:cs="宋体"/>
          <w:sz w:val="24"/>
          <w:lang w:val="en-US" w:eastAsia="zh-CN"/>
        </w:rPr>
        <w:t xml:space="preserve">works. Available from: https://proceedings.neurips.cc/ paper_files/paper/2015/file/14bfa6bb14875e45bba028a21ed38046-Paper.pdf </w:t>
      </w:r>
    </w:p>
    <w:p w14:paraId="6DA7071B">
      <w:pPr>
        <w:numPr>
          <w:ilvl w:val="0"/>
          <w:numId w:val="2"/>
        </w:numPr>
        <w:spacing w:line="360" w:lineRule="auto"/>
        <w:rPr>
          <w:rFonts w:hint="eastAsia" w:ascii="宋体" w:hAnsi="宋体" w:cs="宋体"/>
          <w:sz w:val="24"/>
          <w:lang w:val="en-US" w:eastAsia="zh-CN"/>
        </w:rPr>
      </w:pPr>
      <w:r>
        <w:rPr>
          <w:rFonts w:hint="eastAsia" w:ascii="宋体" w:hAnsi="宋体" w:cs="宋体"/>
          <w:sz w:val="24"/>
          <w:lang w:val="en-US" w:eastAsia="zh-CN"/>
        </w:rPr>
        <w:t xml:space="preserve">Ronchi, R.M., Perona, P. 2017. Benchmarking and error diagnosis in multi-instance pose estimation. Proc. IEEE Int. Conf. on Computer Vision, Venice. pp. 369-378. </w:t>
      </w:r>
    </w:p>
    <w:p w14:paraId="5A75976C">
      <w:pPr>
        <w:numPr>
          <w:ilvl w:val="0"/>
          <w:numId w:val="2"/>
        </w:numPr>
        <w:spacing w:line="360" w:lineRule="auto"/>
        <w:rPr>
          <w:rFonts w:hint="eastAsia" w:ascii="宋体" w:hAnsi="宋体" w:cs="宋体"/>
          <w:sz w:val="24"/>
          <w:lang w:val="en-US" w:eastAsia="zh-CN"/>
        </w:rPr>
      </w:pPr>
      <w:r>
        <w:rPr>
          <w:rFonts w:hint="eastAsia" w:ascii="宋体" w:hAnsi="宋体" w:cs="宋体"/>
          <w:sz w:val="24"/>
          <w:lang w:val="en-US" w:eastAsia="zh-CN"/>
        </w:rPr>
        <w:t xml:space="preserve">Schütz, K.E., Saunders, L.R., Huddart, F.J., Watson, T., Latimer, B., Cox, N.R. 2024. Effects of shade on the behaviour and physiology of sheep in a temperate climate. Appl. Anim. Behav. Sci. 272:106185. </w:t>
      </w:r>
    </w:p>
    <w:p w14:paraId="154FECE6">
      <w:pPr>
        <w:numPr>
          <w:ilvl w:val="0"/>
          <w:numId w:val="2"/>
        </w:numPr>
        <w:spacing w:line="360" w:lineRule="auto"/>
        <w:rPr>
          <w:rFonts w:hint="eastAsia" w:ascii="宋体" w:hAnsi="宋体" w:cs="宋体"/>
          <w:sz w:val="24"/>
          <w:lang w:val="en-US" w:eastAsia="zh-CN"/>
        </w:rPr>
      </w:pPr>
      <w:r>
        <w:rPr>
          <w:rFonts w:hint="eastAsia" w:ascii="宋体" w:hAnsi="宋体" w:cs="宋体"/>
          <w:sz w:val="24"/>
          <w:lang w:val="en-US" w:eastAsia="zh-CN"/>
        </w:rPr>
        <w:t xml:space="preserve">Shalaldeh, A., Page, S., Anthony, P., Charters, S., Safa, M., Logan, C. 2023. Body composition estimation in breeding ewes using live weight and body parameters utilizing image analysis. Animals (Basel) 13:2391. </w:t>
      </w:r>
    </w:p>
    <w:p w14:paraId="49B401E4">
      <w:pPr>
        <w:numPr>
          <w:ilvl w:val="0"/>
          <w:numId w:val="2"/>
        </w:numPr>
        <w:spacing w:line="360" w:lineRule="auto"/>
        <w:rPr>
          <w:rFonts w:hint="eastAsia" w:ascii="宋体" w:hAnsi="宋体" w:cs="宋体"/>
          <w:sz w:val="24"/>
          <w:lang w:val="en-US" w:eastAsia="zh-CN"/>
        </w:rPr>
      </w:pPr>
      <w:r>
        <w:rPr>
          <w:rFonts w:hint="eastAsia" w:ascii="宋体" w:hAnsi="宋体" w:cs="宋体"/>
          <w:sz w:val="24"/>
          <w:lang w:val="en-US" w:eastAsia="zh-CN"/>
        </w:rPr>
        <w:t xml:space="preserve">Shorten, C., Khoshgoftaar, T.M. 2019. A survey on image data augmentation for deep learning. J. Big Data. 6:1-48. </w:t>
      </w:r>
    </w:p>
    <w:p w14:paraId="564A22A9">
      <w:pPr>
        <w:numPr>
          <w:ilvl w:val="0"/>
          <w:numId w:val="2"/>
        </w:numPr>
        <w:spacing w:line="360" w:lineRule="auto"/>
        <w:rPr>
          <w:rFonts w:hint="eastAsia" w:ascii="宋体" w:hAnsi="宋体" w:cs="宋体"/>
          <w:sz w:val="24"/>
          <w:lang w:val="en-US" w:eastAsia="zh-CN"/>
        </w:rPr>
      </w:pPr>
      <w:r>
        <w:rPr>
          <w:rFonts w:hint="eastAsia" w:ascii="宋体" w:hAnsi="宋体" w:cs="宋体"/>
          <w:sz w:val="24"/>
          <w:lang w:val="en-US" w:eastAsia="zh-CN"/>
        </w:rPr>
        <w:t xml:space="preserve">Sowande, O.S., Sobola, O.S. 2008. Body measurements of West African dwarf sheep as parameters for estimation of live weight. Trop. Anim. Health Pro. 40:433-439. </w:t>
      </w:r>
    </w:p>
    <w:p w14:paraId="0BFE3DB9">
      <w:pPr>
        <w:numPr>
          <w:ilvl w:val="0"/>
          <w:numId w:val="2"/>
        </w:numPr>
        <w:spacing w:line="360" w:lineRule="auto"/>
        <w:rPr>
          <w:rFonts w:hint="eastAsia" w:ascii="宋体" w:hAnsi="宋体" w:cs="宋体"/>
          <w:sz w:val="24"/>
          <w:lang w:val="en-US" w:eastAsia="zh-CN"/>
        </w:rPr>
      </w:pPr>
      <w:r>
        <w:rPr>
          <w:rFonts w:hint="eastAsia" w:ascii="宋体" w:hAnsi="宋体" w:cs="宋体"/>
          <w:sz w:val="24"/>
          <w:lang w:val="en-US" w:eastAsia="zh-CN"/>
        </w:rPr>
        <w:t>Stephansen, R.B., Manzanilla-Pech, C.I., Gebreyesus, G., Sahana, G., Lassen, J. 2023. Prediction of body condition in Jersey dairy cattle from 3D-images using machine learning tech</w:t>
      </w:r>
      <w:r>
        <w:rPr>
          <w:rFonts w:hint="eastAsia" w:ascii="宋体" w:hAnsi="宋体" w:cs="宋体"/>
          <w:sz w:val="24"/>
          <w:lang w:val="en-US" w:eastAsia="zh-CN"/>
        </w:rPr>
        <w:t/>
      </w:r>
      <w:r>
        <w:rPr>
          <w:rFonts w:hint="eastAsia" w:ascii="宋体" w:hAnsi="宋体" w:cs="宋体"/>
          <w:sz w:val="24"/>
          <w:lang w:val="en-US" w:eastAsia="zh-CN"/>
        </w:rPr>
        <w:t xml:space="preserve">niques. J. Anim. Sci. 101:skad376. </w:t>
      </w:r>
    </w:p>
    <w:p w14:paraId="43AC0434">
      <w:pPr>
        <w:numPr>
          <w:ilvl w:val="0"/>
          <w:numId w:val="2"/>
        </w:numPr>
        <w:spacing w:line="360" w:lineRule="auto"/>
        <w:rPr>
          <w:rFonts w:hint="eastAsia" w:ascii="宋体" w:hAnsi="宋体" w:cs="宋体"/>
          <w:sz w:val="24"/>
          <w:lang w:val="en-US" w:eastAsia="zh-CN"/>
        </w:rPr>
      </w:pPr>
      <w:r>
        <w:rPr>
          <w:rFonts w:hint="eastAsia" w:ascii="宋体" w:hAnsi="宋体" w:cs="宋体"/>
          <w:sz w:val="24"/>
          <w:lang w:val="en-US" w:eastAsia="zh-CN"/>
        </w:rPr>
        <w:t>Tan, M., Pang, R., Le, Q.V. 2020. Efficientdet: Scalable and effi</w:t>
      </w:r>
      <w:r>
        <w:rPr>
          <w:rFonts w:hint="eastAsia" w:ascii="宋体" w:hAnsi="宋体" w:cs="宋体"/>
          <w:sz w:val="24"/>
          <w:lang w:val="en-US" w:eastAsia="zh-CN"/>
        </w:rPr>
        <w:t/>
      </w:r>
      <w:r>
        <w:rPr>
          <w:rFonts w:hint="eastAsia" w:ascii="宋体" w:hAnsi="宋体" w:cs="宋体"/>
          <w:sz w:val="24"/>
          <w:lang w:val="en-US" w:eastAsia="zh-CN"/>
        </w:rPr>
        <w:t xml:space="preserve">cient object detection. Proc. IEEE/CVF Conf. Computer Vision and Pattern Recognition, Seattle. pp, 10781-10790. </w:t>
      </w:r>
    </w:p>
    <w:p w14:paraId="38DD5A5E">
      <w:pPr>
        <w:numPr>
          <w:ilvl w:val="0"/>
          <w:numId w:val="2"/>
        </w:numPr>
        <w:spacing w:line="360" w:lineRule="auto"/>
        <w:rPr>
          <w:rFonts w:hint="eastAsia" w:ascii="宋体" w:hAnsi="宋体" w:cs="宋体"/>
          <w:sz w:val="24"/>
          <w:lang w:val="en-US" w:eastAsia="zh-CN"/>
        </w:rPr>
      </w:pPr>
      <w:r>
        <w:rPr>
          <w:rFonts w:hint="eastAsia" w:ascii="宋体" w:hAnsi="宋体" w:cs="宋体"/>
          <w:sz w:val="24"/>
          <w:lang w:val="en-US" w:eastAsia="zh-CN"/>
        </w:rPr>
        <w:t xml:space="preserve">Van Rossum G., Drake, F.L. 2009. Python 3 Reference Manual. Scotts Valley, CreateSpace. Waters, B.E., McDonagh, J., Tzimiropoulos, G., Slinger, K.R.., Huggett, Z.J., Bell, M.J. 2021. Changes in sheep behavior before lambing. Agriculture 11:715. </w:t>
      </w:r>
    </w:p>
    <w:p w14:paraId="644F433E">
      <w:pPr>
        <w:numPr>
          <w:ilvl w:val="0"/>
          <w:numId w:val="2"/>
        </w:numPr>
        <w:spacing w:line="360" w:lineRule="auto"/>
        <w:rPr>
          <w:rFonts w:hint="eastAsia" w:ascii="宋体" w:hAnsi="宋体" w:cs="宋体"/>
          <w:sz w:val="24"/>
        </w:rPr>
      </w:pPr>
      <w:r>
        <w:rPr>
          <w:rFonts w:hint="eastAsia" w:ascii="宋体" w:hAnsi="宋体" w:cs="宋体"/>
          <w:sz w:val="24"/>
          <w:lang w:val="en-US" w:eastAsia="zh-CN"/>
        </w:rPr>
        <w:t>Xu, Y., Nie, J., Cen, H., Wen, B., Liu, S., Li, J., et al. 2023. Spatio</w:t>
      </w:r>
      <w:r>
        <w:rPr>
          <w:rFonts w:hint="eastAsia" w:ascii="宋体" w:hAnsi="宋体" w:cs="宋体"/>
          <w:sz w:val="24"/>
          <w:lang w:val="en-US" w:eastAsia="zh-CN"/>
        </w:rPr>
        <w:t/>
      </w:r>
      <w:r>
        <w:rPr>
          <w:rFonts w:hint="eastAsia" w:ascii="宋体" w:hAnsi="宋体" w:cs="宋体"/>
          <w:sz w:val="24"/>
          <w:lang w:val="en-US" w:eastAsia="zh-CN"/>
        </w:rPr>
        <w:t>temporal-based identification of aggressive behavior in group sheep. Animals (Basel) 13:2636. Yang, S., Xiao, W., Zhang, M., Guo, S., Zhao, J., Shen, F. 2022. Image data augmentation for deep learning: A survey. arXiv:220408610.</w:t>
      </w:r>
      <w:bookmarkEnd w:id="12"/>
    </w:p>
    <w:sectPr>
      <w:footerReference r:id="rId3" w:type="default"/>
      <w:footerReference r:id="rId4" w:type="even"/>
      <w:type w:val="continuous"/>
      <w:pgSz w:w="11906" w:h="16838"/>
      <w:pgMar w:top="1418" w:right="1134" w:bottom="1418" w:left="1418"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标宋简体">
    <w:altName w:val="宋体"/>
    <w:panose1 w:val="00000000000000000000"/>
    <w:charset w:val="86"/>
    <w:family w:val="auto"/>
    <w:pitch w:val="default"/>
    <w:sig w:usb0="00000000" w:usb1="00000000" w:usb2="00000010" w:usb3="00000000" w:csb0="00040000" w:csb1="00000000"/>
  </w:font>
  <w:font w:name="_x000B__x000C_">
    <w:altName w:val="Times New Roman"/>
    <w:panose1 w:val="00000000000000000000"/>
    <w:charset w:val="00"/>
    <w:family w:val="roman"/>
    <w:pitch w:val="default"/>
    <w:sig w:usb0="00000000" w:usb1="00000000" w:usb2="00000000"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TimesNewRomanPS-BoldMT">
    <w:altName w:val="Segoe Print"/>
    <w:panose1 w:val="00000000000000000000"/>
    <w:charset w:val="00"/>
    <w:family w:val="auto"/>
    <w:pitch w:val="default"/>
    <w:sig w:usb0="00000000" w:usb1="00000000" w:usb2="00000000" w:usb3="00000000" w:csb0="00000000" w:csb1="00000000"/>
  </w:font>
  <w:font w:name="Cheltenham-Boo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F4128">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77176">
    <w:pPr>
      <w:pStyle w:val="7"/>
      <w:framePr w:wrap="around" w:vAnchor="text" w:hAnchor="margin" w:xAlign="center" w:y="1"/>
      <w:rPr>
        <w:rStyle w:val="13"/>
      </w:rPr>
    </w:pPr>
    <w:r>
      <w:fldChar w:fldCharType="begin"/>
    </w:r>
    <w:r>
      <w:rPr>
        <w:rStyle w:val="13"/>
      </w:rPr>
      <w:instrText xml:space="preserve">PAGE  </w:instrText>
    </w:r>
    <w:r>
      <w:fldChar w:fldCharType="end"/>
    </w:r>
  </w:p>
  <w:p w14:paraId="25D88EBD">
    <w:pPr>
      <w:pStyle w:val="7"/>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0D23F7"/>
    <w:multiLevelType w:val="singleLevel"/>
    <w:tmpl w:val="F70D23F7"/>
    <w:lvl w:ilvl="0" w:tentative="0">
      <w:start w:val="1"/>
      <w:numFmt w:val="decimal"/>
      <w:lvlText w:val="[%1]"/>
      <w:lvlJc w:val="left"/>
      <w:pPr>
        <w:tabs>
          <w:tab w:val="left" w:pos="420"/>
        </w:tabs>
        <w:ind w:left="425" w:hanging="425"/>
      </w:pPr>
      <w:rPr>
        <w:rFonts w:hint="default"/>
      </w:rPr>
    </w:lvl>
  </w:abstractNum>
  <w:abstractNum w:abstractNumId="1">
    <w:nsid w:val="73816C9F"/>
    <w:multiLevelType w:val="singleLevel"/>
    <w:tmpl w:val="73816C9F"/>
    <w:lvl w:ilvl="0" w:tentative="0">
      <w:start w:val="6"/>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3D5A"/>
    <w:rsid w:val="00041102"/>
    <w:rsid w:val="00055805"/>
    <w:rsid w:val="000B3859"/>
    <w:rsid w:val="000B3F1C"/>
    <w:rsid w:val="000E1B22"/>
    <w:rsid w:val="00133B1B"/>
    <w:rsid w:val="001B79E5"/>
    <w:rsid w:val="00223A64"/>
    <w:rsid w:val="00257BE0"/>
    <w:rsid w:val="002A66CE"/>
    <w:rsid w:val="003A6201"/>
    <w:rsid w:val="003B23A1"/>
    <w:rsid w:val="003F264D"/>
    <w:rsid w:val="00431AE0"/>
    <w:rsid w:val="00450D92"/>
    <w:rsid w:val="00464B35"/>
    <w:rsid w:val="00471F2D"/>
    <w:rsid w:val="00482FE7"/>
    <w:rsid w:val="00557675"/>
    <w:rsid w:val="00580CEE"/>
    <w:rsid w:val="005F243F"/>
    <w:rsid w:val="00666B30"/>
    <w:rsid w:val="00667EC9"/>
    <w:rsid w:val="00672294"/>
    <w:rsid w:val="006C34ED"/>
    <w:rsid w:val="006C61F0"/>
    <w:rsid w:val="00753F95"/>
    <w:rsid w:val="00766BF9"/>
    <w:rsid w:val="0078549D"/>
    <w:rsid w:val="00786F12"/>
    <w:rsid w:val="00796765"/>
    <w:rsid w:val="007F262F"/>
    <w:rsid w:val="008028E5"/>
    <w:rsid w:val="00811D89"/>
    <w:rsid w:val="00823D5A"/>
    <w:rsid w:val="00836CB1"/>
    <w:rsid w:val="00865FAA"/>
    <w:rsid w:val="008D6A0F"/>
    <w:rsid w:val="00913400"/>
    <w:rsid w:val="009B11A9"/>
    <w:rsid w:val="009C0EF1"/>
    <w:rsid w:val="00A07FBF"/>
    <w:rsid w:val="00A36EE9"/>
    <w:rsid w:val="00A55E37"/>
    <w:rsid w:val="00A56A67"/>
    <w:rsid w:val="00A56D4E"/>
    <w:rsid w:val="00B41189"/>
    <w:rsid w:val="00B46966"/>
    <w:rsid w:val="00B8563F"/>
    <w:rsid w:val="00B97103"/>
    <w:rsid w:val="00BA2F9A"/>
    <w:rsid w:val="00BC7C21"/>
    <w:rsid w:val="00C35963"/>
    <w:rsid w:val="00C63F29"/>
    <w:rsid w:val="00C86065"/>
    <w:rsid w:val="00D24F09"/>
    <w:rsid w:val="00D27FA1"/>
    <w:rsid w:val="00D31E8C"/>
    <w:rsid w:val="00D43F02"/>
    <w:rsid w:val="00D613E6"/>
    <w:rsid w:val="00D71FA4"/>
    <w:rsid w:val="00D75A97"/>
    <w:rsid w:val="00DC59EA"/>
    <w:rsid w:val="00E16C0C"/>
    <w:rsid w:val="00E93A61"/>
    <w:rsid w:val="00EB77BD"/>
    <w:rsid w:val="00FE115A"/>
    <w:rsid w:val="00FF398D"/>
    <w:rsid w:val="01970D03"/>
    <w:rsid w:val="05B132F3"/>
    <w:rsid w:val="0C9B5E89"/>
    <w:rsid w:val="12F17A55"/>
    <w:rsid w:val="171207D6"/>
    <w:rsid w:val="1CCC4D0F"/>
    <w:rsid w:val="23CB5D5A"/>
    <w:rsid w:val="2D9A57D4"/>
    <w:rsid w:val="4838060A"/>
    <w:rsid w:val="6064580E"/>
    <w:rsid w:val="6451295E"/>
    <w:rsid w:val="79E948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9"/>
    <w:qFormat/>
    <w:uiPriority w:val="0"/>
    <w:pPr>
      <w:jc w:val="center"/>
    </w:pPr>
    <w:rPr>
      <w:rFonts w:eastAsia="方正大标宋简体"/>
      <w:sz w:val="76"/>
    </w:rPr>
  </w:style>
  <w:style w:type="paragraph" w:styleId="3">
    <w:name w:val="Body Text Indent"/>
    <w:basedOn w:val="1"/>
    <w:qFormat/>
    <w:uiPriority w:val="0"/>
    <w:pPr>
      <w:spacing w:line="360" w:lineRule="exact"/>
      <w:ind w:left="538" w:hanging="538" w:hangingChars="192"/>
    </w:pPr>
    <w:rPr>
      <w:sz w:val="28"/>
    </w:rPr>
  </w:style>
  <w:style w:type="paragraph" w:styleId="4">
    <w:name w:val="Date"/>
    <w:basedOn w:val="1"/>
    <w:next w:val="1"/>
    <w:qFormat/>
    <w:uiPriority w:val="0"/>
    <w:pPr>
      <w:ind w:left="100" w:leftChars="2500"/>
    </w:pPr>
  </w:style>
  <w:style w:type="paragraph" w:styleId="5">
    <w:name w:val="Body Text Indent 2"/>
    <w:basedOn w:val="1"/>
    <w:qFormat/>
    <w:uiPriority w:val="0"/>
    <w:pPr>
      <w:spacing w:line="360" w:lineRule="auto"/>
      <w:ind w:firstLine="960" w:firstLineChars="400"/>
    </w:pPr>
    <w:rPr>
      <w:rFonts w:ascii="_x000B__x000C_" w:hAnsi="_x000B__x000C_"/>
      <w:color w:val="000000"/>
      <w:sz w:val="24"/>
      <w:szCs w:val="18"/>
    </w:rPr>
  </w:style>
  <w:style w:type="paragraph" w:styleId="6">
    <w:name w:val="Balloon Text"/>
    <w:basedOn w:val="1"/>
    <w:link w:val="16"/>
    <w:qFormat/>
    <w:uiPriority w:val="0"/>
    <w:rPr>
      <w:sz w:val="18"/>
      <w:szCs w:val="18"/>
    </w:rPr>
  </w:style>
  <w:style w:type="paragraph" w:styleId="7">
    <w:name w:val="footer"/>
    <w:basedOn w:val="1"/>
    <w:link w:val="17"/>
    <w:qFormat/>
    <w:uiPriority w:val="0"/>
    <w:pPr>
      <w:tabs>
        <w:tab w:val="center" w:pos="4153"/>
        <w:tab w:val="right" w:pos="8306"/>
      </w:tabs>
      <w:snapToGrid w:val="0"/>
      <w:jc w:val="left"/>
    </w:pPr>
    <w:rPr>
      <w:sz w:val="18"/>
      <w:szCs w:val="18"/>
    </w:rPr>
  </w:style>
  <w:style w:type="paragraph" w:styleId="8">
    <w:name w:val="header"/>
    <w:basedOn w:val="1"/>
    <w:link w:val="18"/>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pPr>
      <w:spacing w:beforeAutospacing="1" w:afterAutospacing="1"/>
      <w:jc w:val="left"/>
    </w:pPr>
    <w:rPr>
      <w:kern w:val="0"/>
      <w:sz w:val="24"/>
    </w:rPr>
  </w:style>
  <w:style w:type="character" w:styleId="12">
    <w:name w:val="Strong"/>
    <w:basedOn w:val="11"/>
    <w:qFormat/>
    <w:uiPriority w:val="22"/>
    <w:rPr>
      <w:b/>
    </w:rPr>
  </w:style>
  <w:style w:type="character" w:styleId="13">
    <w:name w:val="page number"/>
    <w:basedOn w:val="11"/>
    <w:qFormat/>
    <w:uiPriority w:val="0"/>
  </w:style>
  <w:style w:type="character" w:styleId="14">
    <w:name w:val="FollowedHyperlink"/>
    <w:qFormat/>
    <w:uiPriority w:val="0"/>
    <w:rPr>
      <w:color w:val="800080"/>
      <w:u w:val="single"/>
    </w:rPr>
  </w:style>
  <w:style w:type="character" w:styleId="15">
    <w:name w:val="Hyperlink"/>
    <w:uiPriority w:val="0"/>
    <w:rPr>
      <w:color w:val="0000FF"/>
      <w:u w:val="single"/>
    </w:rPr>
  </w:style>
  <w:style w:type="character" w:customStyle="1" w:styleId="16">
    <w:name w:val="批注框文本 字符"/>
    <w:link w:val="6"/>
    <w:qFormat/>
    <w:uiPriority w:val="0"/>
    <w:rPr>
      <w:kern w:val="2"/>
      <w:sz w:val="18"/>
      <w:szCs w:val="18"/>
    </w:rPr>
  </w:style>
  <w:style w:type="character" w:customStyle="1" w:styleId="17">
    <w:name w:val="页脚 字符"/>
    <w:link w:val="7"/>
    <w:qFormat/>
    <w:uiPriority w:val="0"/>
    <w:rPr>
      <w:kern w:val="2"/>
      <w:sz w:val="18"/>
      <w:szCs w:val="18"/>
    </w:rPr>
  </w:style>
  <w:style w:type="character" w:customStyle="1" w:styleId="18">
    <w:name w:val="页眉 字符"/>
    <w:link w:val="8"/>
    <w:qFormat/>
    <w:uiPriority w:val="0"/>
    <w:rPr>
      <w:kern w:val="2"/>
      <w:sz w:val="18"/>
      <w:szCs w:val="18"/>
    </w:rPr>
  </w:style>
  <w:style w:type="character" w:customStyle="1" w:styleId="19">
    <w:name w:val="正文文本 字符"/>
    <w:link w:val="2"/>
    <w:qFormat/>
    <w:uiPriority w:val="0"/>
    <w:rPr>
      <w:rFonts w:eastAsia="方正大标宋简体"/>
      <w:kern w:val="2"/>
      <w:sz w:val="76"/>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Legend (Beijing) Limited</Company>
  <Pages>13</Pages>
  <Words>5197</Words>
  <Characters>6276</Characters>
  <Lines>161</Lines>
  <Paragraphs>129</Paragraphs>
  <TotalTime>9</TotalTime>
  <ScaleCrop>false</ScaleCrop>
  <LinksUpToDate>false</LinksUpToDate>
  <CharactersWithSpaces>6648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2026-01-13T05:38:00Z</dcterms:created>
  <dc:creator>Legend User</dc:creator>
  <cp:lastModifiedBy>AURORA</cp:lastModifiedBy>
  <cp:lastPrinted>2004-01-04T08:11:00Z</cp:lastPrinted>
  <dcterms:modified xsi:type="dcterms:W3CDTF">2026-04-21T06:08:34Z</dcterms:modified>
  <dc:title>   </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eyJoZGlkIjoiNDllYTIwZWM4M2M5ZGY5M2JjNjkzNjU5OTczZmM2OWEiLCJ1c2VySWQiOiIxNDIwNTY5MjIyIn0=</vt:lpwstr>
  </property>
  <property fmtid="{D5CDD505-2E9C-101B-9397-08002B2CF9AE}" pid="4" name="ICV">
    <vt:lpwstr>C8CDA64B9EA040A4BCEB0D51BC6BFE87_13</vt:lpwstr>
  </property>
</Properties>
</file>