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Research Assistant Training Manual</w:t>
      </w:r>
    </w:p>
    <w:p>
      <w:pPr>
        <w:spacing w:after="700" w:line="300"/>
      </w:pPr>
      <w:r>
        <w:rPr>
          <w:color w:val="5B6670"/>
          <w:sz w:val="28"/>
          <w:szCs w:val="28"/>
        </w:rPr>
        <w:t xml:space="preserve">Everything a Research Assistant needs to work on the ABF-FST study: the study, ethics, data protection, the portal, your role, scripts, scenarios and practice exercises.</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(Contact, QUAN/Kobo QA, KII and Documentary)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1.37 · 13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Welcome</w:t>
      </w:r>
    </w:p>
    <w:p>
      <w:pPr>
        <w:spacing w:after="120" w:line="288"/>
      </w:pPr>
      <w:r>
        <w:t xml:space="preserve">Thank you for joining the ABF-FST research team. This manual goes with your three-day training. Keep it with you during fieldwork. Your </w:t>
      </w:r>
      <w:r>
        <w:rPr>
          <w:b/>
          <w:bCs/>
        </w:rPr>
        <w:t xml:space="preserve">Role Guide</w:t>
      </w:r>
      <w:r>
        <w:t xml:space="preserve"> has the full step-by-step instructions for your screens; this manual explains the why, the standards and the skills.</w:t>
      </w:r>
    </w:p>
    <w:p>
      <w:pPr>
        <w:pStyle w:val="Heading2"/>
      </w:pPr>
      <w:r>
        <w:t xml:space="preserve">How to use this manual</w:t>
      </w:r>
    </w:p>
    <w:p>
      <w:pPr>
        <w:pStyle w:val="ListParagraph"/>
        <w:numPr>
          <w:ilvl w:val="0"/>
          <w:numId w:val="2"/>
        </w:numPr>
        <w:spacing w:after="60" w:line="276"/>
      </w:pPr>
      <w:r>
        <w:t xml:space="preserve">Read Sections 1–4 before Day 1.</w:t>
      </w:r>
    </w:p>
    <w:p>
      <w:pPr>
        <w:pStyle w:val="ListParagraph"/>
        <w:numPr>
          <w:ilvl w:val="0"/>
          <w:numId w:val="2"/>
        </w:numPr>
        <w:spacing w:after="60" w:line="276"/>
      </w:pPr>
      <w:r>
        <w:t xml:space="preserve">Read the module for your role (Section 6) before Day 2.</w:t>
      </w:r>
    </w:p>
    <w:p>
      <w:pPr>
        <w:pStyle w:val="ListParagraph"/>
        <w:numPr>
          <w:ilvl w:val="0"/>
          <w:numId w:val="2"/>
        </w:numPr>
        <w:spacing w:after="60" w:line="276"/>
      </w:pPr>
      <w:r>
        <w:t xml:space="preserve">Complete the exercises (Section 8) during the training.</w:t>
      </w:r>
    </w:p>
    <w:p>
      <w:pPr>
        <w:pStyle w:val="ListParagraph"/>
        <w:numPr>
          <w:ilvl w:val="0"/>
          <w:numId w:val="2"/>
        </w:numPr>
        <w:spacing w:after="60" w:line="276"/>
      </w:pPr>
      <w:r>
        <w:t xml:space="preserve">Use the checklists (Section 9) every working day.</w:t>
      </w:r>
    </w:p>
    <w:p>
      <w:pPr>
        <w:spacing w:after="60"/>
      </w:pPr>
    </w:p>
    <w:p>
      <w:pPr>
        <w:pStyle w:val="Heading2"/>
      </w:pPr>
      <w:r>
        <w:t xml:space="preserve">Who to contact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Day-to-day questions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Your Field Coordinator</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Ethics, consent, data protection, anything serious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(PI) — 0773943709 — abffst.research@gmail.com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Account or password problems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The PI</w:t>
            </w:r>
          </w:p>
        </w:tc>
      </w:tr>
    </w:tbl>
    <w:p>
      <w:pPr>
        <w:spacing w:after="120"/>
      </w:pPr>
    </w:p>
    <w:p>
      <w:pPr>
        <w:pStyle w:val="Heading1"/>
        <w:pageBreakBefore/>
      </w:pPr>
      <w:r>
        <w:t xml:space="preserve">2. The study</w:t>
      </w:r>
    </w:p>
    <w:p>
      <w:pPr>
        <w:spacing w:after="120" w:line="288"/>
      </w:pPr>
      <w:r>
        <w:rPr>
          <w:b/>
          <w:bCs/>
        </w:rPr>
        <w:t xml:space="preserve">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894"/>
        <w:gridCol w:w="1883"/>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Strand</w:t>
            </w:r>
          </w:p>
        </w:tc>
        <w:tc>
          <w:tcPr>
            <w:tcW w:type="dxa" w:w="4894"/>
            <w:shd w:fill="1B3350" w:color="auto" w:val="clear"/>
            <w:tcMar>
              <w:top w:type="dxa" w:w="70"/>
              <w:left w:type="dxa" w:w="110"/>
              <w:bottom w:type="dxa" w:w="70"/>
              <w:right w:type="dxa" w:w="110"/>
            </w:tcMar>
            <w:vAlign w:val="top"/>
          </w:tcPr>
          <w:p>
            <w:pPr>
              <w:spacing w:after="40"/>
            </w:pPr>
            <w:r>
              <w:rPr>
                <w:b/>
                <w:bCs/>
                <w:color w:val="FFFFFF"/>
                <w:sz w:val="19"/>
                <w:szCs w:val="19"/>
              </w:rPr>
              <w:t xml:space="preserve">What we collect</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Target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Questionnaire (quantitative)</w:t>
            </w:r>
          </w:p>
        </w:tc>
        <w:tc>
          <w:tcPr>
            <w:tcW w:type="dxa" w:w="4894"/>
            <w:tcMar>
              <w:top w:type="dxa" w:w="70"/>
              <w:left w:type="dxa" w:w="110"/>
              <w:bottom w:type="dxa" w:w="70"/>
              <w:right w:type="dxa" w:w="110"/>
            </w:tcMar>
            <w:vAlign w:val="top"/>
          </w:tcPr>
          <w:p>
            <w:pPr>
              <w:spacing w:after="40"/>
            </w:pPr>
            <w:r>
              <w:rPr>
                <w:b w:val="false"/>
                <w:bCs w:val="false"/>
                <w:sz w:val="19"/>
                <w:szCs w:val="19"/>
              </w:rPr>
              <w:t xml:space="preserve">One questionnaire from a senior person at each Main-400 organisation</w:t>
            </w:r>
          </w:p>
        </w:tc>
        <w:tc>
          <w:tcPr>
            <w:tcW w:type="dxa" w:w="1883"/>
            <w:tcMar>
              <w:top w:type="dxa" w:w="70"/>
              <w:left w:type="dxa" w:w="110"/>
              <w:bottom w:type="dxa" w:w="70"/>
              <w:right w:type="dxa" w:w="110"/>
            </w:tcMar>
            <w:vAlign w:val="top"/>
          </w:tcPr>
          <w:p>
            <w:pPr>
              <w:spacing w:after="40"/>
            </w:pPr>
            <w:r>
              <w:rPr>
                <w:b w:val="false"/>
                <w:bCs w:val="false"/>
                <w:sz w:val="19"/>
                <w:szCs w:val="19"/>
              </w:rPr>
              <w:t xml:space="preserve">400 completed</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Key Informant Interviews</w:t>
            </w:r>
          </w:p>
        </w:tc>
        <w:tc>
          <w:tcPr>
            <w:tcW w:type="dxa" w:w="4894"/>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Interviews with experts from government, finance, development partners, associations and research</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60 completed</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Documentary evidence</w:t>
            </w:r>
          </w:p>
        </w:tc>
        <w:tc>
          <w:tcPr>
            <w:tcW w:type="dxa" w:w="4894"/>
            <w:tcMar>
              <w:top w:type="dxa" w:w="70"/>
              <w:left w:type="dxa" w:w="110"/>
              <w:bottom w:type="dxa" w:w="70"/>
              <w:right w:type="dxa" w:w="110"/>
            </w:tcMar>
            <w:vAlign w:val="top"/>
          </w:tcPr>
          <w:p>
            <w:pPr>
              <w:spacing w:after="40"/>
            </w:pPr>
            <w:r>
              <w:rPr>
                <w:b w:val="false"/>
                <w:bCs w:val="false"/>
                <w:sz w:val="19"/>
                <w:szCs w:val="19"/>
              </w:rPr>
              <w:t xml:space="preserve">Policies, reports, platforms and media, coded with the Document Analysis Tool</w:t>
            </w:r>
          </w:p>
        </w:tc>
        <w:tc>
          <w:tcPr>
            <w:tcW w:type="dxa" w:w="1883"/>
            <w:tcMar>
              <w:top w:type="dxa" w:w="70"/>
              <w:left w:type="dxa" w:w="110"/>
              <w:bottom w:type="dxa" w:w="70"/>
              <w:right w:type="dxa" w:w="110"/>
            </w:tcMar>
            <w:vAlign w:val="top"/>
          </w:tcPr>
          <w:p>
            <w:pPr>
              <w:spacing w:after="40"/>
            </w:pPr>
            <w:r>
              <w:rPr>
                <w:b w:val="false"/>
                <w:bCs w:val="false"/>
                <w:sz w:val="19"/>
                <w:szCs w:val="19"/>
              </w:rPr>
              <w:t xml:space="preserve">50–75 coded</w:t>
            </w:r>
          </w:p>
        </w:tc>
      </w:tr>
    </w:tbl>
    <w:p>
      <w:pPr>
        <w:spacing w:after="12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Sample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400 Main organisations, each with a matched Reserve that may replace it only for an authorised reason.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Data lock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30 November 2026.</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What the study never does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It never produces a score, rating or financing decision for anyone taking part, and individual answers are never shared with any lender.</w:t>
            </w:r>
          </w:p>
        </w:tc>
      </w:tr>
    </w:tbl>
    <w:p>
      <w:pPr>
        <w:spacing w:after="120"/>
      </w:pPr>
    </w:p>
    <w:p>
      <w:pPr>
        <w:pStyle w:val="Heading2"/>
      </w:pPr>
      <w:r>
        <w:t xml:space="preserve">Explaining the study in two minutes</w:t>
      </w:r>
    </w:p>
    <w:p>
      <w:pPr>
        <w:spacing w:after="120" w:line="288"/>
      </w:pPr>
      <w:r>
        <w:t xml:space="preserve">"I'm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pPr>
        <w:pStyle w:val="Heading1"/>
        <w:pageBreakBefore/>
      </w:pPr>
      <w:r>
        <w:t xml:space="preserve">3. Ethics and data protection</w:t>
      </w:r>
    </w:p>
    <w:p>
      <w:pPr>
        <w:pStyle w:val="Heading2"/>
      </w:pPr>
      <w:r>
        <w:t xml:space="preserve">3.1 Principles you must apply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447"/>
        <w:gridCol w:w="6965"/>
      </w:tblGrid>
      <w:tr>
        <w:trPr>
          <w:tblHeader/>
        </w:trPr>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Principle</w:t>
            </w:r>
          </w:p>
        </w:tc>
        <w:tc>
          <w:tcPr>
            <w:tcW w:type="dxa" w:w="696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 for you</w:t>
            </w:r>
          </w:p>
        </w:tc>
      </w:tr>
      <w:tr>
        <w:trPr>
          <w:cantSplit/>
        </w:trPr>
        <w:tc>
          <w:tcPr>
            <w:tcW w:type="dxa" w:w="2447"/>
            <w:tcMar>
              <w:top w:type="dxa" w:w="70"/>
              <w:left w:type="dxa" w:w="110"/>
              <w:bottom w:type="dxa" w:w="70"/>
              <w:right w:type="dxa" w:w="110"/>
            </w:tcMar>
            <w:vAlign w:val="top"/>
          </w:tcPr>
          <w:p>
            <w:pPr>
              <w:spacing w:after="40"/>
            </w:pPr>
            <w:r>
              <w:rPr>
                <w:b w:val="false"/>
                <w:bCs w:val="false"/>
                <w:sz w:val="19"/>
                <w:szCs w:val="19"/>
              </w:rPr>
              <w:t xml:space="preserve">Voluntary participation</w:t>
            </w:r>
          </w:p>
        </w:tc>
        <w:tc>
          <w:tcPr>
            <w:tcW w:type="dxa" w:w="6965"/>
            <w:tcMar>
              <w:top w:type="dxa" w:w="70"/>
              <w:left w:type="dxa" w:w="110"/>
              <w:bottom w:type="dxa" w:w="70"/>
              <w:right w:type="dxa" w:w="110"/>
            </w:tcMar>
            <w:vAlign w:val="top"/>
          </w:tcPr>
          <w:p>
            <w:pPr>
              <w:spacing w:after="40"/>
            </w:pPr>
            <w:r>
              <w:rPr>
                <w:b w:val="false"/>
                <w:bCs w:val="false"/>
                <w:sz w:val="19"/>
                <w:szCs w:val="19"/>
              </w:rPr>
              <w:t xml:space="preserve">People may say no, stop at any time, or skip questions. Never pressure, never offer benefits, never imply consequences.</w:t>
            </w:r>
          </w:p>
        </w:tc>
      </w:tr>
      <w:tr>
        <w:trPr>
          <w:cantSplit/>
        </w:trPr>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Informed consent</w:t>
            </w:r>
          </w:p>
        </w:tc>
        <w:tc>
          <w:tcPr>
            <w:tcW w:type="dxa" w:w="6965"/>
            <w:shd w:fill="F8FAFB" w:color="auto" w:val="clear"/>
            <w:tcMar>
              <w:top w:type="dxa" w:w="70"/>
              <w:left w:type="dxa" w:w="110"/>
              <w:bottom w:type="dxa" w:w="70"/>
              <w:right w:type="dxa" w:w="110"/>
            </w:tcMar>
            <w:vAlign w:val="top"/>
          </w:tcPr>
          <w:p>
            <w:pPr>
              <w:spacing w:after="40"/>
            </w:pPr>
            <w:r>
              <w:rPr>
                <w:b w:val="false"/>
                <w:bCs w:val="false"/>
                <w:sz w:val="19"/>
                <w:szCs w:val="19"/>
              </w:rPr>
              <w:t xml:space="preserve">Before any question, the person must understand the study (Participant Information Sheet v1.5) and agree. On the portal they select I agree to take part; for assisted interviews you read the information and they agree before you start.</w:t>
            </w:r>
          </w:p>
        </w:tc>
      </w:tr>
      <w:tr>
        <w:trPr>
          <w:cantSplit/>
        </w:trPr>
        <w:tc>
          <w:tcPr>
            <w:tcW w:type="dxa" w:w="2447"/>
            <w:tcMar>
              <w:top w:type="dxa" w:w="70"/>
              <w:left w:type="dxa" w:w="110"/>
              <w:bottom w:type="dxa" w:w="70"/>
              <w:right w:type="dxa" w:w="110"/>
            </w:tcMar>
            <w:vAlign w:val="top"/>
          </w:tcPr>
          <w:p>
            <w:pPr>
              <w:spacing w:after="40"/>
            </w:pPr>
            <w:r>
              <w:rPr>
                <w:b w:val="false"/>
                <w:bCs w:val="false"/>
                <w:sz w:val="19"/>
                <w:szCs w:val="19"/>
              </w:rPr>
              <w:t xml:space="preserve">Separate recording consent</w:t>
            </w:r>
          </w:p>
        </w:tc>
        <w:tc>
          <w:tcPr>
            <w:tcW w:type="dxa" w:w="6965"/>
            <w:tcMar>
              <w:top w:type="dxa" w:w="70"/>
              <w:left w:type="dxa" w:w="110"/>
              <w:bottom w:type="dxa" w:w="70"/>
              <w:right w:type="dxa" w:w="110"/>
            </w:tcMar>
            <w:vAlign w:val="top"/>
          </w:tcPr>
          <w:p>
            <w:pPr>
              <w:spacing w:after="40"/>
            </w:pPr>
            <w:r>
              <w:rPr>
                <w:b w:val="false"/>
                <w:bCs w:val="false"/>
                <w:sz w:val="19"/>
                <w:szCs w:val="19"/>
              </w:rPr>
              <w:t xml:space="preserve">For KIIs, recording needs its own yes. Participation consent never implies recording consent.</w:t>
            </w:r>
          </w:p>
        </w:tc>
      </w:tr>
      <w:tr>
        <w:trPr>
          <w:cantSplit/>
        </w:trPr>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Confidentiality</w:t>
            </w:r>
          </w:p>
        </w:tc>
        <w:tc>
          <w:tcPr>
            <w:tcW w:type="dxa" w:w="6965"/>
            <w:shd w:fill="F8FAFB" w:color="auto" w:val="clear"/>
            <w:tcMar>
              <w:top w:type="dxa" w:w="70"/>
              <w:left w:type="dxa" w:w="110"/>
              <w:bottom w:type="dxa" w:w="70"/>
              <w:right w:type="dxa" w:w="110"/>
            </w:tcMar>
            <w:vAlign w:val="top"/>
          </w:tcPr>
          <w:p>
            <w:pPr>
              <w:spacing w:after="40"/>
            </w:pPr>
            <w:r>
              <w:rPr>
                <w:b w:val="false"/>
                <w:bCs w:val="false"/>
                <w:sz w:val="19"/>
                <w:szCs w:val="19"/>
              </w:rPr>
              <w:t xml:space="preserve">Names and contact details are kept separately from answers and used only to manage participation. Results are reported only in combined, anonymised form.</w:t>
            </w:r>
          </w:p>
        </w:tc>
      </w:tr>
      <w:tr>
        <w:trPr>
          <w:cantSplit/>
        </w:trPr>
        <w:tc>
          <w:tcPr>
            <w:tcW w:type="dxa" w:w="2447"/>
            <w:tcMar>
              <w:top w:type="dxa" w:w="70"/>
              <w:left w:type="dxa" w:w="110"/>
              <w:bottom w:type="dxa" w:w="70"/>
              <w:right w:type="dxa" w:w="110"/>
            </w:tcMar>
            <w:vAlign w:val="top"/>
          </w:tcPr>
          <w:p>
            <w:pPr>
              <w:spacing w:after="40"/>
            </w:pPr>
            <w:r>
              <w:rPr>
                <w:b w:val="false"/>
                <w:bCs w:val="false"/>
                <w:sz w:val="19"/>
                <w:szCs w:val="19"/>
              </w:rPr>
              <w:t xml:space="preserve">Right to withdraw</w:t>
            </w:r>
          </w:p>
        </w:tc>
        <w:tc>
          <w:tcPr>
            <w:tcW w:type="dxa" w:w="6965"/>
            <w:tcMar>
              <w:top w:type="dxa" w:w="70"/>
              <w:left w:type="dxa" w:w="110"/>
              <w:bottom w:type="dxa" w:w="70"/>
              <w:right w:type="dxa" w:w="110"/>
            </w:tcMar>
            <w:vAlign w:val="top"/>
          </w:tcPr>
          <w:p>
            <w:pPr>
              <w:spacing w:after="40"/>
            </w:pPr>
            <w:r>
              <w:rPr>
                <w:b w:val="false"/>
                <w:bCs w:val="false"/>
                <w:sz w:val="19"/>
                <w:szCs w:val="19"/>
              </w:rPr>
              <w:t xml:space="preserve">Anyone may withdraw at any time. Stop contact and tell the Field Coordinator the same day. Answers already submitted are kept for the audit trail but never analysed.</w:t>
            </w:r>
          </w:p>
        </w:tc>
      </w:tr>
      <w:tr>
        <w:trPr>
          <w:cantSplit/>
        </w:trPr>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 harm, no deception</w:t>
            </w:r>
          </w:p>
        </w:tc>
        <w:tc>
          <w:tcPr>
            <w:tcW w:type="dxa" w:w="6965"/>
            <w:shd w:fill="F8FAFB" w:color="auto" w:val="clear"/>
            <w:tcMar>
              <w:top w:type="dxa" w:w="70"/>
              <w:left w:type="dxa" w:w="110"/>
              <w:bottom w:type="dxa" w:w="70"/>
              <w:right w:type="dxa" w:w="110"/>
            </w:tcMar>
            <w:vAlign w:val="top"/>
          </w:tcPr>
          <w:p>
            <w:pPr>
              <w:spacing w:after="40"/>
            </w:pPr>
            <w:r>
              <w:rPr>
                <w:b w:val="false"/>
                <w:bCs w:val="false"/>
                <w:sz w:val="19"/>
                <w:szCs w:val="19"/>
              </w:rPr>
              <w:t xml:space="preserve">Be honest about who we are and what the study does. Never say answers affect finance.</w:t>
            </w:r>
          </w:p>
        </w:tc>
      </w:tr>
    </w:tbl>
    <w:p>
      <w:pPr>
        <w:spacing w:after="120"/>
      </w:pPr>
    </w:p>
    <w:p>
      <w:pPr>
        <w:pStyle w:val="Heading2"/>
      </w:pPr>
      <w:r>
        <w:t xml:space="preserve">3.2 What respondents are told (PIS v1.5, summary)</w:t>
      </w:r>
    </w:p>
    <w:p>
      <w:pPr>
        <w:pStyle w:val="ListParagraph"/>
        <w:numPr>
          <w:ilvl w:val="0"/>
          <w:numId w:val="2"/>
        </w:numPr>
        <w:spacing w:after="60" w:line="276"/>
      </w:pPr>
      <w:r>
        <w:t xml:space="preserve">Who is doing the study and the CUT ethics clearance.</w:t>
      </w:r>
    </w:p>
    <w:p>
      <w:pPr>
        <w:pStyle w:val="ListParagraph"/>
        <w:numPr>
          <w:ilvl w:val="0"/>
          <w:numId w:val="2"/>
        </w:numPr>
        <w:spacing w:after="60" w:line="276"/>
      </w:pPr>
      <w:r>
        <w:t xml:space="preserve">The questionnaire takes around 15–25 minutes, online or with a researcher by phone or WhatsApp.</w:t>
      </w:r>
    </w:p>
    <w:p>
      <w:pPr>
        <w:pStyle w:val="ListParagraph"/>
        <w:numPr>
          <w:ilvl w:val="0"/>
          <w:numId w:val="2"/>
        </w:numPr>
        <w:spacing w:after="60" w:line="276"/>
      </w:pPr>
      <w:r>
        <w:t xml:space="preserve">Public information may be looked up beforehand and shown for confirmation; they may skip that step.</w:t>
      </w:r>
    </w:p>
    <w:p>
      <w:pPr>
        <w:pStyle w:val="ListParagraph"/>
        <w:numPr>
          <w:ilvl w:val="0"/>
          <w:numId w:val="2"/>
        </w:numPr>
        <w:spacing w:after="60" w:line="276"/>
      </w:pPr>
      <w:r>
        <w:t xml:space="preserve">An AI tool from a company outside Zimbabwe helps with that search; it never receives contact details or answers, and a researcher checks what it finds.</w:t>
      </w:r>
    </w:p>
    <w:p>
      <w:pPr>
        <w:pStyle w:val="ListParagraph"/>
        <w:numPr>
          <w:ilvl w:val="0"/>
          <w:numId w:val="2"/>
        </w:numPr>
        <w:spacing w:after="60" w:line="276"/>
      </w:pPr>
      <w:r>
        <w:t xml:space="preserve">Participation is voluntary; they may decline or stop at any time.</w:t>
      </w:r>
    </w:p>
    <w:p>
      <w:pPr>
        <w:pStyle w:val="ListParagraph"/>
        <w:numPr>
          <w:ilvl w:val="0"/>
          <w:numId w:val="2"/>
        </w:numPr>
        <w:spacing w:after="60" w:line="276"/>
      </w:pPr>
      <w:r>
        <w:t xml:space="preserve">No score, rating or financing decision; answers never shared with lenders.</w:t>
      </w:r>
    </w:p>
    <w:p>
      <w:pPr>
        <w:pStyle w:val="ListParagraph"/>
        <w:numPr>
          <w:ilvl w:val="0"/>
          <w:numId w:val="2"/>
        </w:numPr>
        <w:spacing w:after="60" w:line="276"/>
      </w:pPr>
      <w:r>
        <w:t xml:space="preserve">Contact details kept separately, used only for participation; results combined and anonymised.</w:t>
      </w:r>
    </w:p>
    <w:p>
      <w:pPr>
        <w:pStyle w:val="ListParagraph"/>
        <w:numPr>
          <w:ilvl w:val="0"/>
          <w:numId w:val="2"/>
        </w:numPr>
        <w:spacing w:after="60" w:line="276"/>
      </w:pPr>
      <w:r>
        <w:t xml:space="preserve">Questions: Happyson Saina, 0773943709, abffst.research@gmail.com.</w:t>
      </w:r>
    </w:p>
    <w:p>
      <w:pPr>
        <w:spacing w:after="60"/>
      </w:pPr>
    </w:p>
    <w:p>
      <w:pPr>
        <w:pStyle w:val="Heading2"/>
      </w:pPr>
      <w:r>
        <w:t xml:space="preserve">3.3 Data protection rules</w:t>
      </w:r>
    </w:p>
    <w:p>
      <w:pPr>
        <w:spacing w:after="120" w:line="288"/>
      </w:pPr>
      <w:r>
        <w:t xml:space="preserve">The study follows Zimbabwe's Cyber and Data Protection Act and the study's data protection protocol.</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2"/>
      </w:pPr>
      <w:r>
        <w:t xml:space="preserve">3.4 Your devices</w:t>
      </w:r>
    </w:p>
    <w:p>
      <w:pPr>
        <w:pStyle w:val="ListParagraph"/>
        <w:numPr>
          <w:ilvl w:val="0"/>
          <w:numId w:val="2"/>
        </w:numPr>
        <w:spacing w:after="60" w:line="276"/>
      </w:pPr>
      <w:r>
        <w:t xml:space="preserve">Use a screen lock on every device you use for the study, and never leave the portal open and unattended.</w:t>
      </w:r>
    </w:p>
    <w:p>
      <w:pPr>
        <w:pStyle w:val="ListParagraph"/>
        <w:numPr>
          <w:ilvl w:val="0"/>
          <w:numId w:val="2"/>
        </w:numPr>
        <w:spacing w:after="60" w:line="276"/>
      </w:pPr>
      <w:r>
        <w:t xml:space="preserve">Send WhatsApp messages only from the study number (WhatsApp Business on the study phone or WhatsApp Web linked to it). Never from your personal WhatsApp.</w:t>
      </w:r>
    </w:p>
    <w:p>
      <w:pPr>
        <w:pStyle w:val="ListParagraph"/>
        <w:numPr>
          <w:ilvl w:val="0"/>
          <w:numId w:val="2"/>
        </w:numPr>
        <w:spacing w:after="60" w:line="276"/>
      </w:pPr>
      <w:r>
        <w:t xml:space="preserve">Don't save respondents to your personal contacts, and don't add them to groups.</w:t>
      </w:r>
    </w:p>
    <w:p>
      <w:pPr>
        <w:pStyle w:val="ListParagraph"/>
        <w:numPr>
          <w:ilvl w:val="0"/>
          <w:numId w:val="2"/>
        </w:numPr>
        <w:spacing w:after="60" w:line="276"/>
      </w:pPr>
      <w:r>
        <w:t xml:space="preserve">Don't download PDFs or exports to personal devices or cloud folders.</w:t>
      </w:r>
    </w:p>
    <w:p>
      <w:pPr>
        <w:pStyle w:val="ListParagraph"/>
        <w:numPr>
          <w:ilvl w:val="0"/>
          <w:numId w:val="2"/>
        </w:numPr>
        <w:spacing w:after="60" w:line="276"/>
      </w:pPr>
      <w:r>
        <w:t xml:space="preserve">Report a lost or stolen device to the PI immediately.</w:t>
      </w:r>
    </w:p>
    <w:p>
      <w:pPr>
        <w:spacing w:after="60"/>
      </w:pPr>
    </w:p>
    <w:p>
      <w:pPr>
        <w:pStyle w:val="Heading2"/>
      </w:pPr>
      <w:r>
        <w:t xml:space="preserve">3.5 Conduct</w:t>
      </w:r>
    </w:p>
    <w:p>
      <w:pPr>
        <w:pStyle w:val="ListParagraph"/>
        <w:numPr>
          <w:ilvl w:val="0"/>
          <w:numId w:val="2"/>
        </w:numPr>
        <w:spacing w:after="60" w:line="276"/>
      </w:pPr>
      <w:r>
        <w:t xml:space="preserve">Be polite, patient and professional, in the language the respondent prefers.</w:t>
      </w:r>
    </w:p>
    <w:p>
      <w:pPr>
        <w:pStyle w:val="ListParagraph"/>
        <w:numPr>
          <w:ilvl w:val="0"/>
          <w:numId w:val="2"/>
        </w:numPr>
        <w:spacing w:after="60" w:line="276"/>
      </w:pPr>
      <w:r>
        <w:t xml:space="preserve">Contact people during normal working hours, or at the times they ask for, as agreed with your Field Coordinator.</w:t>
      </w:r>
    </w:p>
    <w:p>
      <w:pPr>
        <w:pStyle w:val="ListParagraph"/>
        <w:numPr>
          <w:ilvl w:val="0"/>
          <w:numId w:val="2"/>
        </w:numPr>
        <w:spacing w:after="60" w:line="276"/>
      </w:pPr>
      <w:r>
        <w:t xml:space="preserve">Never promise anything the study cannot give.</w:t>
      </w:r>
    </w:p>
    <w:p>
      <w:pPr>
        <w:pStyle w:val="ListParagraph"/>
        <w:numPr>
          <w:ilvl w:val="0"/>
          <w:numId w:val="2"/>
        </w:numPr>
        <w:spacing w:after="60" w:line="276"/>
      </w:pPr>
      <w:r>
        <w:t xml:space="preserve">Record the truth: never mark something as sent, done or agreed if it wasn't.</w:t>
      </w:r>
    </w:p>
    <w:p>
      <w:pPr>
        <w:pStyle w:val="ListParagraph"/>
        <w:numPr>
          <w:ilvl w:val="0"/>
          <w:numId w:val="2"/>
        </w:numPr>
        <w:spacing w:after="60" w:line="276"/>
      </w:pPr>
      <w:r>
        <w:t xml:space="preserve">Escalate anything unusual — a complaint, a threat, a data problem — to the Field Coordinator or PI the same day.</w:t>
      </w:r>
    </w:p>
    <w:p>
      <w:pPr>
        <w:spacing w:after="60"/>
      </w:pPr>
    </w:p>
    <w:p>
      <w:pPr>
        <w:pStyle w:val="Heading1"/>
        <w:pageBreakBefore/>
      </w:pPr>
      <w:r>
        <w:t xml:space="preserve">4. The portal and the forms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your role's start screen</w:t>
      </w:r>
      <w:r>
        <w:t xml:space="preserve">. The bar across the top lists only the screens your role (your role)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Roles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5271"/>
        <w:gridCol w:w="2070"/>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5271"/>
            <w:shd w:fill="1B3350" w:color="auto" w:val="clear"/>
            <w:tcMar>
              <w:top w:type="dxa" w:w="70"/>
              <w:left w:type="dxa" w:w="110"/>
              <w:bottom w:type="dxa" w:w="70"/>
              <w:right w:type="dxa" w:w="110"/>
            </w:tcMar>
            <w:vAlign w:val="top"/>
          </w:tcPr>
          <w:p>
            <w:pPr>
              <w:spacing w:after="40"/>
            </w:pPr>
            <w:r>
              <w:rPr>
                <w:b/>
                <w:bCs/>
                <w:color w:val="FFFFFF"/>
                <w:sz w:val="19"/>
                <w:szCs w:val="19"/>
              </w:rPr>
              <w:t xml:space="preserve">Screens</w:t>
            </w:r>
          </w:p>
        </w:tc>
        <w:tc>
          <w:tcPr>
            <w:tcW w:type="dxa" w:w="2070"/>
            <w:shd w:fill="1B3350" w:color="auto" w:val="clear"/>
            <w:tcMar>
              <w:top w:type="dxa" w:w="70"/>
              <w:left w:type="dxa" w:w="110"/>
              <w:bottom w:type="dxa" w:w="70"/>
              <w:right w:type="dxa" w:w="110"/>
            </w:tcMar>
            <w:vAlign w:val="top"/>
          </w:tcPr>
          <w:p>
            <w:pPr>
              <w:spacing w:after="40"/>
            </w:pPr>
            <w:r>
              <w:rPr>
                <w:b/>
                <w:bCs/>
                <w:color w:val="FFFFFF"/>
                <w:sz w:val="19"/>
                <w:szCs w:val="19"/>
              </w:rPr>
              <w:t xml:space="preserve">Starts on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PI / System Admin</w:t>
            </w:r>
          </w:p>
        </w:tc>
        <w:tc>
          <w:tcPr>
            <w:tcW w:type="dxa" w:w="5271"/>
            <w:tcMar>
              <w:top w:type="dxa" w:w="70"/>
              <w:left w:type="dxa" w:w="110"/>
              <w:bottom w:type="dxa" w:w="70"/>
              <w:right w:type="dxa" w:w="110"/>
            </w:tcMar>
            <w:vAlign w:val="top"/>
          </w:tcPr>
          <w:p>
            <w:pPr>
              <w:spacing w:after="40"/>
            </w:pPr>
            <w:r>
              <w:rPr>
                <w:b w:val="false"/>
                <w:bCs w:val="false"/>
                <w:sz w:val="19"/>
                <w:szCs w:val="19"/>
              </w:rPr>
              <w:t xml:space="preserve">All 21 screens, including the Audit Log, Research Clearance and every export</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Field / Digital Coordinator</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19 screens — everything except the Audit Log and Research Clearance. No full operational export and no KoboToolbox data download</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Main-400 Register, Appointments, Follow-ups, Communications — only the cases assigned to you</w:t>
            </w:r>
          </w:p>
        </w:tc>
        <w:tc>
          <w:tcPr>
            <w:tcW w:type="dxa" w:w="2070"/>
            <w:tcMar>
              <w:top w:type="dxa" w:w="70"/>
              <w:left w:type="dxa" w:w="110"/>
              <w:bottom w:type="dxa" w:w="70"/>
              <w:right w:type="dxa" w:w="110"/>
            </w:tcMar>
            <w:vAlign w:val="top"/>
          </w:tcPr>
          <w:p>
            <w:pPr>
              <w:spacing w:after="40"/>
            </w:pPr>
            <w:r>
              <w:rPr>
                <w:b w:val="false"/>
                <w:bCs w:val="false"/>
                <w:sz w:val="19"/>
                <w:szCs w:val="19"/>
              </w:rPr>
              <w:t xml:space="preserve">Main-400 Register</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 Form PDFs (questionnaire), QA Queue, QA Exceptions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KII/Doc Dashboard, Form PDFs (KII Guide), KII Register, Communications (KII records)</w:t>
            </w:r>
          </w:p>
        </w:tc>
        <w:tc>
          <w:tcPr>
            <w:tcW w:type="dxa" w:w="2070"/>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 Form PDFs (Document Analysis Tool), Documents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Data Analyst</w:t>
            </w:r>
          </w:p>
        </w:tc>
        <w:tc>
          <w:tcPr>
            <w:tcW w:type="dxa" w:w="5271"/>
            <w:tcMar>
              <w:top w:type="dxa" w:w="70"/>
              <w:left w:type="dxa" w:w="110"/>
              <w:bottom w:type="dxa" w:w="70"/>
              <w:right w:type="dxa" w:w="110"/>
            </w:tcMar>
            <w:vAlign w:val="top"/>
          </w:tcPr>
          <w:p>
            <w:pPr>
              <w:spacing w:after="40"/>
            </w:pPr>
            <w:r>
              <w:rPr>
                <w:b w:val="false"/>
                <w:bCs w:val="false"/>
                <w:sz w:val="19"/>
                <w:szCs w:val="19"/>
              </w:rPr>
              <w:t xml:space="preserve">Executive, Sampling, Reports, Contact and KII/Doc dashboards, Cost, Export (de-identified only). Read-only</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Supervisor (read-only)</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18 screens — everything except the Audit Log, Export and Research Clearance. Read-only</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bl>
    <w:p>
      <w:pPr>
        <w:spacing w:after="120"/>
      </w:pPr>
    </w:p>
    <w:p>
      <w:pPr>
        <w:pStyle w:val="Heading2"/>
      </w:pPr>
      <w:r>
        <w:t xml:space="preserve">Case statuses you will see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847"/>
        <w:gridCol w:w="2824"/>
        <w:gridCol w:w="5741"/>
      </w:tblGrid>
      <w:tr>
        <w:trPr>
          <w:tblHeader/>
        </w:trPr>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Status</w:t>
            </w:r>
          </w:p>
        </w:tc>
        <w:tc>
          <w:tcPr>
            <w:tcW w:type="dxa" w:w="5741"/>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Selected Main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case is in the Main-400 sample. Starting point for every Main case.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Verification required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organisation's details are being checked.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Organisation verified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organisation exists, is active and is the right one.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respondent identified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A knowledgeable senior person has been identified. Ready to invite.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prepared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Optional manual step before sending.</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 sent</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an invitation is issued.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opened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link.</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S07</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Survey started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questionnaire.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S08</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Survey submitted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questionnaire arrives from KoboToolbox.</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query</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 QA reviewer re-queries the submission.</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QA passed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a QA reviewer accepts the submission.</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Final: the case is finished.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Refused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declined or withdrew.</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Nonresponse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no response after every approved reminder was sent.</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Ineligible</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or respondent does not qualify.</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Duplicate / inactive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duplicate record or organisation no longer operating.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Reserve eligible for activation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matched Reserve may now be activated to replace this case.</w:t>
            </w:r>
          </w:p>
        </w:tc>
      </w:tr>
    </w:tbl>
    <w:p>
      <w:pPr>
        <w:spacing w:after="120"/>
      </w:pPr>
    </w:p>
    <w:p>
      <w:pPr>
        <w:pStyle w:val="Heading2"/>
      </w:pPr>
      <w:r>
        <w:t xml:space="preserve">The KoboToolbox forms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388"/>
        <w:gridCol w:w="3200"/>
        <w:gridCol w:w="2824"/>
      </w:tblGrid>
      <w:tr>
        <w:trPr>
          <w:tblHeader/>
        </w:trPr>
        <w:tc>
          <w:tcPr>
            <w:tcW w:type="dxa" w:w="3388"/>
            <w:shd w:fill="1B3350" w:color="auto" w:val="clear"/>
            <w:tcMar>
              <w:top w:type="dxa" w:w="70"/>
              <w:left w:type="dxa" w:w="110"/>
              <w:bottom w:type="dxa" w:w="70"/>
              <w:right w:type="dxa" w:w="110"/>
            </w:tcMar>
            <w:vAlign w:val="top"/>
          </w:tcPr>
          <w:p>
            <w:pPr>
              <w:spacing w:after="40"/>
            </w:pPr>
            <w:r>
              <w:rPr>
                <w:b/>
                <w:bCs/>
                <w:color w:val="FFFFFF"/>
                <w:sz w:val="19"/>
                <w:szCs w:val="19"/>
              </w:rPr>
              <w:t xml:space="preserve">Form</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Used by</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Linked by</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Main Study Questionnaire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Respondents; Contact RAs in assisted interviews</w:t>
            </w:r>
          </w:p>
        </w:tc>
        <w:tc>
          <w:tcPr>
            <w:tcW w:type="dxa" w:w="2824"/>
            <w:tcMar>
              <w:top w:type="dxa" w:w="70"/>
              <w:left w:type="dxa" w:w="110"/>
              <w:bottom w:type="dxa" w:w="70"/>
              <w:right w:type="dxa" w:w="110"/>
            </w:tcMar>
            <w:vAlign w:val="top"/>
          </w:tcPr>
          <w:p>
            <w:pPr>
              <w:spacing w:after="40"/>
            </w:pPr>
            <w:r>
              <w:rPr>
                <w:b w:val="false"/>
                <w:bCs w:val="false"/>
                <w:sz w:val="19"/>
                <w:szCs w:val="19"/>
              </w:rPr>
              <w:t xml:space="preserve">Opened from the portal link, which carries the Sample ID</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Main Study KII Guide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KII RAs</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KII ID</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Document, Digital Platform &amp; Media Analysis Tool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Documentary RAs</w:t>
            </w:r>
          </w:p>
        </w:tc>
        <w:tc>
          <w:tcPr>
            <w:tcW w:type="dxa" w:w="2824"/>
            <w:tcMar>
              <w:top w:type="dxa" w:w="70"/>
              <w:left w:type="dxa" w:w="110"/>
              <w:bottom w:type="dxa" w:w="70"/>
              <w:right w:type="dxa" w:w="110"/>
            </w:tcMar>
            <w:vAlign w:val="top"/>
          </w:tcPr>
          <w:p>
            <w:pPr>
              <w:spacing w:after="40"/>
            </w:pPr>
            <w:r>
              <w:rPr>
                <w:b w:val="false"/>
                <w:bCs w:val="false"/>
                <w:sz w:val="19"/>
                <w:szCs w:val="19"/>
              </w:rPr>
              <w:t xml:space="preserve">DOC ID</w:t>
            </w:r>
          </w:p>
        </w:tc>
      </w:tr>
    </w:tbl>
    <w:p>
      <w:pPr>
        <w:spacing w:after="12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Always start the questionnaire from the portal</w:t>
            </w:r>
          </w:p>
          <w:p>
            <w:pPr>
              <w:spacing w:after="40" w:line="264"/>
            </w:pPr>
            <w:r>
              <w:rPr>
                <w:sz w:val="19"/>
                <w:szCs w:val="19"/>
              </w:rPr>
              <w:t xml:space="preserve">A questionnaire opened any other way (for example from a saved KoboToolbox link) is not matched to a case and is set aside.</w:t>
            </w:r>
          </w:p>
        </w:tc>
      </w:tr>
    </w:tbl>
    <w:p>
      <w:pPr>
        <w:pStyle w:val="Heading1"/>
        <w:pageBreakBefore/>
      </w:pPr>
      <w:r>
        <w:t xml:space="preserve">5. Communication scripts</w:t>
      </w:r>
    </w:p>
    <w:p>
      <w:pPr>
        <w:pStyle w:val="Heading2"/>
      </w:pPr>
      <w:r>
        <w:t xml:space="preserve">5.1 First phone call</w:t>
      </w:r>
    </w:p>
    <w:p>
      <w:pPr>
        <w:pStyle w:val="ListParagraph"/>
        <w:numPr>
          <w:ilvl w:val="0"/>
          <w:numId w:val="4"/>
        </w:numPr>
        <w:spacing w:after="80" w:line="276"/>
      </w:pPr>
      <w:r>
        <w:t xml:space="preserve">"Good morning. My name is [name], from the ABF-FST research team at Chinhoyi University of Technology. May I speak to [name / the managing director]?"</w:t>
      </w:r>
    </w:p>
    <w:p>
      <w:pPr>
        <w:pStyle w:val="ListParagraph"/>
        <w:numPr>
          <w:ilvl w:val="0"/>
          <w:numId w:val="4"/>
        </w:numPr>
        <w:spacing w:after="80" w:line="276"/>
      </w:pPr>
      <w:r>
        <w:t xml:space="preserve">Explain the study in two minutes (Section 2).</w:t>
      </w:r>
    </w:p>
    <w:p>
      <w:pPr>
        <w:pStyle w:val="ListParagraph"/>
        <w:numPr>
          <w:ilvl w:val="0"/>
          <w:numId w:val="4"/>
        </w:numPr>
        <w:spacing w:after="80" w:line="276"/>
      </w:pPr>
      <w:r>
        <w:t xml:space="preserve">"Are you the best person to answer for [organisation] — for example the owner, managing director, or head of finance or operations?" If not, ask who is and when to reach them.</w:t>
      </w:r>
    </w:p>
    <w:p>
      <w:pPr>
        <w:pStyle w:val="ListParagraph"/>
        <w:numPr>
          <w:ilvl w:val="0"/>
          <w:numId w:val="4"/>
        </w:numPr>
        <w:spacing w:after="80" w:line="276"/>
      </w:pPr>
      <w:r>
        <w:t xml:space="preserve">"May I send you a personal link by WhatsApp or email? You can complete it yourself, or I can go through it with you by phone."</w:t>
      </w:r>
    </w:p>
    <w:p>
      <w:pPr>
        <w:pStyle w:val="ListParagraph"/>
        <w:numPr>
          <w:ilvl w:val="0"/>
          <w:numId w:val="4"/>
        </w:numPr>
        <w:spacing w:after="80" w:line="276"/>
      </w:pPr>
      <w:r>
        <w:t xml:space="preserve">Confirm their number or email, thank them, and log the attempt.</w:t>
      </w:r>
    </w:p>
    <w:p>
      <w:pPr>
        <w:spacing w:after="80"/>
      </w:pPr>
    </w:p>
    <w:p>
      <w:pPr>
        <w:pStyle w:val="Heading2"/>
      </w:pPr>
      <w:r>
        <w:t xml:space="preserve">5.2 If they are busy</w:t>
      </w:r>
    </w:p>
    <w:p>
      <w:pPr>
        <w:spacing w:after="120" w:line="288"/>
      </w:pPr>
      <w:r>
        <w:t xml:space="preserve">"I understand. When would be a better time? I can call back, or send the link so you can do it when it suits you." Log the outcome RESCHEDULED with the agreed time.</w:t>
      </w:r>
    </w:p>
    <w:p>
      <w:pPr>
        <w:pStyle w:val="Heading2"/>
      </w:pPr>
      <w:r>
        <w:t xml:space="preserve">5.3 Voicemail or no answer</w:t>
      </w:r>
    </w:p>
    <w:p>
      <w:pPr>
        <w:spacing w:after="120" w:line="288"/>
      </w:pPr>
      <w:r>
        <w:t xml:space="preserve">Keep it short: "Good day, this is [name] from the ABF-FST research team at Chinhoyi University of Technology, about a short university study your organisation was selected for. I'll try again, or you can call 0773943709." Log NO_ANSWER.</w:t>
      </w:r>
    </w:p>
    <w:p>
      <w:pPr>
        <w:pStyle w:val="Heading2"/>
      </w:pPr>
      <w:r>
        <w:t xml:space="preserve">5.4 Common questions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200"/>
        <w:gridCol w:w="6212"/>
      </w:tblGrid>
      <w:tr>
        <w:trPr>
          <w:tblHeader/>
        </w:trPr>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They ask</w:t>
            </w:r>
          </w:p>
        </w:tc>
        <w:tc>
          <w:tcPr>
            <w:tcW w:type="dxa" w:w="6212"/>
            <w:shd w:fill="1B3350" w:color="auto" w:val="clear"/>
            <w:tcMar>
              <w:top w:type="dxa" w:w="70"/>
              <w:left w:type="dxa" w:w="110"/>
              <w:bottom w:type="dxa" w:w="70"/>
              <w:right w:type="dxa" w:w="110"/>
            </w:tcMar>
            <w:vAlign w:val="top"/>
          </w:tcPr>
          <w:p>
            <w:pPr>
              <w:spacing w:after="40"/>
            </w:pPr>
            <w:r>
              <w:rPr>
                <w:b/>
                <w:bCs/>
                <w:color w:val="FFFFFF"/>
                <w:sz w:val="19"/>
                <w:szCs w:val="19"/>
              </w:rPr>
              <w:t xml:space="preserve">You say</w:t>
            </w:r>
          </w:p>
        </w:tc>
      </w:tr>
      <w:tr>
        <w:trPr>
          <w:cantSplit/>
        </w:trPr>
        <w:tc>
          <w:tcPr>
            <w:tcW w:type="dxa" w:w="3200"/>
            <w:tcMar>
              <w:top w:type="dxa" w:w="70"/>
              <w:left w:type="dxa" w:w="110"/>
              <w:bottom w:type="dxa" w:w="70"/>
              <w:right w:type="dxa" w:w="110"/>
            </w:tcMar>
            <w:vAlign w:val="top"/>
          </w:tcPr>
          <w:p>
            <w:pPr>
              <w:spacing w:after="40"/>
            </w:pPr>
            <w:r>
              <w:rPr>
                <w:b w:val="false"/>
                <w:bCs w:val="false"/>
                <w:sz w:val="19"/>
                <w:szCs w:val="19"/>
              </w:rPr>
              <w:t xml:space="preserve">"How did you get my number?"</w:t>
            </w:r>
          </w:p>
        </w:tc>
        <w:tc>
          <w:tcPr>
            <w:tcW w:type="dxa" w:w="6212"/>
            <w:tcMar>
              <w:top w:type="dxa" w:w="70"/>
              <w:left w:type="dxa" w:w="110"/>
              <w:bottom w:type="dxa" w:w="70"/>
              <w:right w:type="dxa" w:w="110"/>
            </w:tcMar>
            <w:vAlign w:val="top"/>
          </w:tcPr>
          <w:p>
            <w:pPr>
              <w:spacing w:after="40"/>
            </w:pPr>
            <w:r>
              <w:rPr>
                <w:b w:val="false"/>
                <w:bCs w:val="false"/>
                <w:sz w:val="19"/>
                <w:szCs w:val="19"/>
              </w:rPr>
              <w:t xml:space="preserve">"Your organisation was selected from the study's sampling register of agribusinesses in Zimbabwe." If they want more detail, give them the PI's contact details.</w:t>
            </w:r>
          </w:p>
        </w:tc>
      </w:tr>
      <w:tr>
        <w:trPr>
          <w:cantSplit/>
        </w:trPr>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"How long will it take?"</w:t>
            </w:r>
          </w:p>
        </w:tc>
        <w:tc>
          <w:tcPr>
            <w:tcW w:type="dxa" w:w="6212"/>
            <w:shd w:fill="F8FAFB" w:color="auto" w:val="clear"/>
            <w:tcMar>
              <w:top w:type="dxa" w:w="70"/>
              <w:left w:type="dxa" w:w="110"/>
              <w:bottom w:type="dxa" w:w="70"/>
              <w:right w:type="dxa" w:w="110"/>
            </w:tcMar>
            <w:vAlign w:val="top"/>
          </w:tcPr>
          <w:p>
            <w:pPr>
              <w:spacing w:after="40"/>
            </w:pPr>
            <w:r>
              <w:rPr>
                <w:b w:val="false"/>
                <w:bCs w:val="false"/>
                <w:sz w:val="19"/>
                <w:szCs w:val="19"/>
              </w:rPr>
              <w:t xml:space="preserve">"About 15 to 25 minutes."</w:t>
            </w:r>
          </w:p>
        </w:tc>
      </w:tr>
      <w:tr>
        <w:trPr>
          <w:cantSplit/>
        </w:trPr>
        <w:tc>
          <w:tcPr>
            <w:tcW w:type="dxa" w:w="3200"/>
            <w:tcMar>
              <w:top w:type="dxa" w:w="70"/>
              <w:left w:type="dxa" w:w="110"/>
              <w:bottom w:type="dxa" w:w="70"/>
              <w:right w:type="dxa" w:w="110"/>
            </w:tcMar>
            <w:vAlign w:val="top"/>
          </w:tcPr>
          <w:p>
            <w:pPr>
              <w:spacing w:after="40"/>
            </w:pPr>
            <w:r>
              <w:rPr>
                <w:b w:val="false"/>
                <w:bCs w:val="false"/>
                <w:sz w:val="19"/>
                <w:szCs w:val="19"/>
              </w:rPr>
              <w:t xml:space="preserve">"Is it confidential?"</w:t>
            </w:r>
          </w:p>
        </w:tc>
        <w:tc>
          <w:tcPr>
            <w:tcW w:type="dxa" w:w="6212"/>
            <w:tcMar>
              <w:top w:type="dxa" w:w="70"/>
              <w:left w:type="dxa" w:w="110"/>
              <w:bottom w:type="dxa" w:w="70"/>
              <w:right w:type="dxa" w:w="110"/>
            </w:tcMar>
            <w:vAlign w:val="top"/>
          </w:tcPr>
          <w:p>
            <w:pPr>
              <w:spacing w:after="40"/>
            </w:pPr>
            <w:r>
              <w:rPr>
                <w:b w:val="false"/>
                <w:bCs w:val="false"/>
                <w:sz w:val="19"/>
                <w:szCs w:val="19"/>
              </w:rPr>
              <w:t xml:space="preserve">"Yes. Answers are used only for research and reported only in combined, anonymised form."</w:t>
            </w:r>
          </w:p>
        </w:tc>
      </w:tr>
      <w:tr>
        <w:trPr>
          <w:cantSplit/>
        </w:trPr>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"Will this affect our finance?"</w:t>
            </w:r>
          </w:p>
        </w:tc>
        <w:tc>
          <w:tcPr>
            <w:tcW w:type="dxa" w:w="6212"/>
            <w:shd w:fill="F8FAFB" w:color="auto" w:val="clear"/>
            <w:tcMar>
              <w:top w:type="dxa" w:w="70"/>
              <w:left w:type="dxa" w:w="110"/>
              <w:bottom w:type="dxa" w:w="70"/>
              <w:right w:type="dxa" w:w="110"/>
            </w:tcMar>
            <w:vAlign w:val="top"/>
          </w:tcPr>
          <w:p>
            <w:pPr>
              <w:spacing w:after="40"/>
            </w:pPr>
            <w:r>
              <w:rPr>
                <w:b w:val="false"/>
                <w:bCs w:val="false"/>
                <w:sz w:val="19"/>
                <w:szCs w:val="19"/>
              </w:rPr>
              <w:t xml:space="preserve">"No. The study produces no score, rating or financing decision, and answers are never shared with any lender."</w:t>
            </w:r>
          </w:p>
        </w:tc>
      </w:tr>
      <w:tr>
        <w:trPr>
          <w:cantSplit/>
        </w:trPr>
        <w:tc>
          <w:tcPr>
            <w:tcW w:type="dxa" w:w="3200"/>
            <w:tcMar>
              <w:top w:type="dxa" w:w="70"/>
              <w:left w:type="dxa" w:w="110"/>
              <w:bottom w:type="dxa" w:w="70"/>
              <w:right w:type="dxa" w:w="110"/>
            </w:tcMar>
            <w:vAlign w:val="top"/>
          </w:tcPr>
          <w:p>
            <w:pPr>
              <w:spacing w:after="40"/>
            </w:pPr>
            <w:r>
              <w:rPr>
                <w:b w:val="false"/>
                <w:bCs w:val="false"/>
                <w:sz w:val="19"/>
                <w:szCs w:val="19"/>
              </w:rPr>
              <w:t xml:space="preserve">"What do we get?"</w:t>
            </w:r>
          </w:p>
        </w:tc>
        <w:tc>
          <w:tcPr>
            <w:tcW w:type="dxa" w:w="6212"/>
            <w:tcMar>
              <w:top w:type="dxa" w:w="70"/>
              <w:left w:type="dxa" w:w="110"/>
              <w:bottom w:type="dxa" w:w="70"/>
              <w:right w:type="dxa" w:w="110"/>
            </w:tcMar>
            <w:vAlign w:val="top"/>
          </w:tcPr>
          <w:p>
            <w:pPr>
              <w:spacing w:after="40"/>
            </w:pPr>
            <w:r>
              <w:rPr>
                <w:b w:val="false"/>
                <w:bCs w:val="false"/>
                <w:sz w:val="19"/>
                <w:szCs w:val="19"/>
              </w:rPr>
              <w:t xml:space="preserve">"It's voluntary academic research. Taking part doesn't lead to finance, investment or any commercial benefit; the findings aim to improve how agribusiness financing works in Zimbabwe."</w:t>
            </w:r>
          </w:p>
        </w:tc>
      </w:tr>
      <w:tr>
        <w:trPr>
          <w:cantSplit/>
        </w:trPr>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"Can I stop halfway?"</w:t>
            </w:r>
          </w:p>
        </w:tc>
        <w:tc>
          <w:tcPr>
            <w:tcW w:type="dxa" w:w="6212"/>
            <w:shd w:fill="F8FAFB" w:color="auto" w:val="clear"/>
            <w:tcMar>
              <w:top w:type="dxa" w:w="70"/>
              <w:left w:type="dxa" w:w="110"/>
              <w:bottom w:type="dxa" w:w="70"/>
              <w:right w:type="dxa" w:w="110"/>
            </w:tcMar>
            <w:vAlign w:val="top"/>
          </w:tcPr>
          <w:p>
            <w:pPr>
              <w:spacing w:after="40"/>
            </w:pPr>
            <w:r>
              <w:rPr>
                <w:b w:val="false"/>
                <w:bCs w:val="false"/>
                <w:sz w:val="19"/>
                <w:szCs w:val="19"/>
              </w:rPr>
              <w:t xml:space="preserve">"Yes, at any time."</w:t>
            </w:r>
          </w:p>
        </w:tc>
      </w:tr>
    </w:tbl>
    <w:p>
      <w:pPr>
        <w:spacing w:after="120"/>
      </w:pPr>
    </w:p>
    <w:p>
      <w:pPr>
        <w:pStyle w:val="Heading2"/>
      </w:pPr>
      <w:r>
        <w:t xml:space="preserve">5.5 Refusals and withdrawals</w:t>
      </w:r>
    </w:p>
    <w:p>
      <w:pPr>
        <w:spacing w:after="120" w:line="288"/>
      </w:pPr>
      <w:r>
        <w:t xml:space="preserve">"Thank you for letting me know, and for your time. We won't contact you again about the study." Then log REFUSED with their words and tell the Field Coordinator the same day. Never argue or ask twice.</w:t>
      </w:r>
    </w:p>
    <w:p>
      <w:pPr>
        <w:pStyle w:val="Heading1"/>
        <w:pageBreakBefore/>
      </w:pPr>
      <w:r>
        <w:t xml:space="preserve">6. Role modules</w:t>
      </w:r>
    </w:p>
    <w:p>
      <w:pPr>
        <w:spacing w:after="120" w:line="288"/>
      </w:pPr>
      <w:r>
        <w:t xml:space="preserve">Read the module for your role. The steps are the same as in your Role Guide.</w:t>
      </w:r>
    </w:p>
    <w:p>
      <w:pPr>
        <w:pStyle w:val="Heading2"/>
      </w:pPr>
      <w:r>
        <w:t xml:space="preserve">Module A — Contact RA</w:t>
      </w:r>
    </w:p>
    <w:p>
      <w:pPr>
        <w:spacing w:after="120" w:line="288"/>
      </w:pPr>
      <w:r>
        <w:t xml:space="preserve">Invitations and reminders need a phone or WhatsApp number. Record the eligible person as soon as they are identified.</w:t>
      </w:r>
    </w:p>
    <w:p>
      <w:pPr>
        <w:pStyle w:val="ListParagraph"/>
        <w:numPr>
          <w:ilvl w:val="0"/>
          <w:numId w:val="5"/>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5"/>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Adding a person to a case.</w:t>
      </w:r>
    </w:p>
    <w:p>
      <w:pPr>
        <w:pStyle w:val="ListParagraph"/>
        <w:numPr>
          <w:ilvl w:val="0"/>
          <w:numId w:val="5"/>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5"/>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5"/>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3"/>
      </w:pPr>
      <w:r>
        <w:t xml:space="preserve">Sending an invitation</w:t>
      </w:r>
    </w:p>
    <w:p>
      <w:pPr>
        <w:pStyle w:val="ListParagraph"/>
        <w:numPr>
          <w:ilvl w:val="0"/>
          <w:numId w:val="6"/>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6"/>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Invitations panel before sending, with the history of earlier invitations.</w:t>
      </w:r>
    </w:p>
    <w:p>
      <w:pPr>
        <w:pStyle w:val="ListParagraph"/>
        <w:numPr>
          <w:ilvl w:val="0"/>
          <w:numId w:val="6"/>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The link, manual code and ready-written messages are shown once, with a send button for each channel.</w:t>
      </w:r>
    </w:p>
    <w:p>
      <w:pPr>
        <w:pStyle w:val="ListParagraph"/>
        <w:numPr>
          <w:ilvl w:val="0"/>
          <w:numId w:val="6"/>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6"/>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6"/>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3"/>
      </w:pPr>
      <w:r>
        <w:t xml:space="preserve">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7"/>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7"/>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7"/>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7"/>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7"/>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3"/>
      </w:pPr>
      <w:r>
        <w:t xml:space="preserve">Logging a contact attempt</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8"/>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Contact timeline and the form for logging an attempt.</w:t>
      </w:r>
    </w:p>
    <w:p>
      <w:pPr>
        <w:pStyle w:val="ListParagraph"/>
        <w:numPr>
          <w:ilvl w:val="0"/>
          <w:numId w:val="8"/>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8"/>
        </w:numPr>
        <w:spacing w:after="80" w:line="276"/>
      </w:pPr>
      <w:r>
        <w:t xml:space="preserve">Add a short, factual note (optional), e.g. "PA says MD travelling; call back Thursday". Do not record opinions about the person.</w:t>
      </w:r>
    </w:p>
    <w:p>
      <w:pPr>
        <w:pStyle w:val="ListParagraph"/>
        <w:numPr>
          <w:ilvl w:val="0"/>
          <w:numId w:val="8"/>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3"/>
      </w:pPr>
      <w:r>
        <w:t xml:space="preserve">Sending follow-up reminders</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9"/>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Follow-ups due. Contact RAs see only their own cases.</w:t>
      </w:r>
    </w:p>
    <w:p>
      <w:pPr>
        <w:pStyle w:val="ListParagraph"/>
        <w:numPr>
          <w:ilvl w:val="0"/>
          <w:numId w:val="9"/>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9"/>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and can never become Nonresponse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0"/>
        </w:numPr>
        <w:spacing w:after="80" w:line="276"/>
      </w:pPr>
      <w:r>
        <w:t xml:space="preserve">Select the Sample ID to open the case.</w:t>
      </w:r>
    </w:p>
    <w:p>
      <w:pPr>
        <w:pStyle w:val="ListParagraph"/>
        <w:numPr>
          <w:ilvl w:val="0"/>
          <w:numId w:val="10"/>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3"/>
      </w:pPr>
      <w:r>
        <w:t xml:space="preserve">Managing appointments</w:t>
      </w:r>
    </w:p>
    <w:p>
      <w:pPr>
        <w:pStyle w:val="ListParagraph"/>
        <w:numPr>
          <w:ilvl w:val="0"/>
          <w:numId w:val="11"/>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Appointment Queue.</w:t>
      </w:r>
    </w:p>
    <w:p>
      <w:pPr>
        <w:pStyle w:val="ListParagraph"/>
        <w:numPr>
          <w:ilvl w:val="0"/>
          <w:numId w:val="11"/>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11"/>
        </w:numPr>
        <w:spacing w:after="80" w:line="276"/>
      </w:pPr>
      <w:r>
        <w:t xml:space="preserve">Contact the respondent to confirm, then select </w:t>
      </w:r>
      <w:r>
        <w:rPr>
          <w:b/>
          <w:bCs/>
        </w:rPr>
        <w:t xml:space="preserve">CONFIRMED</w:t>
      </w:r>
      <w:r>
        <w:t xml:space="preserve">.</w:t>
      </w:r>
    </w:p>
    <w:p>
      <w:pPr>
        <w:pStyle w:val="ListParagraph"/>
        <w:numPr>
          <w:ilvl w:val="0"/>
          <w:numId w:val="11"/>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3"/>
      </w:pPr>
      <w:r>
        <w:t xml:space="preserve">Phone, WhatsApp-call or face-to-face administration</w:t>
      </w:r>
    </w:p>
    <w:p>
      <w:pPr>
        <w:spacing w:after="120" w:line="288"/>
      </w:pPr>
      <w:r>
        <w:t xml:space="preserve">When the respondent prefers help, the researcher completes the questionnaire with them. The respondent must still hear the participant information and agree before any question is asked.</w:t>
      </w:r>
    </w:p>
    <w:p>
      <w:pPr>
        <w:pStyle w:val="ListParagraph"/>
        <w:numPr>
          <w:ilvl w:val="0"/>
          <w:numId w:val="12"/>
        </w:numPr>
        <w:spacing w:after="80" w:line="276"/>
      </w:pPr>
      <w:r>
        <w:t xml:space="preserve">Agree a time. If the respondent booked through the portal, it is in </w:t>
      </w:r>
      <w:r>
        <w:rPr>
          <w:b/>
          <w:bCs/>
        </w:rPr>
        <w:t xml:space="preserve">Appointments</w:t>
      </w:r>
      <w:r>
        <w:t xml:space="preserve">.</w:t>
      </w:r>
    </w:p>
    <w:p>
      <w:pPr>
        <w:pStyle w:val="ListParagraph"/>
        <w:numPr>
          <w:ilvl w:val="0"/>
          <w:numId w:val="12"/>
        </w:numPr>
        <w:spacing w:after="80" w:line="276"/>
      </w:pPr>
      <w:r>
        <w:t xml:space="preserve">At the start of the call, confirm the organisation and the person's role, read or summarise the Participant Information Sheet (v1.5) and ask for consent. Stop if they decline.</w:t>
      </w:r>
    </w:p>
    <w:p>
      <w:pPr>
        <w:pStyle w:val="ListParagraph"/>
        <w:numPr>
          <w:ilvl w:val="0"/>
          <w:numId w:val="12"/>
        </w:numPr>
        <w:spacing w:after="80" w:line="276"/>
      </w:pPr>
      <w:r>
        <w:t xml:space="preserve">Open the respondent's personal invitation link on your device and go through the portal screens with them (organisation, role, information, consent), choosing the answers they give you.</w:t>
      </w:r>
    </w:p>
    <w:p>
      <w:pPr>
        <w:pStyle w:val="ListParagraph"/>
        <w:numPr>
          <w:ilvl w:val="0"/>
          <w:numId w:val="12"/>
        </w:numPr>
        <w:spacing w:after="80" w:line="276"/>
      </w:pPr>
      <w:r>
        <w:t xml:space="preserve">Open the questionnaire from the portal so the case identifiers travel with the form, and complete it with the respondent. Never start the KoboToolbox form from a bookmark: a submission without the portal's link is set aside and not matched.</w:t>
      </w:r>
    </w:p>
    <w:p>
      <w:pPr>
        <w:pStyle w:val="ListParagraph"/>
        <w:numPr>
          <w:ilvl w:val="0"/>
          <w:numId w:val="12"/>
        </w:numPr>
        <w:spacing w:after="80" w:line="276"/>
      </w:pPr>
      <w:r>
        <w:t xml:space="preserve">After submitting, log the contact attempt with outcome </w:t>
      </w:r>
      <w:r>
        <w:rPr>
          <w:b/>
          <w:bCs/>
        </w:rPr>
        <w:t xml:space="preserve">COMPLETED</w:t>
      </w:r>
      <w:r>
        <w:t xml:space="preserve">, and mark the appointment </w:t>
      </w:r>
      <w:r>
        <w:rPr>
          <w:b/>
          <w:bCs/>
        </w:rPr>
        <w:t xml:space="preserve">COMPLETED</w:t>
      </w:r>
      <w:r>
        <w:t xml:space="preserv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p>
      <w:pPr>
        <w:pStyle w:val="Heading2"/>
      </w:pPr>
      <w:r>
        <w:t xml:space="preserve">Module B — QUAN/Kobo QA RA</w:t>
      </w:r>
    </w:p>
    <w:p>
      <w:pPr>
        <w:pStyle w:val="Heading3"/>
      </w:pPr>
      <w:r>
        <w:t xml:space="preserve">Reviewing questionnaires in the QA Queue</w:t>
      </w:r>
    </w:p>
    <w:p>
      <w:pPr>
        <w:pStyle w:val="ListParagraph"/>
        <w:numPr>
          <w:ilvl w:val="0"/>
          <w:numId w:val="13"/>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QUAN QA Queue with the KoboToolbox sync panel.</w:t>
      </w:r>
    </w:p>
    <w:p>
      <w:pPr>
        <w:pStyle w:val="ListParagraph"/>
        <w:numPr>
          <w:ilvl w:val="0"/>
          <w:numId w:val="13"/>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13"/>
        </w:numPr>
        <w:spacing w:after="80" w:line="276"/>
      </w:pPr>
      <w:r>
        <w:t xml:space="preserve">Check it against the QA rules (table below) and any open QA exception for that case.</w:t>
      </w:r>
    </w:p>
    <w:p>
      <w:pPr>
        <w:pStyle w:val="ListParagraph"/>
        <w:numPr>
          <w:ilvl w:val="0"/>
          <w:numId w:val="13"/>
        </w:numPr>
        <w:spacing w:after="80" w:line="276"/>
      </w:pPr>
      <w:r>
        <w:t xml:space="preserve">Write a </w:t>
      </w:r>
      <w:r>
        <w:rPr>
          <w:b/>
          <w:bCs/>
        </w:rPr>
        <w:t xml:space="preserve">Note (required)</w:t>
      </w:r>
      <w:r>
        <w:t xml:space="preserve"> explaining your decision.</w:t>
      </w:r>
    </w:p>
    <w:p>
      <w:pPr>
        <w:pStyle w:val="ListParagraph"/>
        <w:numPr>
          <w:ilvl w:val="0"/>
          <w:numId w:val="13"/>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3"/>
      </w:pPr>
      <w:r>
        <w:t xml:space="preserve">Working QA exceptions</w:t>
      </w:r>
    </w:p>
    <w:p>
      <w:pPr>
        <w:pStyle w:val="ListParagraph"/>
        <w:numPr>
          <w:ilvl w:val="0"/>
          <w:numId w:val="14"/>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QA Exception Queue.</w:t>
      </w:r>
    </w:p>
    <w:p>
      <w:pPr>
        <w:pStyle w:val="ListParagraph"/>
        <w:numPr>
          <w:ilvl w:val="0"/>
          <w:numId w:val="14"/>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14"/>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14"/>
        </w:numPr>
        <w:spacing w:after="80" w:line="276"/>
      </w:pPr>
      <w:r>
        <w:t xml:space="preserve">Investigate: open the form PDF, check the case timeline, contact the respondent if needed.</w:t>
      </w:r>
    </w:p>
    <w:p>
      <w:pPr>
        <w:pStyle w:val="ListParagraph"/>
        <w:numPr>
          <w:ilvl w:val="0"/>
          <w:numId w:val="14"/>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3"/>
      </w:pPr>
      <w:r>
        <w:t xml:space="preserve">Writing good QA notes</w:t>
      </w:r>
    </w:p>
    <w:p>
      <w:pPr>
        <w:pStyle w:val="ListParagraph"/>
        <w:numPr>
          <w:ilvl w:val="0"/>
          <w:numId w:val="2"/>
        </w:numPr>
        <w:spacing w:after="60" w:line="276"/>
      </w:pPr>
      <w:r>
        <w:t xml:space="preserve">Say what you checked and what you found: "Duration 3 min; Sections 4–6 all answered 3; re-queried with the RA."</w:t>
      </w:r>
    </w:p>
    <w:p>
      <w:pPr>
        <w:pStyle w:val="ListParagraph"/>
        <w:numPr>
          <w:ilvl w:val="0"/>
          <w:numId w:val="2"/>
        </w:numPr>
        <w:spacing w:after="60" w:line="276"/>
      </w:pPr>
      <w:r>
        <w:t xml:space="preserve">For Accept: "All required answers present; 28 min plausible; no duplicate."</w:t>
      </w:r>
    </w:p>
    <w:p>
      <w:pPr>
        <w:pStyle w:val="ListParagraph"/>
        <w:numPr>
          <w:ilvl w:val="0"/>
          <w:numId w:val="2"/>
        </w:numPr>
        <w:spacing w:after="60" w:line="276"/>
      </w:pPr>
      <w:r>
        <w:t xml:space="preserve">For Re-query: say exactly what must be confirmed or completed.</w:t>
      </w:r>
    </w:p>
    <w:p>
      <w:pPr>
        <w:pStyle w:val="ListParagraph"/>
        <w:numPr>
          <w:ilvl w:val="0"/>
          <w:numId w:val="2"/>
        </w:numPr>
        <w:spacing w:after="60" w:line="276"/>
      </w:pPr>
      <w:r>
        <w:t xml:space="preserve">Never comment on the person, only on the data.</w:t>
      </w:r>
    </w:p>
    <w:p>
      <w:pPr>
        <w:spacing w:after="60"/>
      </w:pPr>
    </w:p>
    <w:p>
      <w:pPr>
        <w:pStyle w:val="Heading2"/>
      </w:pPr>
      <w:r>
        <w:t xml:space="preserve">Module C — KII RA</w:t>
      </w:r>
    </w:p>
    <w:p>
      <w:pPr>
        <w:pStyle w:val="Heading3"/>
      </w:pPr>
      <w:r>
        <w:t xml:space="preserve">Creating a KII record</w:t>
      </w:r>
    </w:p>
    <w:p>
      <w:pPr>
        <w:pStyle w:val="ListParagraph"/>
        <w:numPr>
          <w:ilvl w:val="0"/>
          <w:numId w:val="15"/>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New KII Record.</w:t>
      </w:r>
    </w:p>
    <w:p>
      <w:pPr>
        <w:pStyle w:val="ListParagraph"/>
        <w:numPr>
          <w:ilvl w:val="0"/>
          <w:numId w:val="15"/>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3"/>
      </w:pPr>
      <w:r>
        <w:t xml:space="preserve">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16"/>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Record details: everything except status, transcript and coding progress.</w:t>
      </w:r>
    </w:p>
    <w:p>
      <w:pPr>
        <w:pStyle w:val="ListParagraph"/>
        <w:numPr>
          <w:ilvl w:val="0"/>
          <w:numId w:val="16"/>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3"/>
      </w:pPr>
      <w:r>
        <w:t xml:space="preserve">Taking a KII from invitation to coded transcript</w:t>
      </w:r>
    </w:p>
    <w:p>
      <w:pPr>
        <w:pStyle w:val="ListParagraph"/>
        <w:numPr>
          <w:ilvl w:val="0"/>
          <w:numId w:val="17"/>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KII Register.</w:t>
      </w:r>
    </w:p>
    <w:p>
      <w:pPr>
        <w:pStyle w:val="ListParagraph"/>
        <w:numPr>
          <w:ilvl w:val="0"/>
          <w:numId w:val="17"/>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KII record: status, consent, transcript and coding.</w:t>
      </w:r>
    </w:p>
    <w:p>
      <w:pPr>
        <w:pStyle w:val="ListParagraph"/>
        <w:numPr>
          <w:ilvl w:val="0"/>
          <w:numId w:val="17"/>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17"/>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17"/>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17"/>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3"/>
      </w:pPr>
      <w:r>
        <w:t xml:space="preserve">Opening the KII Guide with the KII ID filled in</w:t>
      </w:r>
    </w:p>
    <w:p>
      <w:pPr>
        <w:pStyle w:val="ListParagraph"/>
        <w:numPr>
          <w:ilvl w:val="0"/>
          <w:numId w:val="18"/>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Before consent: no interview link.</w:t>
      </w:r>
    </w:p>
    <w:p>
      <w:pPr>
        <w:pStyle w:val="ListParagraph"/>
        <w:numPr>
          <w:ilvl w:val="0"/>
          <w:numId w:val="18"/>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After consent: Continue this interview.</w:t>
      </w:r>
    </w:p>
    <w:p>
      <w:pPr>
        <w:pStyle w:val="ListParagraph"/>
        <w:numPr>
          <w:ilvl w:val="0"/>
          <w:numId w:val="18"/>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3"/>
      </w:pPr>
      <w:r>
        <w:t xml:space="preserve">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19"/>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1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19"/>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19"/>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19"/>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20"/>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20"/>
        </w:numPr>
        <w:spacing w:after="80" w:line="276"/>
      </w:pPr>
      <w:r>
        <w:t xml:space="preserve">Select </w:t>
      </w:r>
      <w:r>
        <w:rPr>
          <w:b/>
          <w:bCs/>
        </w:rPr>
        <w:t xml:space="preserve">Import N records</w:t>
      </w:r>
      <w:r>
        <w:t xml:space="preserve">.</w:t>
      </w:r>
    </w:p>
    <w:p>
      <w:pPr>
        <w:pStyle w:val="ListParagraph"/>
        <w:numPr>
          <w:ilvl w:val="0"/>
          <w:numId w:val="20"/>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20"/>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3"/>
      </w:pPr>
      <w:r>
        <w:t xml:space="preserve">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21"/>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Record details: phone, WhatsApp number and email.</w:t>
      </w:r>
    </w:p>
    <w:p>
      <w:pPr>
        <w:pStyle w:val="ListParagraph"/>
        <w:numPr>
          <w:ilvl w:val="0"/>
          <w:numId w:val="21"/>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21"/>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22"/>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22"/>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22"/>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22"/>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22"/>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3"/>
      </w:pPr>
      <w:r>
        <w:t xml:space="preserve">Running the interview</w:t>
      </w:r>
    </w:p>
    <w:p>
      <w:pPr>
        <w:pStyle w:val="ListParagraph"/>
        <w:numPr>
          <w:ilvl w:val="0"/>
          <w:numId w:val="2"/>
        </w:numPr>
        <w:spacing w:after="60" w:line="276"/>
      </w:pPr>
      <w:r>
        <w:t xml:space="preserve">Standard KII: mandatory core (Part B), one or two role-triggered modules (Part C), then closing (Part E). 30–45 minutes.</w:t>
      </w:r>
    </w:p>
    <w:p>
      <w:pPr>
        <w:pStyle w:val="ListParagraph"/>
        <w:numPr>
          <w:ilvl w:val="0"/>
          <w:numId w:val="2"/>
        </w:numPr>
        <w:spacing w:after="60" w:line="276"/>
      </w:pPr>
      <w:r>
        <w:t xml:space="preserve">Executive Short Form: only for genuinely time-constrained senior people. Ask K1, K2, K3, K7 and K9, one short probe each, 12–15 minutes, and record that the short form was used.</w:t>
      </w:r>
    </w:p>
    <w:p>
      <w:pPr>
        <w:pStyle w:val="ListParagraph"/>
        <w:numPr>
          <w:ilvl w:val="0"/>
          <w:numId w:val="2"/>
        </w:numPr>
        <w:spacing w:after="60" w:line="276"/>
      </w:pPr>
      <w:r>
        <w:t xml:space="preserve">Don't ask every specialist module, and never disguise a long interview as an executive one.</w:t>
      </w:r>
    </w:p>
    <w:p>
      <w:pPr>
        <w:pStyle w:val="ListParagraph"/>
        <w:numPr>
          <w:ilvl w:val="0"/>
          <w:numId w:val="2"/>
        </w:numPr>
        <w:spacing w:after="60" w:line="276"/>
      </w:pPr>
      <w:r>
        <w:t xml:space="preserve">If recording is declined, take contemporaneous notes only with permission and record that no audio exists.</w:t>
      </w:r>
    </w:p>
    <w:p>
      <w:pPr>
        <w:pStyle w:val="ListParagraph"/>
        <w:numPr>
          <w:ilvl w:val="0"/>
          <w:numId w:val="2"/>
        </w:numPr>
        <w:spacing w:after="60" w:line="276"/>
      </w:pPr>
      <w:r>
        <w:t xml:space="preserve">A person who declines consent is recorded in the portal's KII register (the KoboToolbox form can't record a decline).</w:t>
      </w:r>
    </w:p>
    <w:p>
      <w:pPr>
        <w:spacing w:after="60"/>
      </w:pPr>
    </w:p>
    <w:p>
      <w:pPr>
        <w:pStyle w:val="Heading2"/>
      </w:pPr>
      <w:r>
        <w:t xml:space="preserve">Module D — Documentary RA</w:t>
      </w:r>
    </w:p>
    <w:p>
      <w:pPr>
        <w:pStyle w:val="Heading3"/>
      </w:pPr>
      <w:r>
        <w:t xml:space="preserve">The fastest way: upload the document (Quick add)</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23"/>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New document: upload the file and let the AI do the rest.</w:t>
      </w:r>
    </w:p>
    <w:p>
      <w:pPr>
        <w:pStyle w:val="ListParagraph"/>
        <w:numPr>
          <w:ilvl w:val="0"/>
          <w:numId w:val="23"/>
        </w:numPr>
        <w:spacing w:after="80" w:line="276"/>
      </w:pPr>
      <w:r>
        <w:t xml:space="preserve">Choose the file: a PDF, a Word (.docx) or Excel (.xlsx) file, a text or CSV file, or a JPG or PNG scan or photo (up to 20 MB). Nothing else is required.</w:t>
      </w:r>
    </w:p>
    <w:p>
      <w:pPr>
        <w:pStyle w:val="ListParagraph"/>
        <w:numPr>
          <w:ilvl w:val="0"/>
          <w:numId w:val="23"/>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23"/>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23"/>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23"/>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23"/>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3"/>
      </w:pPr>
      <w:r>
        <w:t xml:space="preserve">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24"/>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Copy for another chapter: pages, and an optional title.</w:t>
      </w:r>
    </w:p>
    <w:p>
      <w:pPr>
        <w:pStyle w:val="ListParagraph"/>
        <w:numPr>
          <w:ilvl w:val="0"/>
          <w:numId w:val="24"/>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24"/>
        </w:numPr>
        <w:spacing w:after="80" w:line="276"/>
      </w:pPr>
      <w:r>
        <w:t xml:space="preserve">With AI drafting on, the new record's review screen opens and the AI starts drafting that chapter. Review, save and submit it as usual.</w:t>
      </w:r>
    </w:p>
    <w:p>
      <w:pPr>
        <w:pStyle w:val="ListParagraph"/>
        <w:numPr>
          <w:ilvl w:val="0"/>
          <w:numId w:val="24"/>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3"/>
      </w:pPr>
      <w:r>
        <w:t xml:space="preserve">Adding a document by hand</w:t>
      </w:r>
    </w:p>
    <w:p>
      <w:pPr>
        <w:pStyle w:val="ListParagraph"/>
        <w:numPr>
          <w:ilvl w:val="0"/>
          <w:numId w:val="25"/>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25"/>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3"/>
      </w:pPr>
      <w:r>
        <w:t xml:space="preserve">Correcting a record's details</w:t>
      </w:r>
    </w:p>
    <w:p>
      <w:pPr>
        <w:pStyle w:val="ListParagraph"/>
        <w:numPr>
          <w:ilvl w:val="0"/>
          <w:numId w:val="26"/>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Record details: the details the AI filled in, ready to check.</w:t>
      </w:r>
    </w:p>
    <w:p>
      <w:pPr>
        <w:pStyle w:val="ListParagraph"/>
        <w:numPr>
          <w:ilvl w:val="0"/>
          <w:numId w:val="26"/>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3"/>
      </w:pPr>
      <w:r>
        <w:t xml:space="preserve">Attaching the source file, and removing a wrong one</w:t>
      </w:r>
    </w:p>
    <w:p>
      <w:pPr>
        <w:pStyle w:val="ListParagraph"/>
        <w:numPr>
          <w:ilvl w:val="0"/>
          <w:numId w:val="27"/>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20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Source file: the file name, size and date, with Remove file beside it.</w:t>
      </w:r>
    </w:p>
    <w:p>
      <w:pPr>
        <w:pStyle w:val="ListParagraph"/>
        <w:numPr>
          <w:ilvl w:val="0"/>
          <w:numId w:val="27"/>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27"/>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27"/>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3"/>
      </w:pPr>
      <w:r>
        <w:t xml:space="preserve">Assessing and including a document</w:t>
      </w:r>
    </w:p>
    <w:p>
      <w:pPr>
        <w:pStyle w:val="ListParagraph"/>
        <w:numPr>
          <w:ilvl w:val="0"/>
          <w:numId w:val="28"/>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Documentary Evidence Corpus.</w:t>
      </w:r>
    </w:p>
    <w:p>
      <w:pPr>
        <w:pStyle w:val="ListParagraph"/>
        <w:numPr>
          <w:ilvl w:val="0"/>
          <w:numId w:val="28"/>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Document record: authenticity, QA status, memo and coding form.</w:t>
      </w:r>
    </w:p>
    <w:p>
      <w:pPr>
        <w:pStyle w:val="ListParagraph"/>
        <w:numPr>
          <w:ilvl w:val="0"/>
          <w:numId w:val="28"/>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28"/>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28"/>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3"/>
      </w:pPr>
      <w:r>
        <w:t xml:space="preserve">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The Coding panel: Code this document, and Auto-fill.</w:t>
      </w:r>
    </w:p>
    <w:p>
      <w:pPr>
        <w:pStyle w:val="Heading3"/>
      </w:pPr>
      <w:r>
        <w:t xml:space="preserve">Auto-fill: the AI drafts, you review</w:t>
      </w:r>
    </w:p>
    <w:p>
      <w:pPr>
        <w:pStyle w:val="ListParagraph"/>
        <w:numPr>
          <w:ilvl w:val="0"/>
          <w:numId w:val="29"/>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29"/>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A 240-page PDF: enter a page range, or read the whole document in parts.</w:t>
      </w:r>
    </w:p>
    <w:p>
      <w:pPr>
        <w:pStyle w:val="ListParagraph"/>
        <w:numPr>
          <w:ilvl w:val="0"/>
          <w:numId w:val="29"/>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The AI is reading the document.</w:t>
      </w:r>
    </w:p>
    <w:p>
      <w:pPr>
        <w:pStyle w:val="ListParagraph"/>
        <w:numPr>
          <w:ilvl w:val="0"/>
          <w:numId w:val="29"/>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The review screen: the draft, ready to check and edit.</w:t>
      </w:r>
    </w:p>
    <w:p>
      <w:pPr>
        <w:pStyle w:val="ListParagraph"/>
        <w:numPr>
          <w:ilvl w:val="0"/>
          <w:numId w:val="29"/>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Section D: ratings and locators, all editable.</w:t>
      </w:r>
    </w:p>
    <w:p>
      <w:pPr>
        <w:pStyle w:val="ListParagraph"/>
        <w:numPr>
          <w:ilvl w:val="0"/>
          <w:numId w:val="29"/>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Section J: quantitative metrics.</w:t>
      </w:r>
    </w:p>
    <w:p>
      <w:pPr>
        <w:pStyle w:val="ListParagraph"/>
        <w:numPr>
          <w:ilvl w:val="0"/>
          <w:numId w:val="29"/>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29"/>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3"/>
      </w:pPr>
      <w:r>
        <w:t xml:space="preserve">Evidence standards</w:t>
      </w:r>
    </w:p>
    <w:p>
      <w:pPr>
        <w:pStyle w:val="ListParagraph"/>
        <w:numPr>
          <w:ilvl w:val="0"/>
          <w:numId w:val="2"/>
        </w:numPr>
        <w:spacing w:after="60" w:line="276"/>
      </w:pPr>
      <w:r>
        <w:t xml:space="preserve">Golden rule: never code an opinion from memory. Every claim needs a source, a date or year, the evidence and a locator someone else can follow.</w:t>
      </w:r>
    </w:p>
    <w:p>
      <w:pPr>
        <w:pStyle w:val="ListParagraph"/>
        <w:numPr>
          <w:ilvl w:val="0"/>
          <w:numId w:val="2"/>
        </w:numPr>
        <w:spacing w:after="60" w:line="276"/>
      </w:pPr>
      <w:r>
        <w:t xml:space="preserve">Official sources: check them on the issuer's own site or registry.</w:t>
      </w:r>
    </w:p>
    <w:p>
      <w:pPr>
        <w:pStyle w:val="ListParagraph"/>
        <w:numPr>
          <w:ilvl w:val="0"/>
          <w:numId w:val="2"/>
        </w:numPr>
        <w:spacing w:after="60" w:line="276"/>
      </w:pPr>
      <w:r>
        <w:t xml:space="preserve">Platform and media sources: record the URL, the visible date and the date you accessed it; corroborate elsewhere.</w:t>
      </w:r>
    </w:p>
    <w:p>
      <w:pPr>
        <w:pStyle w:val="ListParagraph"/>
        <w:numPr>
          <w:ilvl w:val="0"/>
          <w:numId w:val="2"/>
        </w:numPr>
        <w:spacing w:after="60" w:line="276"/>
      </w:pPr>
      <w:r>
        <w:t xml:space="preserve">Rated Exclude in Section B: Sections C–L are skipped; the provenance and screening you recorded are kept for the audit trail.</w:t>
      </w:r>
    </w:p>
    <w:p>
      <w:pPr>
        <w:pStyle w:val="ListParagraph"/>
        <w:numPr>
          <w:ilvl w:val="0"/>
          <w:numId w:val="2"/>
        </w:numPr>
        <w:spacing w:after="60" w:line="276"/>
      </w:pPr>
      <w:r>
        <w:t xml:space="preserve">Mark Disputed when authorship, date or content can't be confirmed, and explain why in the memo.</w:t>
      </w:r>
    </w:p>
    <w:p>
      <w:pPr>
        <w:spacing w:after="60"/>
      </w:pPr>
    </w:p>
    <w:p>
      <w:pPr>
        <w:pStyle w:val="Heading1"/>
        <w:pageBreakBefore/>
      </w:pPr>
      <w:r>
        <w:t xml:space="preserve">7. Scenarios</w:t>
      </w:r>
    </w:p>
    <w:p>
      <w:pPr>
        <w:spacing w:after="120" w:line="288"/>
      </w:pPr>
      <w:r>
        <w:t xml:space="preserve">Think about each before Day 3. The suggested answer is what good practice looks like.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294"/>
        <w:gridCol w:w="4236"/>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Scenario</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4236"/>
            <w:shd w:fill="1B3350" w:color="auto" w:val="clear"/>
            <w:tcMar>
              <w:top w:type="dxa" w:w="70"/>
              <w:left w:type="dxa" w:w="110"/>
              <w:bottom w:type="dxa" w:w="70"/>
              <w:right w:type="dxa" w:w="110"/>
            </w:tcMar>
            <w:vAlign w:val="top"/>
          </w:tcPr>
          <w:p>
            <w:pPr>
              <w:spacing w:after="40"/>
            </w:pPr>
            <w:r>
              <w:rPr>
                <w:b/>
                <w:bCs/>
                <w:color w:val="FFFFFF"/>
                <w:sz w:val="19"/>
                <w:szCs w:val="19"/>
              </w:rPr>
              <w:t xml:space="preserve">Good practice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1. The gatekeeper</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receptionist says the MD is busy and asks what this is about.</w:t>
            </w:r>
          </w:p>
        </w:tc>
        <w:tc>
          <w:tcPr>
            <w:tcW w:type="dxa" w:w="4236"/>
            <w:tcMar>
              <w:top w:type="dxa" w:w="70"/>
              <w:left w:type="dxa" w:w="110"/>
              <w:bottom w:type="dxa" w:w="70"/>
              <w:right w:type="dxa" w:w="110"/>
            </w:tcMar>
            <w:vAlign w:val="top"/>
          </w:tcPr>
          <w:p>
            <w:pPr>
              <w:spacing w:after="40"/>
            </w:pPr>
            <w:r>
              <w:rPr>
                <w:b w:val="false"/>
                <w:bCs w:val="false"/>
                <w:sz w:val="19"/>
                <w:szCs w:val="19"/>
              </w:rPr>
              <w:t xml:space="preserve">Explain briefly (university study, voluntary, 15–25 minutes); ask for the best person and a good time; record them as gatekeeper; log RESCHEDULED.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2. "Will this affect our loan?"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finance manager worries answers reach the bank.</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No score, rating or financing decision; answers never shared with any lender; results only reported combined and anonymised.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3. Wrong person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junior officer received the link and wants to fill it in.</w:t>
            </w:r>
          </w:p>
        </w:tc>
        <w:tc>
          <w:tcPr>
            <w:tcW w:type="dxa" w:w="4236"/>
            <w:tcMar>
              <w:top w:type="dxa" w:w="70"/>
              <w:left w:type="dxa" w:w="110"/>
              <w:bottom w:type="dxa" w:w="70"/>
              <w:right w:type="dxa" w:w="110"/>
            </w:tcMar>
            <w:vAlign w:val="top"/>
          </w:tcPr>
          <w:p>
            <w:pPr>
              <w:spacing w:after="40"/>
            </w:pPr>
            <w:r>
              <w:rPr>
                <w:b w:val="false"/>
                <w:bCs w:val="false"/>
                <w:sz w:val="19"/>
                <w:szCs w:val="19"/>
              </w:rPr>
              <w:t xml:space="preserve">Thank them; only senior, knowledgeable roles take part; ask who that is; record and invite that person instead.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4. Refusal</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owner says they are not interested.</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Thank them, don't persuade; log REFUSED with their words; tell the Field Coordinator the same day.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5. Withdrawal after submitting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who completed the questionnaire asks for their answers not to be used.</w:t>
            </w:r>
          </w:p>
        </w:tc>
        <w:tc>
          <w:tcPr>
            <w:tcW w:type="dxa" w:w="4236"/>
            <w:tcMar>
              <w:top w:type="dxa" w:w="70"/>
              <w:left w:type="dxa" w:w="110"/>
              <w:bottom w:type="dxa" w:w="70"/>
              <w:right w:type="dxa" w:w="110"/>
            </w:tcMar>
            <w:vAlign w:val="top"/>
          </w:tcPr>
          <w:p>
            <w:pPr>
              <w:spacing w:after="40"/>
            </w:pPr>
            <w:r>
              <w:rPr>
                <w:b w:val="false"/>
                <w:bCs w:val="false"/>
                <w:sz w:val="19"/>
                <w:szCs w:val="19"/>
              </w:rPr>
              <w:t xml:space="preserve">Stop contact; tell the Field Coordinator, who records the withdrawal; their answers are kept for the audit trail but never analysed.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6. Expired link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tries a link from three weeks ago.</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Links last 14 days. Check the invitation history and send a new invitation (it replaces the old 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7. Phone interview</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prefers to answer by phone now.</w:t>
            </w:r>
          </w:p>
        </w:tc>
        <w:tc>
          <w:tcPr>
            <w:tcW w:type="dxa" w:w="4236"/>
            <w:tcMar>
              <w:top w:type="dxa" w:w="70"/>
              <w:left w:type="dxa" w:w="110"/>
              <w:bottom w:type="dxa" w:w="70"/>
              <w:right w:type="dxa" w:w="110"/>
            </w:tcMar>
            <w:vAlign w:val="top"/>
          </w:tcPr>
          <w:p>
            <w:pPr>
              <w:spacing w:after="40"/>
            </w:pPr>
            <w:r>
              <w:rPr>
                <w:b w:val="false"/>
                <w:bCs w:val="false"/>
                <w:sz w:val="19"/>
                <w:szCs w:val="19"/>
              </w:rPr>
              <w:t xml:space="preserve">Confirm organisation and role, read the information, get consent, then open their link and complete it with them (mode 03). Log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8. KII recording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An informant agrees to the interview but not to recording.</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 only; take notes; do not tick Recording made; the portal refuses a recorded completion without recording consent.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9. QA: 3-minute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submission is flagged as too quick.</w:t>
            </w:r>
          </w:p>
        </w:tc>
        <w:tc>
          <w:tcPr>
            <w:tcW w:type="dxa" w:w="4236"/>
            <w:tcMar>
              <w:top w:type="dxa" w:w="70"/>
              <w:left w:type="dxa" w:w="110"/>
              <w:bottom w:type="dxa" w:w="70"/>
              <w:right w:type="dxa" w:w="110"/>
            </w:tcMar>
            <w:vAlign w:val="top"/>
          </w:tcPr>
          <w:p>
            <w:pPr>
              <w:spacing w:after="40"/>
            </w:pPr>
            <w:r>
              <w:rPr>
                <w:b w:val="false"/>
                <w:bCs w:val="false"/>
                <w:sz w:val="19"/>
                <w:szCs w:val="19"/>
              </w:rPr>
              <w:t xml:space="preserve">Open the PDF; look for straight-lining and blanks; Re-query with a specific note, or Accept only if the answers are credible — and say why.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10. Undated web source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useful platform page has no visible date.</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URL and the date accessed; look for corroboration; mark Disputed if authorship or date can't be confirmed, with reasons in the memo.</w:t>
            </w:r>
          </w:p>
        </w:tc>
      </w:tr>
    </w:tbl>
    <w:p>
      <w:pPr>
        <w:spacing w:after="120"/>
      </w:pPr>
    </w:p>
    <w:p>
      <w:pPr>
        <w:pStyle w:val="Heading1"/>
        <w:pageBreakBefore/>
      </w:pPr>
      <w:r>
        <w:t xml:space="preserve">8. Practice exercises</w:t>
      </w:r>
    </w:p>
    <w:p>
      <w:pPr>
        <w:spacing w:after="120" w:line="288"/>
      </w:pPr>
      <w:r>
        <w:t xml:space="preserve">Complete these on the practice site during training. Never on the live portal.</w:t>
      </w:r>
    </w:p>
    <w:p>
      <w:pPr>
        <w:pStyle w:val="Heading2"/>
      </w:pPr>
      <w:r>
        <w:t xml:space="preserve">Exercise 1 — Getting around (all RAs)</w:t>
      </w:r>
    </w:p>
    <w:p>
      <w:pPr>
        <w:pStyle w:val="ListParagraph"/>
        <w:numPr>
          <w:ilvl w:val="0"/>
          <w:numId w:val="30"/>
        </w:numPr>
        <w:spacing w:after="80" w:line="276"/>
      </w:pPr>
      <w:r>
        <w:t xml:space="preserve">Sign in with your practice account and change your password.</w:t>
      </w:r>
    </w:p>
    <w:p>
      <w:pPr>
        <w:pStyle w:val="ListParagraph"/>
        <w:numPr>
          <w:ilvl w:val="0"/>
          <w:numId w:val="30"/>
        </w:numPr>
        <w:spacing w:after="80" w:line="276"/>
      </w:pPr>
      <w:r>
        <w:t xml:space="preserve">List the screens in your top bar and write one sentence on what each is for.</w:t>
      </w:r>
    </w:p>
    <w:p>
      <w:pPr>
        <w:pStyle w:val="ListParagraph"/>
        <w:numPr>
          <w:ilvl w:val="0"/>
          <w:numId w:val="30"/>
        </w:numPr>
        <w:spacing w:after="80" w:line="276"/>
      </w:pPr>
      <w:r>
        <w:t xml:space="preserve">Open a screen that isn't yours from a link your facilitator gives you. What do you see?</w:t>
      </w:r>
    </w:p>
    <w:p>
      <w:pPr>
        <w:pStyle w:val="ListParagraph"/>
        <w:numPr>
          <w:ilvl w:val="0"/>
          <w:numId w:val="30"/>
        </w:numPr>
        <w:spacing w:after="80" w:line="276"/>
      </w:pPr>
      <w:r>
        <w:t xml:space="preserve">Sign out.</w:t>
      </w:r>
    </w:p>
    <w:p>
      <w:pPr>
        <w:spacing w:after="80"/>
      </w:pPr>
    </w:p>
    <w:p>
      <w:pPr>
        <w:pStyle w:val="Heading2"/>
      </w:pPr>
      <w:r>
        <w:t xml:space="preserve">Exercise 2 — A complete contact (Contact RAs)</w:t>
      </w:r>
    </w:p>
    <w:p>
      <w:pPr>
        <w:pStyle w:val="ListParagraph"/>
        <w:numPr>
          <w:ilvl w:val="0"/>
          <w:numId w:val="31"/>
        </w:numPr>
        <w:spacing w:after="80" w:line="276"/>
      </w:pPr>
      <w:r>
        <w:t xml:space="preserve">Open the practice case your facilitator assigns you.</w:t>
      </w:r>
    </w:p>
    <w:p>
      <w:pPr>
        <w:pStyle w:val="ListParagraph"/>
        <w:numPr>
          <w:ilvl w:val="0"/>
          <w:numId w:val="31"/>
        </w:numPr>
        <w:spacing w:after="80" w:line="276"/>
      </w:pPr>
      <w:r>
        <w:t xml:space="preserve">Add the respondent your facilitator describes, with a correctly formatted WhatsApp number (your own phone).</w:t>
      </w:r>
    </w:p>
    <w:p>
      <w:pPr>
        <w:pStyle w:val="ListParagraph"/>
        <w:numPr>
          <w:ilvl w:val="0"/>
          <w:numId w:val="31"/>
        </w:numPr>
        <w:spacing w:after="80" w:line="276"/>
      </w:pPr>
      <w:r>
        <w:t xml:space="preserve">Send the invitation by WhatsApp from the demo study number and log the attempt.</w:t>
      </w:r>
    </w:p>
    <w:p>
      <w:pPr>
        <w:pStyle w:val="ListParagraph"/>
        <w:numPr>
          <w:ilvl w:val="0"/>
          <w:numId w:val="31"/>
        </w:numPr>
        <w:spacing w:after="80" w:line="276"/>
      </w:pPr>
      <w:r>
        <w:t xml:space="preserve">On your phone, open the link and go as far as the consent screen. Which screens did you see?</w:t>
      </w:r>
    </w:p>
    <w:p>
      <w:pPr>
        <w:pStyle w:val="ListParagraph"/>
        <w:numPr>
          <w:ilvl w:val="0"/>
          <w:numId w:val="31"/>
        </w:numPr>
        <w:spacing w:after="80" w:line="276"/>
      </w:pPr>
      <w:r>
        <w:t xml:space="preserve">Back in the portal, find the change of status. What is it now, and why?</w:t>
      </w:r>
    </w:p>
    <w:p>
      <w:pPr>
        <w:spacing w:after="80"/>
      </w:pPr>
    </w:p>
    <w:p>
      <w:pPr>
        <w:pStyle w:val="Heading2"/>
      </w:pPr>
      <w:r>
        <w:t xml:space="preserve">Exercise 3 — QA decisions (QA RAs)</w:t>
      </w:r>
    </w:p>
    <w:p>
      <w:pPr>
        <w:pStyle w:val="ListParagraph"/>
        <w:numPr>
          <w:ilvl w:val="0"/>
          <w:numId w:val="32"/>
        </w:numPr>
        <w:spacing w:after="80" w:line="276"/>
      </w:pPr>
      <w:r>
        <w:t xml:space="preserve">Open the practice QA Queue. Choose the three oldest submissions.</w:t>
      </w:r>
    </w:p>
    <w:p>
      <w:pPr>
        <w:pStyle w:val="ListParagraph"/>
        <w:numPr>
          <w:ilvl w:val="0"/>
          <w:numId w:val="32"/>
        </w:numPr>
        <w:spacing w:after="80" w:line="276"/>
      </w:pPr>
      <w:r>
        <w:t xml:space="preserve">For each, open the PDF and decide Accept, Re-query or Reject. Write your note.</w:t>
      </w:r>
    </w:p>
    <w:p>
      <w:pPr>
        <w:pStyle w:val="ListParagraph"/>
        <w:numPr>
          <w:ilvl w:val="0"/>
          <w:numId w:val="32"/>
        </w:numPr>
        <w:spacing w:after="80" w:line="276"/>
      </w:pPr>
      <w:r>
        <w:t xml:space="preserve">Swap notes with a partner. Could they understand your reasoning without asking you?</w:t>
      </w:r>
    </w:p>
    <w:p>
      <w:pPr>
        <w:pStyle w:val="ListParagraph"/>
        <w:numPr>
          <w:ilvl w:val="0"/>
          <w:numId w:val="32"/>
        </w:numPr>
        <w:spacing w:after="80" w:line="276"/>
      </w:pPr>
      <w:r>
        <w:t xml:space="preserve">Take one practice exception, assign it to yourself, and close it with a note.</w:t>
      </w:r>
    </w:p>
    <w:p>
      <w:pPr>
        <w:spacing w:after="80"/>
      </w:pPr>
    </w:p>
    <w:p>
      <w:pPr>
        <w:pStyle w:val="Heading2"/>
      </w:pPr>
      <w:r>
        <w:t xml:space="preserve">Exercise 4 — A KII record (KII RAs)</w:t>
      </w:r>
    </w:p>
    <w:p>
      <w:pPr>
        <w:pStyle w:val="ListParagraph"/>
        <w:numPr>
          <w:ilvl w:val="0"/>
          <w:numId w:val="33"/>
        </w:numPr>
        <w:spacing w:after="80" w:line="276"/>
      </w:pPr>
      <w:r>
        <w:t xml:space="preserve">Create a practice KII record for a fictional informant.</w:t>
      </w:r>
    </w:p>
    <w:p>
      <w:pPr>
        <w:pStyle w:val="ListParagraph"/>
        <w:numPr>
          <w:ilvl w:val="0"/>
          <w:numId w:val="33"/>
        </w:numPr>
        <w:spacing w:after="80" w:line="276"/>
      </w:pPr>
      <w:r>
        <w:t xml:space="preserve">Move it to SCHEDULED; record participation consent only.</w:t>
      </w:r>
    </w:p>
    <w:p>
      <w:pPr>
        <w:pStyle w:val="ListParagraph"/>
        <w:numPr>
          <w:ilvl w:val="0"/>
          <w:numId w:val="33"/>
        </w:numPr>
        <w:spacing w:after="80" w:line="276"/>
      </w:pPr>
      <w:r>
        <w:t xml:space="preserve">Try to mark it COMPLETED with Recording made ticked. What happens, and why?</w:t>
      </w:r>
    </w:p>
    <w:p>
      <w:pPr>
        <w:pStyle w:val="ListParagraph"/>
        <w:numPr>
          <w:ilvl w:val="0"/>
          <w:numId w:val="33"/>
        </w:numPr>
        <w:spacing w:after="80" w:line="276"/>
      </w:pPr>
      <w:r>
        <w:t xml:space="preserve">Complete it correctly and advance the transcript to IN_PROGRESS.</w:t>
      </w:r>
    </w:p>
    <w:p>
      <w:pPr>
        <w:spacing w:after="80"/>
      </w:pPr>
    </w:p>
    <w:p>
      <w:pPr>
        <w:pStyle w:val="Heading2"/>
      </w:pPr>
      <w:r>
        <w:t xml:space="preserve">Exercise 5 — A document (Documentary RAs)</w:t>
      </w:r>
    </w:p>
    <w:p>
      <w:pPr>
        <w:pStyle w:val="ListParagraph"/>
        <w:numPr>
          <w:ilvl w:val="0"/>
          <w:numId w:val="34"/>
        </w:numPr>
        <w:spacing w:after="80" w:line="276"/>
      </w:pPr>
      <w:r>
        <w:t xml:space="preserve">Add a practice document the facilitator gives you. If Auto-fill is on for the practice site, use </w:t>
      </w:r>
      <w:r>
        <w:rPr>
          <w:b/>
          <w:bCs/>
        </w:rPr>
        <w:t xml:space="preserve">Quick add</w:t>
      </w:r>
      <w:r>
        <w:t xml:space="preserve">: </w:t>
      </w:r>
      <w:r>
        <w:rPr>
          <w:b/>
          <w:bCs/>
        </w:rPr>
        <w:t xml:space="preserve">Documents → New document → Upload and auto-fill</w:t>
      </w:r>
      <w:r>
        <w:t xml:space="preserve">, and watch the two steps (“reading the document’s details”, then “drafting the coding form”). Otherwise type the details by hand.</w:t>
      </w:r>
    </w:p>
    <w:p>
      <w:pPr>
        <w:pStyle w:val="ListParagraph"/>
        <w:numPr>
          <w:ilvl w:val="0"/>
          <w:numId w:val="34"/>
        </w:numPr>
        <w:spacing w:after="80" w:line="276"/>
      </w:pPr>
      <w:r>
        <w:t xml:space="preserve">Open </w:t>
      </w:r>
      <w:r>
        <w:rPr>
          <w:b/>
          <w:bCs/>
        </w:rPr>
        <w:t xml:space="preserve">Record details</w:t>
      </w:r>
      <w:r>
        <w:t xml:space="preserve"> and find one detail the AI filled in that you would correct (a title, a date). Change it and select </w:t>
      </w:r>
      <w:r>
        <w:rPr>
          <w:b/>
          <w:bCs/>
        </w:rPr>
        <w:t xml:space="preserve">Save details</w:t>
      </w:r>
      <w:r>
        <w:t xml:space="preserve">.</w:t>
      </w:r>
    </w:p>
    <w:p>
      <w:pPr>
        <w:pStyle w:val="ListParagraph"/>
        <w:numPr>
          <w:ilvl w:val="0"/>
          <w:numId w:val="34"/>
        </w:numPr>
        <w:spacing w:after="80" w:line="276"/>
      </w:pPr>
      <w:r>
        <w:t xml:space="preserve">Use </w:t>
      </w:r>
      <w:r>
        <w:rPr>
          <w:b/>
          <w:bCs/>
        </w:rPr>
        <w:t xml:space="preserve">Copy for another chapter</w:t>
      </w:r>
      <w:r>
        <w:t xml:space="preserve"> to make a second record for a different page range of the same file. Check that the new record has its own file and that authenticity is unassessed.</w:t>
      </w:r>
    </w:p>
    <w:p>
      <w:pPr>
        <w:pStyle w:val="ListParagraph"/>
        <w:numPr>
          <w:ilvl w:val="0"/>
          <w:numId w:val="34"/>
        </w:numPr>
        <w:spacing w:after="80" w:line="276"/>
      </w:pPr>
      <w:r>
        <w:t xml:space="preserve">Try to Include it straight away. What happens?</w:t>
      </w:r>
    </w:p>
    <w:p>
      <w:pPr>
        <w:pStyle w:val="ListParagraph"/>
        <w:numPr>
          <w:ilvl w:val="0"/>
          <w:numId w:val="34"/>
        </w:numPr>
        <w:spacing w:after="80" w:line="276"/>
      </w:pPr>
      <w:r>
        <w:t xml:space="preserve">Assess authenticity, include or exclude it, and write a three-sentence memo.</w:t>
      </w:r>
    </w:p>
    <w:p>
      <w:pPr>
        <w:pStyle w:val="ListParagraph"/>
        <w:numPr>
          <w:ilvl w:val="0"/>
          <w:numId w:val="34"/>
        </w:numPr>
        <w:spacing w:after="80" w:line="276"/>
      </w:pPr>
      <w:r>
        <w:t xml:space="preserve">Attach a source file, then remove it with </w:t>
      </w:r>
      <w:r>
        <w:rPr>
          <w:b/>
          <w:bCs/>
        </w:rPr>
        <w:t xml:space="preserve">Remove file</w:t>
      </w:r>
      <w:r>
        <w:t xml:space="preserve"> and attach it again.</w:t>
      </w:r>
    </w:p>
    <w:p>
      <w:pPr>
        <w:pStyle w:val="ListParagraph"/>
        <w:numPr>
          <w:ilvl w:val="0"/>
          <w:numId w:val="34"/>
        </w:numPr>
        <w:spacing w:after="80" w:line="276"/>
      </w:pPr>
      <w:r>
        <w:t xml:space="preserve">If the facilitator says Auto-fill is on for the practice site: generate a draft from the practice file, find two things in it you would change, and change them. </w:t>
      </w:r>
      <w:r>
        <w:rPr>
          <w:b/>
          <w:bCs/>
        </w:rPr>
        <w:t xml:space="preserve">Stop before Submit</w:t>
      </w:r>
      <w:r>
        <w:t xml:space="preserve"> (see the warning below).</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Never Submit a practice draft</w:t>
            </w:r>
          </w:p>
          <w:p>
            <w:pPr>
              <w:spacing w:after="40" w:line="264"/>
            </w:pPr>
            <w:r>
              <w:rPr>
                <w:sz w:val="19"/>
                <w:szCs w:val="19"/>
              </w:rPr>
              <w:t xml:space="preserve">Submit to KoboToolbox writes to the live study form, exactly like the questionnaire. In training, review and edit the draft but do not select Submit. Each draft is also a paid request, so generate one only when the facilitator asks.</w:t>
            </w:r>
          </w:p>
        </w:tc>
      </w:tr>
    </w:tbl>
    <w:p>
      <w:pPr>
        <w:pStyle w:val="Heading1"/>
        <w:pageBreakBefore/>
      </w:pPr>
      <w:r>
        <w:t xml:space="preserve">9. Daily checklists</w:t>
      </w:r>
    </w:p>
    <w:p>
      <w:pPr>
        <w:pStyle w:val="Heading2"/>
      </w:pPr>
      <w:r>
        <w:t xml:space="preserve">Start of the day</w:t>
      </w:r>
    </w:p>
    <w:p>
      <w:pPr>
        <w:pStyle w:val="ListParagraph"/>
        <w:numPr>
          <w:ilvl w:val="0"/>
          <w:numId w:val="2"/>
        </w:numPr>
        <w:spacing w:after="60" w:line="276"/>
      </w:pPr>
      <w:r>
        <w:t xml:space="preserve">Sign in on a locked, private device; check the study WhatsApp is the account open.</w:t>
      </w:r>
    </w:p>
    <w:p>
      <w:pPr>
        <w:pStyle w:val="ListParagraph"/>
        <w:numPr>
          <w:ilvl w:val="0"/>
          <w:numId w:val="2"/>
        </w:numPr>
        <w:spacing w:after="60" w:line="276"/>
      </w:pPr>
      <w:r>
        <w:t xml:space="preserve">Contact RAs: Follow-ups (send and mark every due reminder), Appointments for today.</w:t>
      </w:r>
    </w:p>
    <w:p>
      <w:pPr>
        <w:pStyle w:val="ListParagraph"/>
        <w:numPr>
          <w:ilvl w:val="0"/>
          <w:numId w:val="2"/>
        </w:numPr>
        <w:spacing w:after="60" w:line="276"/>
      </w:pPr>
      <w:r>
        <w:t xml:space="preserve">QA RAs: QA Dashboard, oldest exceptions, then the queue.</w:t>
      </w:r>
    </w:p>
    <w:p>
      <w:pPr>
        <w:pStyle w:val="ListParagraph"/>
        <w:numPr>
          <w:ilvl w:val="0"/>
          <w:numId w:val="2"/>
        </w:numPr>
        <w:spacing w:after="60" w:line="276"/>
      </w:pPr>
      <w:r>
        <w:t xml:space="preserve">KII RAs: today's scheduled interviews and consent forms ready.</w:t>
      </w:r>
    </w:p>
    <w:p>
      <w:pPr>
        <w:pStyle w:val="ListParagraph"/>
        <w:numPr>
          <w:ilvl w:val="0"/>
          <w:numId w:val="2"/>
        </w:numPr>
        <w:spacing w:after="60" w:line="276"/>
      </w:pPr>
      <w:r>
        <w:t xml:space="preserve">Documentary RAs: documents waiting for assessment; drafts waiting for review.</w:t>
      </w:r>
    </w:p>
    <w:p>
      <w:pPr>
        <w:spacing w:after="60"/>
      </w:pPr>
    </w:p>
    <w:p>
      <w:pPr>
        <w:pStyle w:val="Heading2"/>
      </w:pPr>
      <w:r>
        <w:t xml:space="preserve">End of the day</w:t>
      </w:r>
    </w:p>
    <w:p>
      <w:pPr>
        <w:pStyle w:val="ListParagraph"/>
        <w:numPr>
          <w:ilvl w:val="0"/>
          <w:numId w:val="2"/>
        </w:numPr>
        <w:spacing w:after="60" w:line="276"/>
      </w:pPr>
      <w:r>
        <w:t xml:space="preserve">Every call, message and decision is recorded in the portal.</w:t>
      </w:r>
    </w:p>
    <w:p>
      <w:pPr>
        <w:pStyle w:val="ListParagraph"/>
        <w:numPr>
          <w:ilvl w:val="0"/>
          <w:numId w:val="2"/>
        </w:numPr>
        <w:spacing w:after="60" w:line="276"/>
      </w:pPr>
      <w:r>
        <w:t xml:space="preserve">Refusals, withdrawals, complaints and anything unusual reported to the Field Coordinator.</w:t>
      </w:r>
    </w:p>
    <w:p>
      <w:pPr>
        <w:pStyle w:val="ListParagraph"/>
        <w:numPr>
          <w:ilvl w:val="0"/>
          <w:numId w:val="2"/>
        </w:numPr>
        <w:spacing w:after="60" w:line="276"/>
      </w:pPr>
      <w:r>
        <w:t xml:space="preserve">No personal data left on the device outside the portal; signed out.</w:t>
      </w:r>
    </w:p>
    <w:p>
      <w:pPr>
        <w:spacing w:after="60"/>
      </w:pPr>
    </w:p>
    <w:p>
      <w:pPr>
        <w:pStyle w:val="Heading2"/>
      </w:pPr>
      <w:r>
        <w:t xml:space="preserve">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10. Glossary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7059"/>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Term</w:t>
            </w:r>
          </w:p>
        </w:tc>
        <w:tc>
          <w:tcPr>
            <w:tcW w:type="dxa" w:w="7059"/>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ABF-FST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Agribusiness Bankability Framework for Food Systems Transformation — the doctoral study this portal supports.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 Reserve-400</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400 selected organisations and their 400 locked, matched replacements.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Master ID</w:t>
            </w:r>
          </w:p>
        </w:tc>
        <w:tc>
          <w:tcPr>
            <w:tcW w:type="dxa" w:w="7059"/>
            <w:tcMar>
              <w:top w:type="dxa" w:w="70"/>
              <w:left w:type="dxa" w:w="110"/>
              <w:bottom w:type="dxa" w:w="70"/>
              <w:right w:type="dxa" w:w="110"/>
            </w:tcMar>
            <w:vAlign w:val="top"/>
          </w:tcPr>
          <w:p>
            <w:pPr>
              <w:spacing w:after="40"/>
            </w:pPr>
            <w:r>
              <w:rPr>
                <w:b w:val="false"/>
                <w:bCs w:val="false"/>
                <w:sz w:val="19"/>
                <w:szCs w:val="19"/>
              </w:rPr>
              <w:t xml:space="preserve">System-generated organisation identifier, e.g. MID-HA-000001 (province code + sequence).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Sample ID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System-generated case identifier, e.g. SID-2026-000001. Never typed by hand, never reused.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Stratum</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sampling cell: Province × Actor family × Size class.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Case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One organisation's place in the sample (a Sample ID).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Workflow status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Where a Main case is, from S00 Selected to S11 Completed, or a drop state (S12–S15).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personal link (valid 14 days) plus an 8-character manual code, issued per case.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Eligibility</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respondent's confirmation that they hold a senior, knowledgeable role.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Consent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recorded agreement to take part (participation consent). KII recording consent is separate.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PIS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Participant Information Sheet, currently version 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AI research</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In PROIT, an AI searches public sources for an organisation and the respondent's published professional role and proposes background facts with sources. A researcher accepts or rejects each; nothing enters the profile automatically.</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Muse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Meta's AI model, used for document drafting, PROIT research and the contact finder, billed to the study's Meta account.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Organisation social page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organisation's own business page on Facebook, LinkedIn, X or similar. It may be cited as a Tier 4 source for the organisation's own facts and contact details, never for a person. Personal profiles are never 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Contact finder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Find contact details with AI</w:t>
            </w:r>
            <w:r>
              <w:rPr>
                <w:b w:val="false"/>
                <w:bCs w:val="false"/>
                <w:sz w:val="19"/>
                <w:szCs w:val="19"/>
              </w:rPr>
              <w:t xml:space="preserve">: proposes an organisation's published phone, email, website, office location and named senior staff, each with its page and passage. Nothing is saved until a person accepts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invitations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register panel that emails the approved invitation to a batch of verified cases (S03 or S04) with a respondent email and no open invitation.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WhatsApp queue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register panel listing verified cases ready for a WhatsApp invitation. </w:t>
            </w:r>
            <w:r>
              <w:rPr>
                <w:b w:val="false"/>
                <w:bCs w:val="false"/>
                <w:sz w:val="19"/>
                <w:szCs w:val="19"/>
              </w:rPr>
              <w:t xml:space="preserve">Prepare</w:t>
            </w:r>
            <w:r>
              <w:rPr>
                <w:b w:val="false"/>
                <w:bCs w:val="false"/>
                <w:sz w:val="19"/>
                <w:szCs w:val="19"/>
              </w:rPr>
              <w:t xml:space="preserve"> creates the link and message; the RA sends it from the study phone.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sheet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locked pre-interview profile as the interviewer uses it: public facts to confirm, gaps to ask, and where the respondent's answers stand.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Reconciliation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After the interview, the researcher's coded value for each fact the respondent corrected or qualified. A case is not complete until its profile is reconciled.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Protocol deviation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recorded reason why a profile could not be reconciled. It releases the case but leaves it flagged.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PROIT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Pre-Interview Respondent &amp; Organisation Intelligence and Verification Tool: background facts found before contact, confirmed by the respondent.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external data-collection service that hosts the three study forms.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Submission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One completed KoboToolbox form.</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Sync</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Bringing the portal's own copy of the three KoboToolbox forms level with KoboToolbox. Automatic every 15 minutes, or </w:t>
            </w:r>
            <w:r>
              <w:rPr>
                <w:b w:val="false"/>
                <w:bCs w:val="false"/>
                <w:sz w:val="19"/>
                <w:szCs w:val="19"/>
              </w:rPr>
              <w:t xml:space="preserve">Sync now</w:t>
            </w:r>
            <w:r>
              <w:rPr>
                <w:b w:val="false"/>
                <w:bCs w:val="false"/>
                <w:sz w:val="19"/>
                <w:szCs w:val="19"/>
              </w:rPr>
              <w:t xml:space="preserv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QA</w:t>
            </w:r>
          </w:p>
        </w:tc>
        <w:tc>
          <w:tcPr>
            <w:tcW w:type="dxa" w:w="7059"/>
            <w:tcMar>
              <w:top w:type="dxa" w:w="70"/>
              <w:left w:type="dxa" w:w="110"/>
              <w:bottom w:type="dxa" w:w="70"/>
              <w:right w:type="dxa" w:w="110"/>
            </w:tcMar>
            <w:vAlign w:val="top"/>
          </w:tcPr>
          <w:p>
            <w:pPr>
              <w:spacing w:after="40"/>
            </w:pPr>
            <w:r>
              <w:rPr>
                <w:b w:val="false"/>
                <w:bCs w:val="false"/>
                <w:sz w:val="19"/>
                <w:szCs w:val="19"/>
              </w:rPr>
              <w:t xml:space="preserve">Quality assurance: automated checks plus a human decision on every questionnaire.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QA exception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automated flag raised by a QA rule, worked and closed by a person.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KII</w:t>
            </w:r>
          </w:p>
        </w:tc>
        <w:tc>
          <w:tcPr>
            <w:tcW w:type="dxa" w:w="7059"/>
            <w:tcMar>
              <w:top w:type="dxa" w:w="70"/>
              <w:left w:type="dxa" w:w="110"/>
              <w:bottom w:type="dxa" w:w="70"/>
              <w:right w:type="dxa" w:w="110"/>
            </w:tcMar>
            <w:vAlign w:val="top"/>
          </w:tcPr>
          <w:p>
            <w:pPr>
              <w:spacing w:after="40"/>
            </w:pPr>
            <w:r>
              <w:rPr>
                <w:b w:val="false"/>
                <w:bCs w:val="false"/>
                <w:sz w:val="19"/>
                <w:szCs w:val="19"/>
              </w:rPr>
              <w:t xml:space="preserve">Key Informant Interview (target 60 completed).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evidence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digital platform and media sources analysed (target 50–75).</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Source file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uploaded scan, PDF, photo or document a documentary record is coded from. Stored privately; it can be removed or replaced.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on a document's page that has AI read the source file and draft the whole Document Analysis Tool for you to review. It never submits anything by itself.</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AI draft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AI's proposed answers to the Document Analysis Tool: editable, reviewed by a person, and only sent to KoboToolbox when that person selects Submit.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Page range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pages of a long PDF that make up one evidence unit (up to 100), entered for Auto-fill.</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Copy for another chapter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button on a document record: makes a new record for a different part of the same source, with the same details and its own copy of the file.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Quick add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 New document → upload a file: the AI fills in the record's details and drafts the coding form for you to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Record details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document's title, author, date, type, scope, value chain and source. They feed Section A of the coding form and can be corrected on the record page.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Read in parts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 option for a PDF over 100 pages: the AI codes each part of about 80 pages, then combines them into one draft.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How the questionnaire was completed (codes 01–06).</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Follow-up</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approved reminder due to be sent to an invited respondent (Day 2, Day 7).</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Withdrawal</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participant's request to stop taking part, recorded once in the portal.</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PI's published official approval letters (ethics clearance, institutional approval, supervision confirmation) that a respondent can open from the Participant Information screen to check the study is genuine. Hidden until the PI publishes it.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permanent record of every sensitive action and who took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Data lock</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30 November 2026 — the date fieldwork data is frozen for analysis.</w:t>
            </w:r>
          </w:p>
        </w:tc>
      </w:tr>
    </w:tbl>
    <w:p>
      <w:pPr>
        <w:spacing w:after="120"/>
      </w:pPr>
    </w:p>
    <w:p>
      <w:pPr>
        <w:pStyle w:val="Heading1"/>
        <w:pageBreakBefore/>
      </w:pPr>
      <w:r>
        <w:t xml:space="preserve">11. Confidentiality and conduct declaration</w:t>
      </w:r>
    </w:p>
    <w:p>
      <w:pPr>
        <w:spacing w:after="120" w:line="288"/>
      </w:pPr>
      <w:r>
        <w:t xml:space="preserve">I have completed the ABF-FST Research Assistant training and I understand and agree that:</w:t>
      </w:r>
    </w:p>
    <w:p>
      <w:pPr>
        <w:pStyle w:val="ListParagraph"/>
        <w:numPr>
          <w:ilvl w:val="0"/>
          <w:numId w:val="35"/>
        </w:numPr>
        <w:spacing w:after="80" w:line="276"/>
      </w:pPr>
      <w:r>
        <w:t xml:space="preserve">I will treat all study information, including names, contact details and answers, as confidential, during and after my work on the study.</w:t>
      </w:r>
    </w:p>
    <w:p>
      <w:pPr>
        <w:pStyle w:val="ListParagraph"/>
        <w:numPr>
          <w:ilvl w:val="0"/>
          <w:numId w:val="35"/>
        </w:numPr>
        <w:spacing w:after="80" w:line="276"/>
      </w:pPr>
      <w:r>
        <w:t xml:space="preserve">I will use personal information only to carry out my study role, and only through the approved systems (the portal, KoboToolbox and the study WhatsApp number).</w:t>
      </w:r>
    </w:p>
    <w:p>
      <w:pPr>
        <w:pStyle w:val="ListParagraph"/>
        <w:numPr>
          <w:ilvl w:val="0"/>
          <w:numId w:val="35"/>
        </w:numPr>
        <w:spacing w:after="80" w:line="276"/>
      </w:pPr>
      <w:r>
        <w:t xml:space="preserve">I will not copy, photograph, download to personal devices, share or publish study information except as my role requires.</w:t>
      </w:r>
    </w:p>
    <w:p>
      <w:pPr>
        <w:pStyle w:val="ListParagraph"/>
        <w:numPr>
          <w:ilvl w:val="0"/>
          <w:numId w:val="35"/>
        </w:numPr>
        <w:spacing w:after="80" w:line="276"/>
      </w:pPr>
      <w:r>
        <w:t xml:space="preserve">I will obtain informed consent before collecting any data, respect every refusal and withdrawal, and never pressure anyone to take part.</w:t>
      </w:r>
    </w:p>
    <w:p>
      <w:pPr>
        <w:pStyle w:val="ListParagraph"/>
        <w:numPr>
          <w:ilvl w:val="0"/>
          <w:numId w:val="35"/>
        </w:numPr>
        <w:spacing w:after="80" w:line="276"/>
      </w:pPr>
      <w:r>
        <w:t xml:space="preserve">I will never tell anyone that taking part or their answers affect financing.</w:t>
      </w:r>
    </w:p>
    <w:p>
      <w:pPr>
        <w:pStyle w:val="ListParagraph"/>
        <w:numPr>
          <w:ilvl w:val="0"/>
          <w:numId w:val="35"/>
        </w:numPr>
        <w:spacing w:after="80" w:line="276"/>
      </w:pPr>
      <w:r>
        <w:t xml:space="preserve">I will keep my account details private, and report any lost device, suspected breach or mistake to the PI immediately.</w:t>
      </w:r>
    </w:p>
    <w:p>
      <w:pPr>
        <w:pStyle w:val="ListParagraph"/>
        <w:numPr>
          <w:ilvl w:val="0"/>
          <w:numId w:val="35"/>
        </w:numPr>
        <w:spacing w:after="80" w:line="276"/>
      </w:pPr>
      <w:r>
        <w:t xml:space="preserve">I understand that my actions in the portal are recorded, and that breaching this declaration may end my role on the study.</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Full name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Role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Signature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Witnessed by (PI / Field Coordinator)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1.37 · 13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RA Training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abstractNum w:abstractNumId="34" w15:restartNumberingAfterBreak="0">
    <w:multiLevelType w:val="hybridMultilevel"/>
    <w:lvl w:ilvl="0" w15:tentative="1">
      <w:start w:val="1"/>
      <w:numFmt w:val="decimal"/>
      <w:lvlText w:val="%1."/>
      <w:lvlJc w:val="left"/>
      <w:pPr>
        <w:ind w:left="460" w:hanging="360"/>
      </w:pPr>
      <w:rPr>
        <w:b/>
        <w:bCs/>
        <w:color w:val="A67C27"/>
      </w:rPr>
    </w:lvl>
  </w:abstractNum>
  <w:abstractNum w:abstractNumId="35"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816d7ad2d5b879fedcc912a2c642dcc739548ce2.jpg"/><Relationship Id="rId14" Type="http://schemas.openxmlformats.org/officeDocument/2006/relationships/image" Target="media/fbfc0e781ee459839812ba26eeffa28c72909d8b.jpg"/><Relationship Id="rId15" Type="http://schemas.openxmlformats.org/officeDocument/2006/relationships/image" Target="media/ccdf3c194b050a419e374412bcccdbbc06c9a88f.jpg"/><Relationship Id="rId16" Type="http://schemas.openxmlformats.org/officeDocument/2006/relationships/image" Target="media/b99c12b06b55cd851aae0d72ba6eec5b76f41581.jpg"/><Relationship Id="rId17" Type="http://schemas.openxmlformats.org/officeDocument/2006/relationships/image" Target="media/70b49bc59d9bf7ad3b4e53d4874146c337734b47.jpg"/><Relationship Id="rId18" Type="http://schemas.openxmlformats.org/officeDocument/2006/relationships/image" Target="media/b6bd74a0c6c46380ca20c3d5e4837ab0ba645637.jpg"/><Relationship Id="rId19" Type="http://schemas.openxmlformats.org/officeDocument/2006/relationships/image" Target="media/dc3b655000895ab866aae9e373014bcfcca20bb0.jpg"/><Relationship Id="rId20" Type="http://schemas.openxmlformats.org/officeDocument/2006/relationships/image" Target="media/cfaa4e7f90ac6b68932c8dd19deadffa5cf88a8c.jpg"/><Relationship Id="rId21" Type="http://schemas.openxmlformats.org/officeDocument/2006/relationships/image" Target="media/5f75b571f87ea147d0fd9f8f5b148da426fb95ab.jpg"/><Relationship Id="rId22" Type="http://schemas.openxmlformats.org/officeDocument/2006/relationships/image" Target="media/6de9946338cd7a1d0a758e732a3a1330310e6439.jpg"/><Relationship Id="rId23" Type="http://schemas.openxmlformats.org/officeDocument/2006/relationships/image" Target="media/8f6a0cea9eb1241e20ab330adb9ad040955d428c.jpg"/><Relationship Id="rId24" Type="http://schemas.openxmlformats.org/officeDocument/2006/relationships/image" Target="media/c4ca3b2664fd24e940ad419aaf9890fce05ccb1d.jpg"/><Relationship Id="rId25" Type="http://schemas.openxmlformats.org/officeDocument/2006/relationships/image" Target="media/51614fee0c2701f795430b8219c18fa1c6171c55.jpg"/><Relationship Id="rId26" Type="http://schemas.openxmlformats.org/officeDocument/2006/relationships/image" Target="media/1eeb69d1e8014c155b62e43b2184d1441ea40a66.jpg"/><Relationship Id="rId27" Type="http://schemas.openxmlformats.org/officeDocument/2006/relationships/image" Target="media/6be96a6b5b0bdba7bbac4bfcbacf217fb64745b8.jpg"/><Relationship Id="rId28" Type="http://schemas.openxmlformats.org/officeDocument/2006/relationships/image" Target="media/a101e8b64cef9b64b216a55a671364cd28e59060.jpg"/><Relationship Id="rId29" Type="http://schemas.openxmlformats.org/officeDocument/2006/relationships/image" Target="media/f569da932ab46bca548ed97aa5c514c3dffd3e94.jpg"/><Relationship Id="rId30" Type="http://schemas.openxmlformats.org/officeDocument/2006/relationships/image" Target="media/359a81fb40f1ab5a8abd847cf8cc756de4594358.jpg"/><Relationship Id="rId31" Type="http://schemas.openxmlformats.org/officeDocument/2006/relationships/image" Target="media/3de19fa2a550e3a76ccbf38482ebf6bfeb8a5cb6.jpg"/><Relationship Id="rId32" Type="http://schemas.openxmlformats.org/officeDocument/2006/relationships/image" Target="media/adb3fed0578ebef53fede9bb1cb8609b1887d1a8.jpg"/><Relationship Id="rId33" Type="http://schemas.openxmlformats.org/officeDocument/2006/relationships/image" Target="media/46e8ff89f9b102d49e6a1301ea89021478ce96ef.jpg"/><Relationship Id="rId34" Type="http://schemas.openxmlformats.org/officeDocument/2006/relationships/image" Target="media/adb921774f4b44f85e85efcb22fa43be573c6b56.jpg"/><Relationship Id="rId35" Type="http://schemas.openxmlformats.org/officeDocument/2006/relationships/image" Target="media/796d9597b4dd19a6b8b07eb26d00c0dc567e71ee.jpg"/><Relationship Id="rId36" Type="http://schemas.openxmlformats.org/officeDocument/2006/relationships/image" Target="media/855a1418e194f7a3ea9769ee6b402cf6104f7bc1.jpg"/><Relationship Id="rId37" Type="http://schemas.openxmlformats.org/officeDocument/2006/relationships/image" Target="media/d7bbfc7ad2fddf32816c64a37752340b4198ac1e.jp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Un-named</cp:lastModifiedBy>
  <cp:revision>1</cp:revision>
  <dcterms:created xsi:type="dcterms:W3CDTF">2026-10-13T12:21:56.287Z</dcterms:created>
  <dcterms:modified xsi:type="dcterms:W3CDTF">2026-10-13T12:21:56.287Z</dcterms:modified>
</cp:coreProperties>
</file>

<file path=docProps/custom.xml><?xml version="1.0" encoding="utf-8"?>
<Properties xmlns="http://schemas.openxmlformats.org/officeDocument/2006/custom-properties" xmlns:vt="http://schemas.openxmlformats.org/officeDocument/2006/docPropsVTypes"/>
</file>