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2: Field / Digital Coordinator</w:t>
      </w:r>
    </w:p>
    <w:p>
      <w:pPr>
        <w:spacing w:after="700" w:line="300"/>
      </w:pPr>
      <w:r>
        <w:rPr>
          <w:color w:val="5B6670"/>
          <w:sz w:val="28"/>
          <w:szCs w:val="28"/>
        </w:rPr>
        <w:t xml:space="preserve">Step-by-step instructions for the Field / Digital Coordinator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Field and digital coordinators running day-to-day fieldwork</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1.37 · 13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run fieldwork day to day: keep the sample moving through verification, make sure every case has a Contact RA and contact details, keep follow-ups and appointments on schedule, make replacement and withdrawal decisions with the PI, and oversee QA, KII and documentary work.</w:t>
      </w:r>
    </w:p>
    <w:p>
      <w:pPr>
        <w:pStyle w:val="Heading3"/>
      </w:pPr>
      <w:r>
        <w:t xml:space="preserve">You can</w:t>
      </w:r>
    </w:p>
    <w:p>
      <w:pPr>
        <w:pStyle w:val="ListParagraph"/>
        <w:numPr>
          <w:ilvl w:val="0"/>
          <w:numId w:val="2"/>
        </w:numPr>
        <w:spacing w:after="60" w:line="276"/>
      </w:pPr>
      <w:r>
        <w:t xml:space="preserve">Open 19 screens — everything except the Audit Log and Research Clearance.</w:t>
      </w:r>
    </w:p>
    <w:p>
      <w:pPr>
        <w:pStyle w:val="ListParagraph"/>
        <w:numPr>
          <w:ilvl w:val="0"/>
          <w:numId w:val="2"/>
        </w:numPr>
        <w:spacing w:after="60" w:line="276"/>
      </w:pPr>
      <w:r>
        <w:t xml:space="preserve">Register organisations, pair Reserves, assign Contact RAs and verify cases in bulk.</w:t>
      </w:r>
    </w:p>
    <w:p>
      <w:pPr>
        <w:pStyle w:val="ListParagraph"/>
        <w:numPr>
          <w:ilvl w:val="0"/>
          <w:numId w:val="2"/>
        </w:numPr>
        <w:spacing w:after="60" w:line="276"/>
      </w:pPr>
      <w:r>
        <w:t xml:space="preserve">Record respondents, invite, log contacts, send follow-ups, manage appointments.</w:t>
      </w:r>
    </w:p>
    <w:p>
      <w:pPr>
        <w:pStyle w:val="ListParagraph"/>
        <w:numPr>
          <w:ilvl w:val="0"/>
          <w:numId w:val="2"/>
        </w:numPr>
        <w:spacing w:after="60" w:line="276"/>
      </w:pPr>
      <w:r>
        <w:t xml:space="preserve">Find missing contact details with AI, email invitations in batches, and prepare WhatsApp invitations from the queue.</w:t>
      </w:r>
    </w:p>
    <w:p>
      <w:pPr>
        <w:pStyle w:val="ListParagraph"/>
        <w:numPr>
          <w:ilvl w:val="0"/>
          <w:numId w:val="2"/>
        </w:numPr>
        <w:spacing w:after="60" w:line="276"/>
      </w:pPr>
      <w:r>
        <w:t xml:space="preserve">Record withdrawals and activate Reserves.</w:t>
      </w:r>
    </w:p>
    <w:p>
      <w:pPr>
        <w:pStyle w:val="ListParagraph"/>
        <w:numPr>
          <w:ilvl w:val="0"/>
          <w:numId w:val="2"/>
        </w:numPr>
        <w:spacing w:after="60" w:line="276"/>
      </w:pPr>
      <w:r>
        <w:t xml:space="preserve">Take QA decisions and work QA exceptions; manage KII and document records; log costs.</w:t>
      </w:r>
    </w:p>
    <w:p>
      <w:pPr>
        <w:pStyle w:val="ListParagraph"/>
        <w:numPr>
          <w:ilvl w:val="0"/>
          <w:numId w:val="2"/>
        </w:numPr>
        <w:spacing w:after="60" w:line="276"/>
      </w:pPr>
      <w:r>
        <w:t xml:space="preserve">Download the de-identified analysis export.</w:t>
      </w:r>
    </w:p>
    <w:p>
      <w:pPr>
        <w:spacing w:after="60"/>
      </w:pPr>
    </w:p>
    <w:p>
      <w:pPr>
        <w:pStyle w:val="Heading3"/>
      </w:pPr>
      <w:r>
        <w:t xml:space="preserve">You cannot</w:t>
      </w:r>
    </w:p>
    <w:p>
      <w:pPr>
        <w:pStyle w:val="ListParagraph"/>
        <w:numPr>
          <w:ilvl w:val="0"/>
          <w:numId w:val="2"/>
        </w:numPr>
        <w:spacing w:after="60" w:line="276"/>
      </w:pPr>
      <w:r>
        <w:t xml:space="preserve">Open the Audit Log or Research Clearance.</w:t>
      </w:r>
    </w:p>
    <w:p>
      <w:pPr>
        <w:pStyle w:val="ListParagraph"/>
        <w:numPr>
          <w:ilvl w:val="0"/>
          <w:numId w:val="2"/>
        </w:numPr>
        <w:spacing w:after="60" w:line="276"/>
      </w:pPr>
      <w:r>
        <w:t xml:space="preserve">Download the full operational export or the KoboToolbox data workbooks (PI only).</w:t>
      </w:r>
    </w:p>
    <w:p>
      <w:pPr>
        <w:pStyle w:val="ListParagraph"/>
        <w:numPr>
          <w:ilvl w:val="0"/>
          <w:numId w:val="2"/>
        </w:numPr>
        <w:spacing w:after="60" w:line="276"/>
      </w:pPr>
      <w:r>
        <w:t xml:space="preserve">Create staff accounts (ask the PI).</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Executive Dashboard</w:t>
      </w:r>
      <w:r>
        <w:t xml:space="preserve">. The bar across the top lists only the screens your role (Field / Digital Coordinator)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Dashboards and Reports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Track progress, coverage and bottlenecks.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Main-400 Register</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Cases, bulk verification, the contact finder, email invitations and the WhatsApp queue.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Organisations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Late additions and replacements.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Appointments, Follow-ups, Communications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Keep contact on schedule; answer messages and email replies.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Completed forms for all three forms, and whether the portal matches KoboToolbox (Sync now).</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QA Queue, QA Exceptions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Support and cover the QA RA.</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KII Register, Documents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Oversee the other strands.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Reserve Activation</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Replace dropped cases: follow automatic replacements, or activate by hand.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Cost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Log and monitor spend.</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Export</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De-identified analysis export.</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Morning</w:t>
            </w:r>
          </w:p>
        </w:tc>
        <w:tc>
          <w:tcPr>
            <w:tcW w:type="dxa" w:w="7341"/>
            <w:tcMar>
              <w:top w:type="dxa" w:w="70"/>
              <w:left w:type="dxa" w:w="110"/>
              <w:bottom w:type="dxa" w:w="70"/>
              <w:right w:type="dxa" w:w="110"/>
            </w:tcMar>
            <w:vAlign w:val="top"/>
          </w:tcPr>
          <w:p>
            <w:pPr>
              <w:spacing w:after="40"/>
            </w:pPr>
            <w:r>
              <w:rPr>
                <w:b w:val="false"/>
                <w:bCs w:val="false"/>
                <w:sz w:val="19"/>
                <w:szCs w:val="19"/>
              </w:rPr>
              <w:t xml:space="preserve">Follow-ups due (make sure RAs send them); Appointments for today; QA Exceptions still open.</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During the day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Unblock cases with no phone number; answer RA questions; handle refusals and withdrawals.</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End of day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Reports (last 7 days): submissions, response rate, coverage; note strata falling behind.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Weekly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Cases stuck at S05–S07 beyond Day 7; Reserve activations; cost entries; brief the PI.</w:t>
            </w:r>
          </w:p>
        </w:tc>
      </w:tr>
    </w:tbl>
    <w:p>
      <w:pPr>
        <w:spacing w:after="120"/>
      </w:pPr>
    </w:p>
    <w:p>
      <w:pPr>
        <w:pStyle w:val="Heading1"/>
        <w:pageBreakBefore/>
      </w:pPr>
      <w:r>
        <w:t xml:space="preserve">4. Step-by-step tasks</w:t>
      </w:r>
    </w:p>
    <w:p>
      <w:pPr>
        <w:pStyle w:val="Heading2"/>
      </w:pPr>
      <w:r>
        <w:t xml:space="preserve">4.1 Reading the dashboards</w:t>
      </w:r>
    </w:p>
    <w:p>
      <w:pPr>
        <w:spacing w:after="120" w:line="288"/>
      </w:pPr>
      <w:r>
        <w:t xml:space="preserve">Dashboards are for monitoring; nothing on them changes data. Figures refresh whenever the screen is opened.</w:t>
      </w:r>
    </w:p>
    <w:p>
      <w:pPr>
        <w:keepNext/>
        <w:spacing w:after="40" w:before="80"/>
        <w:jc w:val="center"/>
      </w:pPr>
      <w:r>
        <w:drawing>
          <wp:inline distT="0" distB="0" distL="0" distR="0">
            <wp:extent cx="5715000" cy="3571875"/>
            <wp:effectExtent t="0" r="0" b="0" l="0"/>
            <wp:docPr id="1"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Executive Dashboard: completions against the 400 / 60 / 50–75 targets, days to data lock, spend, and the lowest-filled strata.</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4706"/>
        <w:gridCol w:w="3012"/>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Dashboard</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Use it to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Executive</w:t>
            </w:r>
          </w:p>
        </w:tc>
        <w:tc>
          <w:tcPr>
            <w:tcW w:type="dxa" w:w="4706"/>
            <w:tcMar>
              <w:top w:type="dxa" w:w="70"/>
              <w:left w:type="dxa" w:w="110"/>
              <w:bottom w:type="dxa" w:w="70"/>
              <w:right w:type="dxa" w:w="110"/>
            </w:tcMar>
            <w:vAlign w:val="top"/>
          </w:tcPr>
          <w:p>
            <w:pPr>
              <w:spacing w:after="40"/>
            </w:pPr>
            <w:r>
              <w:rPr>
                <w:b w:val="false"/>
                <w:bCs w:val="false"/>
                <w:sz w:val="19"/>
                <w:szCs w:val="19"/>
              </w:rPr>
              <w:t xml:space="preserve">QUAN completed out of 400, KII completed out of 60, documents coded against 50–75, days to the 30 November 2026 data lock, spend to date, lowest-filled strata.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See overall progress and where fieldwork attention is most needed.</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Main cases by province, verified/total by stratum, Reserve activations by reason.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design stays balanced across strata.</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Contact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Organisations verified, eligible respondents identified, invitations sent and opened, upcoming appointments, refusals, unreachable cases.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outreach and spot stalled contact.</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Submissions today and in total, the open QA queue, decisions recorded, completions by 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Keep the QA backlog under control.</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KII completed against 60; KIIs by status; documents by type and QA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the qualitative and documentary strands.</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Targets versus records</w:t>
            </w:r>
          </w:p>
          <w:p>
            <w:pPr>
              <w:spacing w:after="40" w:line="264"/>
            </w:pPr>
            <w:r>
              <w:rPr>
                <w:sz w:val="19"/>
                <w:szCs w:val="19"/>
              </w:rPr>
              <w:t xml:space="preserve">The registers hold more records than the targets (for example 90 KII records for 60 completed interviews). The surplus is reserve depth for non-response, not extra work.</w:t>
            </w:r>
          </w:p>
        </w:tc>
      </w:tr>
    </w:tbl>
    <w:p>
      <w:pPr>
        <w:pStyle w:val="Heading2"/>
      </w:pPr>
      <w:r>
        <w:t xml:space="preserve">4.2 Using Reports (analytics and charts)</w:t>
      </w:r>
    </w:p>
    <w:p>
      <w:pPr>
        <w:pStyle w:val="ListParagraph"/>
        <w:numPr>
          <w:ilvl w:val="0"/>
          <w:numId w:val="5"/>
        </w:numPr>
        <w:spacing w:after="80" w:line="276"/>
      </w:pPr>
      <w:r>
        <w:t xml:space="preserve">Select </w:t>
      </w:r>
      <w:r>
        <w:rPr>
          <w:b/>
          <w:bCs/>
        </w:rPr>
        <w:t xml:space="preserve">Reports</w:t>
      </w:r>
      <w:r>
        <w:t xml:space="preserve"> in the top bar.</w:t>
      </w:r>
    </w:p>
    <w:p>
      <w:pPr>
        <w:keepNext/>
        <w:spacing w:after="40" w:before="80"/>
        <w:jc w:val="center"/>
      </w:pPr>
      <w:r>
        <w:drawing>
          <wp:inline distT="0" distB="0" distL="0" distR="0">
            <wp:extent cx="5334000" cy="3333750"/>
            <wp:effectExtent t="0" r="0" b="0" l="0"/>
            <wp:docPr id="1"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Reports: headline figures for the chosen period.</w:t>
      </w:r>
    </w:p>
    <w:p>
      <w:pPr>
        <w:pStyle w:val="ListParagraph"/>
        <w:numPr>
          <w:ilvl w:val="0"/>
          <w:numId w:val="5"/>
        </w:numPr>
        <w:spacing w:after="80" w:line="276"/>
      </w:pPr>
      <w:r>
        <w:t xml:space="preserve">Choose the period with </w:t>
      </w:r>
      <w:r>
        <w:rPr>
          <w:b/>
          <w:bCs/>
        </w:rPr>
        <w:t xml:space="preserve">Last 7 days</w:t>
      </w:r>
      <w:r>
        <w:t xml:space="preserve">, </w:t>
      </w:r>
      <w:r>
        <w:rPr>
          <w:b/>
          <w:bCs/>
        </w:rPr>
        <w:t xml:space="preserve">Last 30 days</w:t>
      </w:r>
      <w:r>
        <w:t xml:space="preserve">, </w:t>
      </w:r>
      <w:r>
        <w:rPr>
          <w:b/>
          <w:bCs/>
        </w:rPr>
        <w:t xml:space="preserve">Last 90 days</w:t>
      </w:r>
      <w:r>
        <w:t xml:space="preserve"> or </w:t>
      </w:r>
      <w:r>
        <w:rPr>
          <w:b/>
          <w:bCs/>
        </w:rPr>
        <w:t xml:space="preserve">All time</w:t>
      </w:r>
      <w:r>
        <w:t xml:space="preserve">. Case progress (the funnel and workflow) is always cumulative; time-based figures such as submissions per day follow the period.</w:t>
      </w:r>
    </w:p>
    <w:p>
      <w:pPr>
        <w:pStyle w:val="ListParagraph"/>
        <w:numPr>
          <w:ilvl w:val="0"/>
          <w:numId w:val="5"/>
        </w:numPr>
        <w:spacing w:after="80" w:line="276"/>
      </w:pPr>
      <w:r>
        <w:t xml:space="preserve">Read the headline cards: questionnaires submitted, passed QA, response rate (submitted ÷ invited), median completion time, follow-ups sent, withdrawals, Reserves activated, and fieldwork cost per QA-passed case.</w:t>
      </w:r>
    </w:p>
    <w:p>
      <w:pPr>
        <w:keepNext/>
        <w:spacing w:after="40" w:before="80"/>
        <w:jc w:val="center"/>
      </w:pPr>
      <w:r>
        <w:drawing>
          <wp:inline distT="0" distB="0" distL="0" distR="0">
            <wp:extent cx="5334000" cy="3409950"/>
            <wp:effectExtent t="0" r="0" b="0" l="0"/>
            <wp:docPr id="1"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4099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Case funnel: each case counted once at every stage it has reached.</w:t>
      </w:r>
    </w:p>
    <w:p>
      <w:pPr>
        <w:pStyle w:val="ListParagraph"/>
        <w:numPr>
          <w:ilvl w:val="0"/>
          <w:numId w:val="5"/>
        </w:numPr>
        <w:spacing w:after="80" w:line="276"/>
      </w:pPr>
      <w:r>
        <w:t xml:space="preserve">Select </w:t>
      </w:r>
      <w:r>
        <w:rPr>
          <w:b/>
          <w:bCs/>
        </w:rPr>
        <w:t xml:space="preserve">Show table</w:t>
      </w:r>
      <w:r>
        <w:t xml:space="preserve"> on any chart to see the exact numbers, for example to copy them into a progress report.</w:t>
      </w:r>
    </w:p>
    <w:p>
      <w:pPr>
        <w:keepNext/>
        <w:spacing w:after="40" w:before="80"/>
        <w:jc w:val="center"/>
      </w:pPr>
      <w:r>
        <w:drawing>
          <wp:inline distT="0" distB="0" distL="0" distR="0">
            <wp:extent cx="5334000" cy="3248025"/>
            <wp:effectExtent t="0" r="0" b="0" l="0"/>
            <wp:docPr id="1"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248025"/>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The same chart as a table.</w:t>
      </w:r>
    </w:p>
    <w:p>
      <w:pPr>
        <w:pStyle w:val="ListParagraph"/>
        <w:numPr>
          <w:ilvl w:val="0"/>
          <w:numId w:val="5"/>
        </w:numPr>
        <w:spacing w:after="80" w:line="276"/>
      </w:pPr>
      <w:r>
        <w:t xml:space="preserve">Use </w:t>
      </w:r>
      <w:r>
        <w:rPr>
          <w:b/>
          <w:bCs/>
        </w:rPr>
        <w:t xml:space="preserve">Coverage</w:t>
      </w:r>
      <w:r>
        <w:t xml:space="preserve"> to see, by province, organisation type and size, what share of cases have been invited and have submitted. Short bars show where contact effort should go next.</w:t>
      </w:r>
    </w:p>
    <w:p>
      <w:pPr>
        <w:keepNext/>
        <w:spacing w:after="40" w:before="80"/>
        <w:jc w:val="center"/>
      </w:pPr>
      <w:r>
        <w:drawing>
          <wp:inline distT="0" distB="0" distL="0" distR="0">
            <wp:extent cx="5334000" cy="2628900"/>
            <wp:effectExtent t="0" r="0" b="0" l="0"/>
            <wp:docPr id="1"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62890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Coverage by group.</w:t>
      </w:r>
    </w:p>
    <w:p>
      <w:pPr>
        <w:pStyle w:val="ListParagraph"/>
        <w:numPr>
          <w:ilvl w:val="0"/>
          <w:numId w:val="5"/>
        </w:numPr>
        <w:spacing w:after="80" w:line="276"/>
      </w:pPr>
      <w:r>
        <w:t xml:space="preserve">Check </w:t>
      </w:r>
      <w:r>
        <w:rPr>
          <w:b/>
          <w:bCs/>
        </w:rPr>
        <w:t xml:space="preserve">How questionnaires were completed</w:t>
      </w:r>
      <w:r>
        <w:t xml:space="preserve">. If one administration mode dominates (more than 70% once at least 10 questionnaires are in), the chart shows an imbalance alert so the team can review the mix.</w:t>
      </w:r>
    </w:p>
    <w:p>
      <w:pPr>
        <w:keepNext/>
        <w:spacing w:after="40" w:before="80"/>
        <w:jc w:val="center"/>
      </w:pPr>
      <w:r>
        <w:drawing>
          <wp:inline distT="0" distB="0" distL="0" distR="0">
            <wp:extent cx="5334000" cy="2600325"/>
            <wp:effectExtent t="0" r="0" b="0" l="0"/>
            <wp:docPr id="1"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600325"/>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Administration modes.</w:t>
      </w:r>
    </w:p>
    <w:p>
      <w:pPr>
        <w:pStyle w:val="ListParagraph"/>
        <w:numPr>
          <w:ilvl w:val="0"/>
          <w:numId w:val="5"/>
        </w:numPr>
        <w:spacing w:after="80" w:line="276"/>
      </w:pPr>
      <w:r>
        <w:t xml:space="preserve">Review </w:t>
      </w:r>
      <w:r>
        <w:rPr>
          <w:b/>
          <w:bCs/>
        </w:rPr>
        <w:t xml:space="preserve">Time to complete the questionnaire</w:t>
      </w:r>
      <w:r>
        <w:t xml:space="preserve"> and </w:t>
      </w:r>
      <w:r>
        <w:rPr>
          <w:b/>
          <w:bCs/>
        </w:rPr>
        <w:t xml:space="preserve">QA outcomes</w:t>
      </w:r>
      <w:r>
        <w:t xml:space="preserve">. Very short or very long completions are what the QA duration rules flag.</w:t>
      </w:r>
    </w:p>
    <w:p>
      <w:pPr>
        <w:keepNext/>
        <w:spacing w:after="40" w:before="80"/>
        <w:jc w:val="center"/>
      </w:pPr>
      <w:r>
        <w:drawing>
          <wp:inline distT="0" distB="0" distL="0" distR="0">
            <wp:extent cx="5334000" cy="2905125"/>
            <wp:effectExtent t="0" r="0" b="0" l="0"/>
            <wp:docPr id="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Completion-time distribution.</w:t>
      </w:r>
    </w:p>
    <w:p>
      <w:pPr>
        <w:spacing w:after="80"/>
      </w:pPr>
    </w:p>
    <w:p>
      <w:pPr>
        <w:spacing w:after="120" w:line="288"/>
      </w:pPr>
      <w:r>
        <w:t xml:space="preserve">Reports show counts and rates only — never names or answers — so they are safe to discuss with supervisors.</w:t>
      </w:r>
    </w:p>
    <w:p>
      <w:pPr>
        <w:pStyle w:val="Heading2"/>
      </w:pPr>
      <w:r>
        <w:t xml:space="preserve">4.3 Moving cases through verification (bulk)</w:t>
      </w:r>
    </w:p>
    <w:p>
      <w:pPr>
        <w:spacing w:after="120" w:line="288"/>
      </w:pPr>
      <w:r>
        <w:t xml:space="preserve">Every Main case must reach </w:t>
      </w:r>
      <w:r>
        <w:rPr>
          <w:b/>
          <w:bCs/>
        </w:rPr>
        <w:t xml:space="preserve">S03 Eligible respondent identified</w:t>
      </w:r>
      <w:r>
        <w:t xml:space="preserve"> before it is invited, otherwise its status will not follow the respondent and no reminders are offered. Verification (S00 → S01 → S02 → S03) can be done for all cases at a step at once.</w:t>
      </w:r>
    </w:p>
    <w:p>
      <w:pPr>
        <w:pStyle w:val="ListParagraph"/>
        <w:numPr>
          <w:ilvl w:val="0"/>
          <w:numId w:val="6"/>
        </w:numPr>
        <w:spacing w:after="80" w:line="276"/>
      </w:pPr>
      <w:r>
        <w:t xml:space="preserve">Open </w:t>
      </w:r>
      <w:r>
        <w:rPr>
          <w:b/>
          <w:bCs/>
        </w:rPr>
        <w:t xml:space="preserve">Main-400 Register</w:t>
      </w:r>
      <w:r>
        <w:t xml:space="preserve">.</w:t>
      </w:r>
    </w:p>
    <w:p>
      <w:pPr>
        <w:pStyle w:val="ListParagraph"/>
        <w:numPr>
          <w:ilvl w:val="0"/>
          <w:numId w:val="6"/>
        </w:numPr>
        <w:spacing w:after="80" w:line="276"/>
      </w:pPr>
      <w:r>
        <w:t xml:space="preserve">In </w:t>
      </w:r>
      <w:r>
        <w:rPr>
          <w:b/>
          <w:bCs/>
        </w:rPr>
        <w:t xml:space="preserve">Move cases through verification</w:t>
      </w:r>
      <w:r>
        <w:t xml:space="preserve">, choose the step, for example </w:t>
      </w:r>
      <w:r>
        <w:rPr>
          <w:b/>
          <w:bCs/>
        </w:rPr>
        <w:t xml:space="preserve">S00 Selected → S01 Verification required</w:t>
      </w:r>
      <w:r>
        <w:t xml:space="preserve">. The button shows how many Main cases are at that step, e.g. </w:t>
      </w:r>
      <w:r>
        <w:rPr>
          <w:b/>
          <w:bCs/>
        </w:rPr>
        <w:t xml:space="preserve">Move all 48</w:t>
      </w:r>
      <w:r>
        <w:t xml:space="preserve">.</w:t>
      </w:r>
    </w:p>
    <w:p>
      <w:pPr>
        <w:keepNext/>
        <w:spacing w:after="40" w:before="80"/>
        <w:jc w:val="center"/>
      </w:pPr>
      <w:r>
        <w:drawing>
          <wp:inline distT="0" distB="0" distL="0" distR="0">
            <wp:extent cx="5334000" cy="609600"/>
            <wp:effectExtent t="0" r="0" b="0" l="0"/>
            <wp:docPr id="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609600"/>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The bulk verification tool on the register.</w:t>
      </w:r>
    </w:p>
    <w:p>
      <w:pPr>
        <w:pStyle w:val="ListParagraph"/>
        <w:numPr>
          <w:ilvl w:val="0"/>
          <w:numId w:val="6"/>
        </w:numPr>
        <w:spacing w:after="80" w:line="276"/>
      </w:pPr>
      <w:r>
        <w:t xml:space="preserve">Select the button and confirm. Each case is moved individually and each move is written to the audit log under your name.</w:t>
      </w:r>
    </w:p>
    <w:p>
      <w:pPr>
        <w:pStyle w:val="ListParagraph"/>
        <w:numPr>
          <w:ilvl w:val="0"/>
          <w:numId w:val="6"/>
        </w:numPr>
        <w:spacing w:after="80" w:line="276"/>
      </w:pPr>
      <w:r>
        <w:t xml:space="preserve">Repeat for </w:t>
      </w:r>
      <w:r>
        <w:rPr>
          <w:b/>
          <w:bCs/>
        </w:rPr>
        <w:t xml:space="preserve">S01 → S02</w:t>
      </w:r>
      <w:r>
        <w:t xml:space="preserve"> and </w:t>
      </w:r>
      <w:r>
        <w:rPr>
          <w:b/>
          <w:bCs/>
        </w:rPr>
        <w:t xml:space="preserve">S02 → S03</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verification is bulk</w:t>
            </w:r>
          </w:p>
          <w:p>
            <w:pPr>
              <w:spacing w:after="40" w:line="264"/>
            </w:pPr>
            <w:r>
              <w:rPr>
                <w:sz w:val="19"/>
                <w:szCs w:val="19"/>
              </w:rPr>
              <w:t xml:space="preserve">Statuses from S04 onwards follow real events (invitation sent, link opened, questionnaire submitted, QA decision) or an individual decision on the case page. They are never changed in bulk.</w:t>
            </w:r>
          </w:p>
        </w:tc>
      </w:tr>
    </w:tbl>
    <w:p>
      <w:pPr>
        <w:pStyle w:val="Heading2"/>
      </w:pPr>
      <w:r>
        <w:t xml:space="preserve">4.4 Reassigning cases between Contact RAs</w:t>
      </w:r>
    </w:p>
    <w:p>
      <w:pPr>
        <w:spacing w:after="120" w:line="288"/>
      </w:pPr>
      <w:r>
        <w:t xml:space="preserve">Use </w:t>
      </w:r>
      <w:r>
        <w:rPr>
          <w:b/>
          <w:bCs/>
        </w:rPr>
        <w:t xml:space="preserve">Reassign cases</w:t>
      </w:r>
      <w:r>
        <w:t xml:space="preserve"> on the Main-400 Register to hand many cases to a Contact RA at once — for example when new RAs start, or when an RA leaves. For a single case, use </w:t>
      </w:r>
      <w:r>
        <w:rPr>
          <w:b/>
          <w:bCs/>
        </w:rPr>
        <w:t xml:space="preserve">Assigned Contact RA</w:t>
      </w:r>
      <w:r>
        <w:t xml:space="preserve"> on the case page.</w:t>
      </w:r>
    </w:p>
    <w:p>
      <w:pPr>
        <w:pStyle w:val="ListParagraph"/>
        <w:numPr>
          <w:ilvl w:val="0"/>
          <w:numId w:val="7"/>
        </w:numPr>
        <w:spacing w:after="80" w:line="276"/>
      </w:pPr>
      <w:r>
        <w:t xml:space="preserve">Open </w:t>
      </w:r>
      <w:r>
        <w:rPr>
          <w:b/>
          <w:bCs/>
        </w:rPr>
        <w:t xml:space="preserve">Main-400 Register</w:t>
      </w:r>
      <w:r>
        <w:t xml:space="preserve"> and find </w:t>
      </w:r>
      <w:r>
        <w:rPr>
          <w:b/>
          <w:bCs/>
        </w:rPr>
        <w:t xml:space="preserve">Reassign cases</w:t>
      </w:r>
      <w:r>
        <w:t xml:space="preserve"> (below the verification tool).</w:t>
      </w:r>
    </w:p>
    <w:p>
      <w:pPr>
        <w:pStyle w:val="ListParagraph"/>
        <w:numPr>
          <w:ilvl w:val="0"/>
          <w:numId w:val="7"/>
        </w:numPr>
        <w:spacing w:after="80" w:line="276"/>
      </w:pPr>
      <w:r>
        <w:t xml:space="preserve">Choose </w:t>
      </w:r>
      <w:r>
        <w:rPr>
          <w:b/>
          <w:bCs/>
        </w:rPr>
        <w:t xml:space="preserve">From</w:t>
      </w:r>
      <w:r>
        <w:t xml:space="preserve"> (Anyone, Unassigned, or a Contact RA), a </w:t>
      </w:r>
      <w:r>
        <w:rPr>
          <w:b/>
          <w:bCs/>
        </w:rPr>
        <w:t xml:space="preserve">Province</w:t>
      </w:r>
      <w:r>
        <w:t xml:space="preserve"> or All provinces, and </w:t>
      </w:r>
      <w:r>
        <w:rPr>
          <w:b/>
          <w:bCs/>
        </w:rPr>
        <w:t xml:space="preserve">To</w:t>
      </w:r>
      <w:r>
        <w:t xml:space="preserve"> (the Contact RA receiving the cases, or Nobody to unassign).</w:t>
      </w:r>
    </w:p>
    <w:p>
      <w:pPr>
        <w:keepNext/>
        <w:spacing w:after="40" w:before="80"/>
        <w:jc w:val="center"/>
      </w:pPr>
      <w:r>
        <w:drawing>
          <wp:inline distT="0" distB="0" distL="0" distR="0">
            <wp:extent cx="5334000" cy="771525"/>
            <wp:effectExtent t="0" r="0" b="0" l="0"/>
            <wp:docPr id="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771525"/>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Reassign cases: the button shows how many cases will move.</w:t>
      </w:r>
    </w:p>
    <w:p>
      <w:pPr>
        <w:pStyle w:val="ListParagraph"/>
        <w:numPr>
          <w:ilvl w:val="0"/>
          <w:numId w:val="7"/>
        </w:numPr>
        <w:spacing w:after="80" w:line="276"/>
      </w:pPr>
      <w:r>
        <w:t xml:space="preserve">To split a large province, type a number in </w:t>
      </w:r>
      <w:r>
        <w:rPr>
          <w:b/>
          <w:bCs/>
        </w:rPr>
        <w:t xml:space="preserve">How many</w:t>
      </w:r>
      <w:r>
        <w:t xml:space="preserve">. Cases move in Sample ID order, so move part of the province to one RA, then the rest to the next.</w:t>
      </w:r>
    </w:p>
    <w:p>
      <w:pPr>
        <w:pStyle w:val="ListParagraph"/>
        <w:numPr>
          <w:ilvl w:val="0"/>
          <w:numId w:val="7"/>
        </w:numPr>
        <w:spacing w:after="80" w:line="276"/>
      </w:pPr>
      <w:r>
        <w:t xml:space="preserve">Select </w:t>
      </w:r>
      <w:r>
        <w:rPr>
          <w:b/>
          <w:bCs/>
        </w:rPr>
        <w:t xml:space="preserve">Move N cases</w:t>
      </w:r>
      <w:r>
        <w:t xml:space="preserve"> and confirm. The move is written to the audit log with every Sample ID.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RA sees</w:t>
            </w:r>
          </w:p>
          <w:p>
            <w:pPr>
              <w:spacing w:after="40" w:line="264"/>
            </w:pPr>
            <w:r>
              <w:rPr>
                <w:sz w:val="19"/>
                <w:szCs w:val="19"/>
              </w:rPr>
              <w:t xml:space="preserve">A Contact RA sees only the cases assigned to them, including on Follow-ups. Reassigning a case moves its reminders with it.</w:t>
            </w:r>
          </w:p>
        </w:tc>
      </w:tr>
    </w:tbl>
    <w:p>
      <w:pPr>
        <w:pStyle w:val="Heading2"/>
      </w:pPr>
      <w:r>
        <w:t xml:space="preserve">4.5 Pairing a Main case with its Reserve, and assigning a Contact RA</w:t>
      </w:r>
    </w:p>
    <w:p>
      <w:pPr>
        <w:pStyle w:val="ListParagraph"/>
        <w:numPr>
          <w:ilvl w:val="0"/>
          <w:numId w:val="8"/>
        </w:numPr>
        <w:spacing w:after="80" w:line="276"/>
      </w:pPr>
      <w:r>
        <w:t xml:space="preserve">Open the Main case (</w:t>
      </w:r>
      <w:r>
        <w:rPr>
          <w:b/>
          <w:bCs/>
        </w:rPr>
        <w:t xml:space="preserve">Main-400 Register → View</w:t>
      </w:r>
      <w:r>
        <w:t xml:space="preserve">).</w:t>
      </w:r>
    </w:p>
    <w:p>
      <w:pPr>
        <w:pStyle w:val="ListParagraph"/>
        <w:numPr>
          <w:ilvl w:val="0"/>
          <w:numId w:val="8"/>
        </w:numPr>
        <w:spacing w:after="80" w:line="276"/>
      </w:pPr>
      <w:r>
        <w:t xml:space="preserve">In </w:t>
      </w:r>
      <w:r>
        <w:rPr>
          <w:b/>
          <w:bCs/>
        </w:rPr>
        <w:t xml:space="preserve">Assigned Contact RA</w:t>
      </w:r>
      <w:r>
        <w:t xml:space="preserve">, choose the RA from the list. The change saves straight away and shows </w:t>
      </w:r>
      <w:r>
        <w:rPr>
          <w:b/>
          <w:bCs/>
        </w:rPr>
        <w:t xml:space="preserve">Currently: &lt;name&gt;</w:t>
      </w:r>
      <w:r>
        <w:t xml:space="preserve">. That RA now sees the case; other Contact RAs do not.</w:t>
      </w:r>
    </w:p>
    <w:p>
      <w:pPr>
        <w:keepNext/>
        <w:spacing w:after="40" w:before="80"/>
        <w:jc w:val="center"/>
      </w:pPr>
      <w:r>
        <w:drawing>
          <wp:inline distT="0" distB="0" distL="0" distR="0">
            <wp:extent cx="5334000" cy="581025"/>
            <wp:effectExtent t="0" r="0" b="0" l="0"/>
            <wp:docPr id="1"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581025"/>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Assigned Contact RA.</w:t>
      </w:r>
    </w:p>
    <w:p>
      <w:pPr>
        <w:pStyle w:val="ListParagraph"/>
        <w:numPr>
          <w:ilvl w:val="0"/>
          <w:numId w:val="8"/>
        </w:numPr>
        <w:spacing w:after="80" w:line="276"/>
      </w:pPr>
      <w:r>
        <w:t xml:space="preserve">In </w:t>
      </w:r>
      <w:r>
        <w:rPr>
          <w:b/>
          <w:bCs/>
        </w:rPr>
        <w:t xml:space="preserve">Matched Reserve case</w:t>
      </w:r>
      <w:r>
        <w:t xml:space="preserve">, choose the Reserve. Only locked Reserves not already paired are offered, same-stratum ones first. A cross-stratum choice is allowed but flagged in the audit log.</w:t>
      </w:r>
    </w:p>
    <w:p>
      <w:pPr>
        <w:keepNext/>
        <w:spacing w:after="40" w:before="80"/>
        <w:jc w:val="center"/>
      </w:pPr>
      <w:r>
        <w:drawing>
          <wp:inline distT="0" distB="0" distL="0" distR="0">
            <wp:extent cx="5334000" cy="685800"/>
            <wp:effectExtent t="0" r="0" b="0" l="0"/>
            <wp:docPr id="1"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685800"/>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Matched Reserve case.</w:t>
      </w:r>
    </w:p>
    <w:p>
      <w:pPr>
        <w:spacing w:after="80"/>
      </w:pPr>
    </w:p>
    <w:p>
      <w:pPr>
        <w:pStyle w:val="Heading2"/>
      </w:pPr>
      <w:r>
        <w:t xml:space="preserve">4.6 Finding contact details with AI</w:t>
      </w:r>
    </w:p>
    <w:p>
      <w:pPr>
        <w:spacing w:after="120" w:line="288"/>
      </w:pPr>
      <w:r>
        <w:t xml:space="preserve">Many cases have no phone, WhatsApp or email on file, so they cannot be invited. The contact finder searches public sources for an organisation's </w:t>
      </w:r>
      <w:r>
        <w:rPr>
          <w:b/>
          <w:bCs/>
        </w:rPr>
        <w:t xml:space="preserve">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pPr>
        <w:pStyle w:val="Heading3"/>
      </w:pPr>
      <w:r>
        <w:t xml:space="preserve">For one case</w:t>
      </w:r>
    </w:p>
    <w:p>
      <w:pPr>
        <w:pStyle w:val="ListParagraph"/>
        <w:numPr>
          <w:ilvl w:val="0"/>
          <w:numId w:val="9"/>
        </w:numPr>
        <w:spacing w:after="80" w:line="276"/>
      </w:pPr>
      <w:r>
        <w:t xml:space="preserve">Open the case (</w:t>
      </w:r>
      <w:r>
        <w:rPr>
          <w:b/>
          <w:bCs/>
        </w:rPr>
        <w:t xml:space="preserve">Main-400 Register → View</w:t>
      </w:r>
      <w:r>
        <w:t xml:space="preserve">) and find </w:t>
      </w:r>
      <w:r>
        <w:rPr>
          <w:b/>
          <w:bCs/>
        </w:rPr>
        <w:t xml:space="preserve">Find contact details with AI</w:t>
      </w:r>
      <w:r>
        <w:t xml:space="preserve">.</w:t>
      </w:r>
    </w:p>
    <w:p>
      <w:pPr>
        <w:pStyle w:val="ListParagraph"/>
        <w:numPr>
          <w:ilvl w:val="0"/>
          <w:numId w:val="9"/>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and says how many; it starts by itself. You can leave the page and come back.</w:t>
      </w:r>
    </w:p>
    <w:p>
      <w:pPr>
        <w:pStyle w:val="ListParagraph"/>
        <w:numPr>
          <w:ilvl w:val="0"/>
          <w:numId w:val="9"/>
        </w:numPr>
        <w:spacing w:after="80" w:line="276"/>
      </w:pPr>
      <w:r>
        <w:t xml:space="preserve">Under </w:t>
      </w:r>
      <w:r>
        <w:rPr>
          <w:b/>
          <w:bCs/>
        </w:rPr>
        <w:t xml:space="preserve">To review</w:t>
      </w:r>
      <w:r>
        <w:t xml:space="preserve">, each finding shows what was found, a confidence level, and the page it came from with the passage that shows it. Select the page title to open it and check it is the right organisation.</w:t>
      </w:r>
    </w:p>
    <w:p>
      <w:pPr>
        <w:pStyle w:val="ListParagraph"/>
        <w:numPr>
          <w:ilvl w:val="0"/>
          <w:numId w:val="9"/>
        </w:numPr>
        <w:spacing w:after="80" w:line="276"/>
      </w:pPr>
      <w:r>
        <w:t xml:space="preserve">Decide on each one:</w:t>
      </w:r>
    </w:p>
    <w:p>
      <w:pPr>
        <w:pStyle w:val="ListParagraph"/>
        <w:numPr>
          <w:ilvl w:val="1"/>
          <w:numId w:val="2"/>
        </w:numPr>
        <w:spacing w:after="40"/>
      </w:pPr>
      <w:r>
        <w:t xml:space="preserve">An organisation </w:t>
      </w:r>
      <w:r>
        <w:rPr>
          <w:b/>
          <w:bCs/>
        </w:rPr>
        <w:t xml:space="preserve">phone</w:t>
      </w:r>
      <w:r>
        <w:t xml:space="preserve"> or </w:t>
      </w:r>
      <w:r>
        <w:rPr>
          <w:b/>
          <w:bCs/>
        </w:rPr>
        <w:t xml:space="preserve">email</w:t>
      </w:r>
      <w:r>
        <w:t xml:space="preserve">: </w:t>
      </w:r>
      <w:r>
        <w:rPr>
          <w:b/>
          <w:bCs/>
        </w:rPr>
        <w:t xml:space="preserve">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 xml:space="preserve">Respondents and contact details</w:t>
      </w:r>
      <w:r>
        <w:t xml:space="preserve"> instead.</w:t>
      </w:r>
    </w:p>
    <w:p>
      <w:pPr>
        <w:pStyle w:val="ListParagraph"/>
        <w:numPr>
          <w:ilvl w:val="1"/>
          <w:numId w:val="2"/>
        </w:numPr>
        <w:spacing w:after="40"/>
      </w:pPr>
      <w:r>
        <w:t xml:space="preserve">A </w:t>
      </w:r>
      <w:r>
        <w:rPr>
          <w:b/>
          <w:bCs/>
        </w:rPr>
        <w:t xml:space="preserve">named person</w:t>
      </w:r>
      <w:r>
        <w:t xml:space="preserve">: choose their </w:t>
      </w:r>
      <w:r>
        <w:rPr>
          <w:b/>
          <w:bCs/>
        </w:rPr>
        <w:t xml:space="preserve">Role</w:t>
      </w:r>
      <w:r>
        <w:t xml:space="preserve"> if the page shows it, then </w:t>
      </w:r>
      <w:r>
        <w:rPr>
          <w:b/>
          <w:bCs/>
        </w:rPr>
        <w:t xml:space="preserve">Accept</w:t>
      </w:r>
      <w:r>
        <w:t xml:space="preserve">. They become a new respondent, marked not yet screened. Screen them for eligibility before inviting.</w:t>
      </w:r>
    </w:p>
    <w:p>
      <w:pPr>
        <w:pStyle w:val="ListParagraph"/>
        <w:numPr>
          <w:ilvl w:val="1"/>
          <w:numId w:val="2"/>
        </w:numPr>
        <w:spacing w:after="40"/>
      </w:pPr>
      <w:r>
        <w:t xml:space="preserve">A </w:t>
      </w:r>
      <w:r>
        <w:rPr>
          <w:b/>
          <w:bCs/>
        </w:rPr>
        <w:t xml:space="preserve">website</w:t>
      </w:r>
      <w:r>
        <w:t xml:space="preserve"> or </w:t>
      </w:r>
      <w:r>
        <w:rPr>
          <w:b/>
          <w:bCs/>
        </w:rPr>
        <w:t xml:space="preserve">office location</w:t>
      </w:r>
      <w:r>
        <w:t xml:space="preserve"> found by an earlier search (before 6 October 2026) can still be accepted; it is kept with the organisation and shown at the top of the panel. New searches no longer propose them.</w:t>
      </w:r>
    </w:p>
    <w:p>
      <w:pPr>
        <w:pStyle w:val="ListParagraph"/>
        <w:numPr>
          <w:ilvl w:val="1"/>
          <w:numId w:val="2"/>
        </w:numPr>
        <w:spacing w:after="40"/>
      </w:pPr>
      <w:r>
        <w:rPr>
          <w:b/>
          <w:bCs/>
        </w:rPr>
        <w:t xml:space="preserve">Reject</w:t>
      </w:r>
      <w:r>
        <w:t xml:space="preserve"> anything that belongs to a different organisation with a similar name, or that you cannot confirm on the page.</w:t>
      </w:r>
    </w:p>
    <w:p>
      <w:pPr>
        <w:pStyle w:val="ListParagraph"/>
        <w:numPr>
          <w:ilvl w:val="0"/>
          <w:numId w:val="9"/>
        </w:numPr>
        <w:spacing w:after="80" w:line="276"/>
      </w:pPr>
      <w:r>
        <w:t xml:space="preserve">When the case has a confirmed eligible respondent and a number, verify it to </w:t>
      </w:r>
      <w:r>
        <w:rPr>
          <w:b/>
          <w:bCs/>
        </w:rPr>
        <w:t xml:space="preserve">S03</w:t>
      </w:r>
      <w:r>
        <w:t xml:space="preserve"> and invite it as usual.</w:t>
      </w:r>
    </w:p>
    <w:p>
      <w:pPr>
        <w:spacing w:after="80"/>
      </w:pPr>
    </w:p>
    <w:p>
      <w:pPr>
        <w:pStyle w:val="Heading3"/>
      </w:pPr>
      <w:r>
        <w:t xml:space="preserve">For many cases at once (coordinator and PI)</w:t>
      </w:r>
    </w:p>
    <w:p>
      <w:pPr>
        <w:pStyle w:val="ListParagraph"/>
        <w:numPr>
          <w:ilvl w:val="0"/>
          <w:numId w:val="10"/>
        </w:numPr>
        <w:spacing w:after="80" w:line="276"/>
      </w:pPr>
      <w:r>
        <w:t xml:space="preserve">Open </w:t>
      </w:r>
      <w:r>
        <w:rPr>
          <w:b/>
          <w:bCs/>
        </w:rPr>
        <w:t xml:space="preserve">Main-400 Register</w:t>
      </w:r>
      <w:r>
        <w:t xml:space="preserve">. The </w:t>
      </w:r>
      <w:r>
        <w:rPr>
          <w:b/>
          <w:bCs/>
        </w:rPr>
        <w:t xml:space="preserve">Find contact details with AI</w:t>
      </w:r>
      <w:r>
        <w:t xml:space="preserve"> panel says how many cases not yet invited have no phone, WhatsApp or email, and the rough cost per case.</w:t>
      </w:r>
    </w:p>
    <w:p>
      <w:pPr>
        <w:pStyle w:val="ListParagraph"/>
        <w:numPr>
          <w:ilvl w:val="0"/>
          <w:numId w:val="10"/>
        </w:numPr>
        <w:spacing w:after="80" w:line="276"/>
      </w:pPr>
      <w:r>
        <w:t xml:space="preserve">Type a number in </w:t>
      </w:r>
      <w:r>
        <w:rPr>
          <w:b/>
          <w:bCs/>
        </w:rPr>
        <w:t xml:space="preserve">How many cases</w:t>
      </w:r>
      <w:r>
        <w:t xml:space="preserve"> (up to 25 at a time) and select </w:t>
      </w:r>
      <w:r>
        <w:rPr>
          <w:b/>
          <w:bCs/>
        </w:rPr>
        <w:t xml:space="preserve">Find contacts</w:t>
      </w:r>
      <w:r>
        <w:t xml:space="preserve">. Cases are searched in Sample ID order; a case searched in the last 30 days is skipped.</w:t>
      </w:r>
    </w:p>
    <w:p>
      <w:pPr>
        <w:pStyle w:val="ListParagraph"/>
        <w:numPr>
          <w:ilvl w:val="0"/>
          <w:numId w:val="10"/>
        </w:numPr>
        <w:spacing w:after="80" w:line="276"/>
      </w:pPr>
      <w:r>
        <w:t xml:space="preserve">The searches run one at a time, about a minute each, so a batch of 25 takes around half an hour. The panel shows the progress, for example “Batch in progress: 6 done, 1 searching now, 18 waiting (of 25)”. Only one batch runs at a time: start the next when this one has finished.</w:t>
      </w:r>
    </w:p>
    <w:p>
      <w:pPr>
        <w:pStyle w:val="ListParagraph"/>
        <w:numPr>
          <w:ilvl w:val="0"/>
          <w:numId w:val="10"/>
        </w:numPr>
        <w:spacing w:after="80" w:line="276"/>
      </w:pPr>
      <w:r>
        <w:t xml:space="preserve">Under </w:t>
      </w:r>
      <w:r>
        <w:rPr>
          <w:b/>
          <w:bCs/>
        </w:rPr>
        <w:t xml:space="preserve">Findings to review</w:t>
      </w:r>
      <w:r>
        <w:t xml:space="preserve">, the panel lists every case whose findings are waiting for a decision. Select </w:t>
      </w:r>
      <w:r>
        <w:rPr>
          <w:b/>
          <w:bCs/>
        </w:rPr>
        <w:t xml:space="preserve">Review N findings</w:t>
      </w:r>
      <w:r>
        <w:t xml:space="preserve"> to open the case and accept or reject them: a batch never saves anything by itself.</w:t>
      </w:r>
    </w:p>
    <w:p>
      <w:pPr>
        <w:spacing w:after="80"/>
      </w:pPr>
    </w:p>
    <w:p>
      <w:pPr>
        <w:pStyle w:val="Heading3"/>
      </w:pPr>
      <w:r>
        <w:t xml:space="preserve">Reviewing many findings at once (coordinator and PI)</w:t>
      </w:r>
    </w:p>
    <w:p>
      <w:pPr>
        <w:pStyle w:val="ListParagraph"/>
        <w:numPr>
          <w:ilvl w:val="0"/>
          <w:numId w:val="11"/>
        </w:numPr>
        <w:spacing w:after="80" w:line="276"/>
      </w:pPr>
      <w:r>
        <w:t xml:space="preserve">On the register, under </w:t>
      </w:r>
      <w:r>
        <w:rPr>
          <w:b/>
          <w:bCs/>
        </w:rPr>
        <w:t xml:space="preserve">Findings to review</w:t>
      </w:r>
      <w:r>
        <w:t xml:space="preserve">, select </w:t>
      </w:r>
      <w:r>
        <w:rPr>
          <w:b/>
          <w:bCs/>
        </w:rPr>
        <w:t xml:space="preserve">Review them all on one page</w:t>
      </w:r>
      <w:r>
        <w:t xml:space="preserve">. Every waiting finding is listed, grouped by case, with its confidence, the site it came from and the passage quoted from that page.</w:t>
      </w:r>
    </w:p>
    <w:p>
      <w:pPr>
        <w:pStyle w:val="ListParagraph"/>
        <w:numPr>
          <w:ilvl w:val="0"/>
          <w:numId w:val="11"/>
        </w:numPr>
        <w:spacing w:after="80" w:line="276"/>
      </w:pPr>
      <w:r>
        <w:t xml:space="preserve">Use the filters to work in the most useful order. </w:t>
      </w:r>
      <w:r>
        <w:rPr>
          <w:b/>
          <w:bCs/>
        </w:rPr>
        <w:t xml:space="preserve">Phones</w:t>
      </w:r>
      <w:r>
        <w:t xml:space="preserve"> and </w:t>
      </w:r>
      <w:r>
        <w:rPr>
          <w:b/>
          <w:bCs/>
        </w:rPr>
        <w:t xml:space="preserve">Emails</w:t>
      </w:r>
      <w:r>
        <w:t xml:space="preserve"> are chosen to begin with, because they are what an invitation needs; add </w:t>
      </w:r>
      <w:r>
        <w:rPr>
          <w:b/>
          <w:bCs/>
        </w:rPr>
        <w:t xml:space="preserve">Named people</w:t>
      </w:r>
      <w:r>
        <w:t xml:space="preserve">, </w:t>
      </w:r>
      <w:r>
        <w:rPr>
          <w:b/>
          <w:bCs/>
        </w:rPr>
        <w:t xml:space="preserve">Websites</w:t>
      </w:r>
      <w:r>
        <w:t xml:space="preserve"> or </w:t>
      </w:r>
      <w:r>
        <w:rPr>
          <w:b/>
          <w:bCs/>
        </w:rPr>
        <w:t xml:space="preserve">Office locations</w:t>
      </w:r>
      <w:r>
        <w:t xml:space="preserve"> later. Choose </w:t>
      </w:r>
      <w:r>
        <w:rPr>
          <w:b/>
          <w:bCs/>
        </w:rPr>
        <w:t xml:space="preserve">High</w:t>
      </w:r>
      <w:r>
        <w:t xml:space="preserve"> confidence to start with the strongest, or pick a </w:t>
      </w:r>
      <w:r>
        <w:rPr>
          <w:b/>
          <w:bCs/>
        </w:rPr>
        <w:t xml:space="preserve">Source site</w:t>
      </w:r>
      <w:r>
        <w:t xml:space="preserve"> to judge one site's findings together.</w:t>
      </w:r>
    </w:p>
    <w:p>
      <w:pPr>
        <w:pStyle w:val="ListParagraph"/>
        <w:numPr>
          <w:ilvl w:val="0"/>
          <w:numId w:val="11"/>
        </w:numPr>
        <w:spacing w:after="80" w:line="276"/>
      </w:pPr>
      <w:r>
        <w:t xml:space="preserve">For each finding, read the quote (select the title to open the page if in doubt), then </w:t>
      </w:r>
      <w:r>
        <w:rPr>
          <w:b/>
          <w:bCs/>
        </w:rPr>
        <w:t xml:space="preserve">Accept</w:t>
      </w:r>
      <w:r>
        <w:t xml:space="preserve"> or </w:t>
      </w:r>
      <w:r>
        <w:rPr>
          <w:b/>
          <w:bCs/>
        </w:rPr>
        <w:t xml:space="preserve">Reject</w:t>
      </w:r>
      <w:r>
        <w:t xml:space="preserve">. For a named person, choose their </w:t>
      </w:r>
      <w:r>
        <w:rPr>
          <w:b/>
          <w:bCs/>
        </w:rPr>
        <w:t xml:space="preserve">Role</w:t>
      </w:r>
      <w:r>
        <w:t xml:space="preserve"> first.</w:t>
      </w:r>
    </w:p>
    <w:p>
      <w:pPr>
        <w:pStyle w:val="ListParagraph"/>
        <w:numPr>
          <w:ilvl w:val="0"/>
          <w:numId w:val="11"/>
        </w:numPr>
        <w:spacing w:after="80" w:line="276"/>
      </w:pPr>
      <w:r>
        <w:t xml:space="preserve">When everything shown for a case is right, </w:t>
      </w:r>
      <w:r>
        <w:rPr>
          <w:b/>
          <w:bCs/>
        </w:rPr>
        <w:t xml:space="preserve">Accept all N shown</w:t>
      </w:r>
      <w:r>
        <w:t xml:space="preserve"> accepts them in one go. It is not offered when a case shows more than one phone or more than one email (choose the right one) or a named person (accept with a role). </w:t>
      </w:r>
      <w:r>
        <w:rPr>
          <w:b/>
          <w:bCs/>
        </w:rPr>
        <w:t xml:space="preserve">Reject all shown</w:t>
      </w:r>
      <w:r>
        <w:t xml:space="preserve"> asks you to confirm first.</w:t>
      </w:r>
    </w:p>
    <w:p>
      <w:pPr>
        <w:pStyle w:val="ListParagraph"/>
        <w:numPr>
          <w:ilvl w:val="0"/>
          <w:numId w:val="11"/>
        </w:numPr>
        <w:spacing w:after="80" w:line="276"/>
      </w:pPr>
      <w:r>
        <w:t xml:space="preserve">Decided findings disappear from the list. Each decision is recorded in the audit log under your name, exactly as on the case page.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search is a paid request on the study's AI account, about USD 0.05–0.15 per organisation. The batch panel shows the estimate before you start.</w:t>
            </w:r>
          </w:p>
        </w:tc>
      </w:tr>
    </w:tbl>
    <w:p>
      <w:pPr>
        <w:pStyle w:val="Heading3"/>
      </w:pPr>
      <w:r>
        <w:t xml:space="preserve">Importing background research done in ChatGPT</w:t>
      </w:r>
    </w:p>
    <w:p>
      <w:pPr>
        <w:spacing w:after="120" w:line="288"/>
      </w:pPr>
      <w:r>
        <w:t xml:space="preserve">If you researched businesses in ChatGPT with the Main-400 research pack (its Fill A Contacts and Fill B PROIT facts sheets), the PI or Field Coordinator can load the returned Excel file in one go, on the </w:t>
      </w:r>
      <w:r>
        <w:rPr>
          <w:b/>
          <w:bCs/>
        </w:rPr>
        <w:t xml:space="preserve">Main-400 Register</w:t>
      </w:r>
      <w:r>
        <w:t xml:space="preserve"> under </w:t>
      </w:r>
      <w:r>
        <w:rPr>
          <w:b/>
          <w:bCs/>
        </w:rPr>
        <w:t xml:space="preserve">Import background research (ChatGPT workbook)</w:t>
      </w:r>
      <w:r>
        <w:t xml:space="preserve">: choose the file, </w:t>
      </w:r>
      <w:r>
        <w:rPr>
          <w:b/>
          <w:bCs/>
        </w:rPr>
        <w:t xml:space="preserve">Check file</w:t>
      </w:r>
      <w:r>
        <w:t xml:space="preserve"> (nothing is saved), then </w:t>
      </w:r>
      <w:r>
        <w:rPr>
          <w:b/>
          <w:bCs/>
        </w:rPr>
        <w:t xml:space="preserve">Import N records</w:t>
      </w:r>
      <w:r>
        <w:t xml:space="preserve">. Contacts become suggestions under </w:t>
      </w:r>
      <w:r>
        <w:rPr>
          <w:b/>
          <w:bCs/>
        </w:rPr>
        <w:t xml:space="preserve">Find contact details with AI → To review</w:t>
      </w:r>
      <w:r>
        <w:t xml:space="preserve"> on each case, and facts become PROIT findings under </w:t>
      </w:r>
      <w:r>
        <w:rPr>
          <w:b/>
          <w:bCs/>
        </w:rPr>
        <w:t xml:space="preserve">Pre-Interview Profile (PROIT) → AI research → To review</w:t>
      </w:r>
      <w:r>
        <w:t xml:space="preserve">. Nothing reaches a case until you accept it; a locked Reserve and a locked profile are never touched, and importing the same file again adds nothing. Accepting the owner or manager adds them as a respondent; verify the case (S03) as usual before inviting it.</w:t>
      </w: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what an organisation publishes about itself</w:t>
            </w:r>
          </w:p>
          <w:p>
            <w:pPr>
              <w:spacing w:after="40" w:line="264"/>
            </w:pPr>
            <w:r>
              <w:rPr>
                <w:sz w:val="19"/>
                <w:szCs w:val="19"/>
              </w:rPr>
              <w:t xml:space="preserve">Only the organisation's name, province, district and value chain are sent to the AI provider. Never a respondent's name or any contact detail already on file.</w:t>
            </w:r>
          </w:p>
          <w:p>
            <w:pPr>
              <w:spacing w:after="40" w:line="264"/>
            </w:pPr>
            <w:r>
              <w:rPr>
                <w:sz w:val="19"/>
                <w:szCs w:val="19"/>
              </w:rPr>
              <w:t xml:space="preserve">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pPr>
              <w:spacing w:after="40" w:line="264"/>
            </w:pPr>
            <w:r>
              <w:rPr>
                <w:sz w:val="19"/>
                <w:szCs w:val="19"/>
              </w:rPr>
              <w:t xml:space="preserve">An email on a personal-style service (for example Gmail) is flagged: check the page presents it as the organisation's own address.</w:t>
            </w:r>
          </w:p>
        </w:tc>
      </w:tr>
    </w:tbl>
    <w:p>
      <w:pPr>
        <w:pStyle w:val="Heading2"/>
      </w:pPr>
      <w:r>
        <w:t xml:space="preserve">4.7 Recording the respondent and their contact details</w:t>
      </w:r>
    </w:p>
    <w:p>
      <w:pPr>
        <w:spacing w:after="120" w:line="288"/>
      </w:pPr>
      <w:r>
        <w:t xml:space="preserve">Invitations and reminders need a phone or WhatsApp number. Record the eligible person as soon as they are identified.</w:t>
      </w:r>
    </w:p>
    <w:p>
      <w:pPr>
        <w:pStyle w:val="ListParagraph"/>
        <w:numPr>
          <w:ilvl w:val="0"/>
          <w:numId w:val="12"/>
        </w:numPr>
        <w:spacing w:after="80" w:line="276"/>
      </w:pPr>
      <w:r>
        <w:t xml:space="preserve">Open the case (</w:t>
      </w:r>
      <w:r>
        <w:rPr>
          <w:b/>
          <w:bCs/>
        </w:rPr>
        <w:t xml:space="preserve">Main-400 Register → View</w:t>
      </w:r>
      <w:r>
        <w:t xml:space="preserve">) and find </w:t>
      </w:r>
      <w:r>
        <w:rPr>
          <w:b/>
          <w:bCs/>
        </w:rPr>
        <w:t xml:space="preserve">Respondents and contact details</w:t>
      </w:r>
      <w:r>
        <w:t xml:space="preserve">.</w:t>
      </w:r>
    </w:p>
    <w:p>
      <w:pPr>
        <w:pStyle w:val="ListParagraph"/>
        <w:numPr>
          <w:ilvl w:val="0"/>
          <w:numId w:val="12"/>
        </w:numPr>
        <w:spacing w:after="80" w:line="276"/>
      </w:pPr>
      <w:r>
        <w:t xml:space="preserve">Select </w:t>
      </w:r>
      <w:r>
        <w:rPr>
          <w:b/>
          <w:bCs/>
        </w:rPr>
        <w:t xml:space="preserve">Add a person</w:t>
      </w:r>
      <w:r>
        <w:t xml:space="preserve">. Enter </w:t>
      </w:r>
      <w:r>
        <w:rPr>
          <w:b/>
          <w:bCs/>
        </w:rPr>
        <w:t xml:space="preserve">Full name</w:t>
      </w:r>
      <w:r>
        <w:t xml:space="preserve">, </w:t>
      </w:r>
      <w:r>
        <w:rPr>
          <w:b/>
          <w:bCs/>
        </w:rPr>
        <w:t xml:space="preserve">Phone</w:t>
      </w:r>
      <w:r>
        <w:t xml:space="preserve">, </w:t>
      </w:r>
      <w:r>
        <w:rPr>
          <w:b/>
          <w:bCs/>
        </w:rPr>
        <w:t xml:space="preserve">WhatsApp number</w:t>
      </w:r>
      <w:r>
        <w:t xml:space="preserve">, </w:t>
      </w:r>
      <w:r>
        <w:rPr>
          <w:b/>
          <w:bCs/>
        </w:rPr>
        <w:t xml:space="preserve">Email</w:t>
      </w:r>
      <w:r>
        <w:t xml:space="preserve">, and a </w:t>
      </w:r>
      <w:r>
        <w:rPr>
          <w:b/>
          <w:bCs/>
        </w:rPr>
        <w:t xml:space="preserve">Gatekeeper name</w:t>
      </w:r>
      <w:r>
        <w:t xml:space="preserve"> and </w:t>
      </w:r>
      <w:r>
        <w:rPr>
          <w:b/>
          <w:bCs/>
        </w:rPr>
        <w:t xml:space="preserve">Gatekeeper contact</w:t>
      </w:r>
      <w:r>
        <w:t xml:space="preserve"> if you reach the person through a PA or receptionist.</w:t>
      </w:r>
    </w:p>
    <w:p>
      <w:pPr>
        <w:keepNext/>
        <w:spacing w:after="40" w:before="80"/>
        <w:jc w:val="center"/>
      </w:pPr>
      <w:r>
        <w:drawing>
          <wp:inline distT="0" distB="0" distL="0" distR="0">
            <wp:extent cx="5334000" cy="2114550"/>
            <wp:effectExtent t="0" r="0" b="0" l="0"/>
            <wp:docPr id="1"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114550"/>
                    </a:xfrm>
                    <a:prstGeom prst="rect">
                      <a:avLst/>
                    </a:prstGeom>
                  </pic:spPr>
                </pic:pic>
              </a:graphicData>
            </a:graphic>
          </wp:inline>
        </w:drawing>
      </w:r>
    </w:p>
    <w:p>
      <w:pPr>
        <w:spacing w:after="180"/>
        <w:jc w:val="center"/>
      </w:pPr>
      <w:r>
        <w:rPr>
          <w:b/>
          <w:bCs/>
          <w:color w:val="5B6670"/>
          <w:sz w:val="17"/>
          <w:szCs w:val="17"/>
        </w:rPr>
        <w:t xml:space="preserve">Figure 15. </w:t>
      </w:r>
      <w:r>
        <w:rPr>
          <w:i/>
          <w:iCs/>
          <w:color w:val="5B6670"/>
          <w:sz w:val="17"/>
          <w:szCs w:val="17"/>
        </w:rPr>
        <w:t xml:space="preserve">Adding a person to a case.</w:t>
      </w:r>
    </w:p>
    <w:p>
      <w:pPr>
        <w:pStyle w:val="ListParagraph"/>
        <w:numPr>
          <w:ilvl w:val="0"/>
          <w:numId w:val="12"/>
        </w:numPr>
        <w:spacing w:after="80" w:line="276"/>
      </w:pPr>
      <w:r>
        <w:t xml:space="preserve">Choose their </w:t>
      </w:r>
      <w:r>
        <w:rPr>
          <w:b/>
          <w:bCs/>
        </w:rPr>
        <w:t xml:space="preserve">role</w:t>
      </w:r>
      <w:r>
        <w:t xml:space="preserve"> and the eligibility decision: </w:t>
      </w:r>
      <w:r>
        <w:rPr>
          <w:b/>
          <w:bCs/>
        </w:rPr>
        <w:t xml:space="preserve">Eligible (I screened them)</w:t>
      </w:r>
      <w:r>
        <w:t xml:space="preserve">, </w:t>
      </w:r>
      <w:r>
        <w:rPr>
          <w:b/>
          <w:bCs/>
        </w:rPr>
        <w:t xml:space="preserve">Not eligible</w:t>
      </w:r>
      <w:r>
        <w:t xml:space="preserve">, or </w:t>
      </w:r>
      <w:r>
        <w:rPr>
          <w:b/>
          <w:bCs/>
        </w:rPr>
        <w:t xml:space="preserve">Not yet screened</w:t>
      </w:r>
      <w:r>
        <w:t xml:space="preserve">.</w:t>
      </w:r>
    </w:p>
    <w:p>
      <w:pPr>
        <w:pStyle w:val="ListParagraph"/>
        <w:numPr>
          <w:ilvl w:val="0"/>
          <w:numId w:val="12"/>
        </w:numPr>
        <w:spacing w:after="80" w:line="276"/>
      </w:pPr>
      <w:r>
        <w:t xml:space="preserve">Select </w:t>
      </w:r>
      <w:r>
        <w:rPr>
          <w:b/>
          <w:bCs/>
        </w:rPr>
        <w:t xml:space="preserve">Save person</w:t>
      </w:r>
      <w:r>
        <w:t xml:space="preserve">. To correct details later, select </w:t>
      </w:r>
      <w:r>
        <w:rPr>
          <w:b/>
          <w:bCs/>
        </w:rPr>
        <w:t xml:space="preserve">Edit</w:t>
      </w:r>
      <w:r>
        <w:t xml:space="preserve"> beside the person, change the fields, then </w:t>
      </w:r>
      <w:r>
        <w:rPr>
          <w:b/>
          <w:bCs/>
        </w:rPr>
        <w:t xml:space="preserve">Save changes</w:t>
      </w:r>
      <w:r>
        <w:t xml:space="preserve">.</w:t>
      </w:r>
    </w:p>
    <w:p>
      <w:pPr>
        <w:pStyle w:val="ListParagraph"/>
        <w:numPr>
          <w:ilvl w:val="0"/>
          <w:numId w:val="12"/>
        </w:numPr>
        <w:spacing w:after="80" w:line="276"/>
      </w:pPr>
      <w:r>
        <w:t xml:space="preserve">Write WhatsApp numbers in international form, e.g. </w:t>
      </w:r>
      <w:r>
        <w:rPr>
          <w:b/>
          <w:bCs/>
        </w:rPr>
        <w:t xml:space="preserve">+263 77 123 4567</w:t>
      </w:r>
      <w:r>
        <w:t xml:space="preserve">, so the WhatsApp buttons open the right chat.</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Who is eligible?</w:t>
            </w:r>
          </w:p>
          <w:p>
            <w:pPr>
              <w:spacing w:after="40" w:line="264"/>
            </w:pPr>
            <w:r>
              <w:rPr>
                <w:sz w:val="19"/>
                <w:szCs w:val="19"/>
              </w:rPr>
              <w:t xml:space="preserve">Owner or founder, CEO or managing director, finance/credit/risk, operations, strategy/business development, supply chain/commercial, or another senior manager who can answer for the organisation. Anyone else should nominate the right person.</w:t>
            </w:r>
          </w:p>
        </w:tc>
      </w:tr>
    </w:tbl>
    <w:p>
      <w:pPr>
        <w:pStyle w:val="Heading2"/>
      </w:pPr>
      <w:r>
        <w:t xml:space="preserve">4.8 Sending an invitation</w:t>
      </w:r>
    </w:p>
    <w:p>
      <w:pPr>
        <w:pStyle w:val="ListParagraph"/>
        <w:numPr>
          <w:ilvl w:val="0"/>
          <w:numId w:val="13"/>
        </w:numPr>
        <w:spacing w:after="80" w:line="276"/>
      </w:pPr>
      <w:r>
        <w:t xml:space="preserve">Open the case. Check the status is </w:t>
      </w:r>
      <w:r>
        <w:rPr>
          <w:b/>
          <w:bCs/>
        </w:rPr>
        <w:t xml:space="preserve">S03</w:t>
      </w:r>
      <w:r>
        <w:t xml:space="preserve"> and a respondent with a number is recorded.</w:t>
      </w:r>
    </w:p>
    <w:p>
      <w:pPr>
        <w:pStyle w:val="ListParagraph"/>
        <w:numPr>
          <w:ilvl w:val="0"/>
          <w:numId w:val="13"/>
        </w:numPr>
        <w:spacing w:after="80" w:line="276"/>
      </w:pPr>
      <w:r>
        <w:t xml:space="preserve">In </w:t>
      </w:r>
      <w:r>
        <w:rPr>
          <w:b/>
          <w:bCs/>
        </w:rPr>
        <w:t xml:space="preserve">Invitations</w:t>
      </w:r>
      <w:r>
        <w:t xml:space="preserve">, leave </w:t>
      </w:r>
      <w:r>
        <w:rPr>
          <w:b/>
          <w:bCs/>
        </w:rPr>
        <w:t xml:space="preserve">Channel</w:t>
      </w:r>
      <w:r>
        <w:t xml:space="preserve"> as </w:t>
      </w:r>
      <w:r>
        <w:rPr>
          <w:b/>
          <w:bCs/>
        </w:rPr>
        <w:t xml:space="preserve">WHATSAPP</w:t>
      </w:r>
      <w:r>
        <w:t xml:space="preserve"> (or choose EMAIL, SMS, PRINTED_CODE or QR to record how it was delivered) and </w:t>
      </w:r>
      <w:r>
        <w:rPr>
          <w:b/>
          <w:bCs/>
        </w:rPr>
        <w:t xml:space="preserve">Wave</w:t>
      </w:r>
      <w:r>
        <w:t xml:space="preserve"> as </w:t>
      </w:r>
      <w:r>
        <w:rPr>
          <w:b/>
          <w:bCs/>
        </w:rPr>
        <w:t xml:space="preserve">1</w:t>
      </w:r>
      <w:r>
        <w:t xml:space="preserve">. Select </w:t>
      </w:r>
      <w:r>
        <w:rPr>
          <w:b/>
          <w:bCs/>
        </w:rPr>
        <w:t xml:space="preserve">Send invitation</w:t>
      </w:r>
      <w:r>
        <w:t xml:space="preserve">.</w:t>
      </w:r>
    </w:p>
    <w:p>
      <w:pPr>
        <w:keepNext/>
        <w:spacing w:after="40" w:before="80"/>
        <w:jc w:val="center"/>
      </w:pPr>
      <w:r>
        <w:drawing>
          <wp:inline distT="0" distB="0" distL="0" distR="0">
            <wp:extent cx="5334000" cy="1143000"/>
            <wp:effectExtent t="0" r="0" b="0" l="0"/>
            <wp:docPr id="1"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1143000"/>
                    </a:xfrm>
                    <a:prstGeom prst="rect">
                      <a:avLst/>
                    </a:prstGeom>
                  </pic:spPr>
                </pic:pic>
              </a:graphicData>
            </a:graphic>
          </wp:inline>
        </w:drawing>
      </w:r>
    </w:p>
    <w:p>
      <w:pPr>
        <w:spacing w:after="180"/>
        <w:jc w:val="center"/>
      </w:pPr>
      <w:r>
        <w:rPr>
          <w:b/>
          <w:bCs/>
          <w:color w:val="5B6670"/>
          <w:sz w:val="17"/>
          <w:szCs w:val="17"/>
        </w:rPr>
        <w:t xml:space="preserve">Figure 16. </w:t>
      </w:r>
      <w:r>
        <w:rPr>
          <w:i/>
          <w:iCs/>
          <w:color w:val="5B6670"/>
          <w:sz w:val="17"/>
          <w:szCs w:val="17"/>
        </w:rPr>
        <w:t xml:space="preserve">Invitations panel before sending, with the history of earlier invitations.</w:t>
      </w:r>
    </w:p>
    <w:p>
      <w:pPr>
        <w:pStyle w:val="ListParagraph"/>
        <w:numPr>
          <w:ilvl w:val="0"/>
          <w:numId w:val="13"/>
        </w:numPr>
        <w:spacing w:after="80" w:line="276"/>
      </w:pPr>
      <w:r>
        <w:t xml:space="preserve">The personal link and 8-character manual code appear </w:t>
      </w:r>
      <w:r>
        <w:rPr>
          <w:b/>
          <w:bCs/>
        </w:rPr>
        <w:t xml:space="preserve">once</w:t>
      </w:r>
      <w:r>
        <w:t xml:space="preserve">, with the invitation already written for each channel. Choose </w:t>
      </w:r>
      <w:r>
        <w:rPr>
          <w:b/>
          <w:bCs/>
        </w:rPr>
        <w:t xml:space="preserve">WhatsApp message</w:t>
      </w:r>
      <w:r>
        <w:t xml:space="preserve">, </w:t>
      </w:r>
      <w:r>
        <w:rPr>
          <w:b/>
          <w:bCs/>
        </w:rPr>
        <w:t xml:space="preserve">SMS message</w:t>
      </w:r>
      <w:r>
        <w:t xml:space="preserve"> or </w:t>
      </w:r>
      <w:r>
        <w:rPr>
          <w:b/>
          <w:bCs/>
        </w:rPr>
        <w:t xml:space="preserve">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pPr>
        <w:keepNext/>
        <w:spacing w:after="40" w:before="80"/>
        <w:jc w:val="center"/>
      </w:pPr>
      <w:r>
        <w:drawing>
          <wp:inline distT="0" distB="0" distL="0" distR="0">
            <wp:extent cx="5334000" cy="2152650"/>
            <wp:effectExtent t="0" r="0" b="0" l="0"/>
            <wp:docPr id="1"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152650"/>
                    </a:xfrm>
                    <a:prstGeom prst="rect">
                      <a:avLst/>
                    </a:prstGeom>
                  </pic:spPr>
                </pic:pic>
              </a:graphicData>
            </a:graphic>
          </wp:inline>
        </w:drawing>
      </w:r>
    </w:p>
    <w:p>
      <w:pPr>
        <w:spacing w:after="180"/>
        <w:jc w:val="center"/>
      </w:pPr>
      <w:r>
        <w:rPr>
          <w:b/>
          <w:bCs/>
          <w:color w:val="5B6670"/>
          <w:sz w:val="17"/>
          <w:szCs w:val="17"/>
        </w:rPr>
        <w:t xml:space="preserve">Figure 17. </w:t>
      </w:r>
      <w:r>
        <w:rPr>
          <w:i/>
          <w:iCs/>
          <w:color w:val="5B6670"/>
          <w:sz w:val="17"/>
          <w:szCs w:val="17"/>
        </w:rPr>
        <w:t xml:space="preserve">The link, manual code and ready-written messages are shown once, with a send button for each channel.</w:t>
      </w:r>
    </w:p>
    <w:p>
      <w:pPr>
        <w:pStyle w:val="ListParagraph"/>
        <w:numPr>
          <w:ilvl w:val="0"/>
          <w:numId w:val="13"/>
        </w:numPr>
        <w:spacing w:after="80" w:line="276"/>
      </w:pPr>
      <w:r>
        <w:t xml:space="preserve">Send it on </w:t>
      </w:r>
      <w:r>
        <w:rPr>
          <w:b/>
          <w:bCs/>
        </w:rPr>
        <w:t xml:space="preserve">every channel the organisation has</w:t>
      </w:r>
      <w:r>
        <w:t xml:space="preserve">, before you leave the page. It is one invitation with one link, so the WhatsApp message and the email carry the same link and both keep working. All the send buttons are on screen together (the message tabs only change the preview):</w:t>
      </w:r>
    </w:p>
    <w:p>
      <w:pPr>
        <w:pStyle w:val="ListParagraph"/>
        <w:numPr>
          <w:ilvl w:val="1"/>
          <w:numId w:val="2"/>
        </w:numPr>
        <w:spacing w:after="40"/>
      </w:pPr>
      <w:r>
        <w:rPr>
          <w:b/>
          <w:bCs/>
        </w:rPr>
        <w:t xml:space="preserve">Send via WhatsApp</w:t>
      </w:r>
      <w:r>
        <w:t xml:space="preserve"> opens that respondent's chat (their WhatsApp number, or phone number if none) with the message ready. Check you are on the study WhatsApp number, then press Send.</w:t>
      </w:r>
    </w:p>
    <w:p>
      <w:pPr>
        <w:pStyle w:val="ListParagraph"/>
        <w:numPr>
          <w:ilvl w:val="1"/>
          <w:numId w:val="2"/>
        </w:numPr>
        <w:spacing w:after="40"/>
      </w:pPr>
      <w:r>
        <w:rPr>
          <w:b/>
          <w:bCs/>
        </w:rPr>
        <w:t xml:space="preserve">Send by SMS</w:t>
      </w:r>
      <w:r>
        <w:t xml:space="preserve"> opens the phone's messages app addressed to the respondent, with the shorter SMS message. Use it on a phone.</w:t>
      </w:r>
    </w:p>
    <w:p>
      <w:pPr>
        <w:pStyle w:val="ListParagraph"/>
        <w:numPr>
          <w:ilvl w:val="1"/>
          <w:numId w:val="2"/>
        </w:numPr>
        <w:spacing w:after="40"/>
      </w:pPr>
      <w:r>
        <w:rPr>
          <w:b/>
          <w:bCs/>
        </w:rPr>
        <w:t xml:space="preserve">Email from study address</w:t>
      </w:r>
      <w:r>
        <w:t xml:space="preserve"> sends the email from abffst.research@gmail.com to the respondent's email on file; replies go to the study inbox. The email is recorded in the audit log.</w:t>
      </w:r>
    </w:p>
    <w:p>
      <w:pPr>
        <w:pStyle w:val="ListParagraph"/>
        <w:numPr>
          <w:ilvl w:val="1"/>
          <w:numId w:val="2"/>
        </w:numPr>
        <w:spacing w:after="40"/>
      </w:pPr>
      <w:r>
        <w:rPr>
          <w:b/>
          <w:bCs/>
        </w:rPr>
        <w:t xml:space="preserve">Open in email app</w:t>
      </w:r>
      <w:r>
        <w:t xml:space="preserve"> opens the same email in your own mail program, if you need to add something first.</w:t>
      </w:r>
    </w:p>
    <w:p>
      <w:pPr>
        <w:pStyle w:val="ListParagraph"/>
        <w:numPr>
          <w:ilvl w:val="1"/>
          <w:numId w:val="2"/>
        </w:numPr>
        <w:spacing w:after="40"/>
      </w:pPr>
      <w:r>
        <w:rPr>
          <w:b/>
          <w:bCs/>
        </w:rPr>
        <w:t xml:space="preserve">Copy message</w:t>
      </w:r>
      <w:r>
        <w:t xml:space="preserve"> copies the message shown, for any other channel.</w:t>
      </w:r>
    </w:p>
    <w:p>
      <w:pPr>
        <w:pStyle w:val="ListParagraph"/>
        <w:numPr>
          <w:ilvl w:val="1"/>
          <w:numId w:val="2"/>
        </w:numPr>
        <w:spacing w:after="40"/>
      </w:pPr>
      <w:r>
        <w:t xml:space="preserve">Once SMS or WhatsApp is set up, </w:t>
      </w:r>
      <w:r>
        <w:rPr>
          <w:b/>
          <w:bCs/>
        </w:rPr>
        <w:t xml:space="preserve">Send SMS from the portal</w:t>
      </w:r>
      <w:r>
        <w:t xml:space="preserve"> and </w:t>
      </w:r>
      <w:r>
        <w:rPr>
          <w:b/>
          <w:bCs/>
        </w:rPr>
        <w:t xml:space="preserve">Send WhatsApp from the portal</w:t>
      </w:r>
      <w:r>
        <w:t xml:space="preserve"> send the same invitation through Twilio, to the mobile on file; the invitation history then shows whether each was delivered.</w:t>
      </w:r>
    </w:p>
    <w:p>
      <w:pPr>
        <w:pStyle w:val="ListParagraph"/>
        <w:numPr>
          <w:ilvl w:val="0"/>
          <w:numId w:val="13"/>
        </w:numPr>
        <w:spacing w:after="80" w:line="276"/>
      </w:pPr>
      <w:r>
        <w:t xml:space="preserve">If a button says no mobile number or email is on file, add it under </w:t>
      </w:r>
      <w:r>
        <w:rPr>
          <w:b/>
          <w:bCs/>
        </w:rPr>
        <w:t xml:space="preserve">Respondents and contact details</w:t>
      </w:r>
      <w:r>
        <w:t xml:space="preserve">. Only then send a new invitation, and send that one on every channel.</w:t>
      </w:r>
    </w:p>
    <w:p>
      <w:pPr>
        <w:pStyle w:val="ListParagraph"/>
        <w:numPr>
          <w:ilvl w:val="0"/>
          <w:numId w:val="13"/>
        </w:numPr>
        <w:spacing w:after="80" w:line="276"/>
      </w:pPr>
      <w:r>
        <w:t xml:space="preserve">The case moves to </w:t>
      </w:r>
      <w:r>
        <w:rPr>
          <w:b/>
          <w:bCs/>
        </w:rPr>
        <w:t xml:space="preserve">S05 Invitation sent</w:t>
      </w:r>
      <w:r>
        <w:t xml:space="preserve"> automatically. Log the attempt in </w:t>
      </w:r>
      <w:r>
        <w:rPr>
          <w:b/>
          <w:bCs/>
        </w:rPr>
        <w:t xml:space="preserve">Contact timeline</w:t>
      </w:r>
      <w:r>
        <w:t xml:space="preserve"> (see Logging a contact attempt).</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link is shown only once</w:t>
            </w:r>
          </w:p>
          <w:p>
            <w:pPr>
              <w:spacing w:after="40" w:line="264"/>
            </w:pPr>
            <w:r>
              <w:rPr>
                <w:sz w:val="19"/>
                <w:szCs w:val="19"/>
              </w:rPr>
              <w:t xml:space="preserve">The portal stores only a scrambled fingerprint of the link, so nobody can display it again. If you close the page before sending, select </w:t>
            </w:r>
            <w:r>
              <w:rPr>
                <w:b/>
                <w:bCs/>
                <w:sz w:val="19"/>
                <w:szCs w:val="19"/>
              </w:rPr>
              <w:t xml:space="preserve">Send new invitation (replaces current)</w:t>
            </w:r>
            <w:r>
              <w:rPr>
                <w:sz w:val="19"/>
                <w:szCs w:val="19"/>
              </w:rPr>
              <w:t xml:space="preserve">: this issues a fresh link and the old one stops working immediately.</w:t>
            </w:r>
          </w:p>
          <w:p>
            <w:pPr>
              <w:spacing w:after="40" w:line="264"/>
            </w:pPr>
            <w:r>
              <w:rPr>
                <w:b/>
                <w:bCs/>
                <w:sz w:val="19"/>
                <w:szCs w:val="19"/>
              </w:rPr>
              <w:t xml:space="preserve">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 xml:space="preserve">Replace it</w:t>
            </w:r>
            <w:r>
              <w:rPr>
                <w:sz w:val="19"/>
                <w:szCs w:val="19"/>
              </w:rPr>
              <w:t xml:space="preserve"> / </w:t>
            </w:r>
            <w:r>
              <w:rPr>
                <w:b/>
                <w:bCs/>
                <w:sz w:val="19"/>
                <w:szCs w:val="19"/>
              </w:rPr>
              <w:t xml:space="preserve">Keep the current one</w:t>
            </w:r>
            <w:r>
              <w:rPr>
                <w:sz w:val="19"/>
                <w:szCs w:val="19"/>
              </w:rPr>
              <w:t xml:space="preserve">): replace it only if the link was lost, went to the wrong person or never arrived.</w:t>
            </w:r>
          </w:p>
          <w:p>
            <w:pPr>
              <w:spacing w:after="40" w:line="264"/>
            </w:pPr>
            <w:r>
              <w:rPr>
                <w:sz w:val="19"/>
                <w:szCs w:val="19"/>
              </w:rPr>
              <w:t xml:space="preserve">Links are valid for </w:t>
            </w:r>
            <w:r>
              <w:rPr>
                <w:b/>
                <w:bCs/>
                <w:sz w:val="19"/>
                <w:szCs w:val="19"/>
              </w:rPr>
              <w:t xml:space="preserve">14 days</w:t>
            </w:r>
            <w:r>
              <w:rPr>
                <w:sz w:val="19"/>
                <w:szCs w:val="19"/>
              </w:rPr>
              <w:t xml:space="preserve">. Each link belongs to one organisation; never forward one respondent's link to another organisation.</w:t>
            </w:r>
          </w:p>
        </w:tc>
      </w:tr>
    </w:tbl>
    <w:p>
      <w:pPr>
        <w:pStyle w:val="Heading3"/>
      </w:pPr>
      <w:r>
        <w:t xml:space="preserve">Revoking an invitation</w:t>
      </w:r>
    </w:p>
    <w:p>
      <w:pPr>
        <w:spacing w:after="120" w:line="288"/>
      </w:pPr>
      <w:r>
        <w:t xml:space="preserve">In the invitation history, select </w:t>
      </w:r>
      <w:r>
        <w:rPr>
          <w:b/>
          <w:bCs/>
        </w:rPr>
        <w:t xml:space="preserve">Revoke</w:t>
      </w:r>
      <w:r>
        <w:t xml:space="preserve"> on an open invitation (for example, if it was sent to the wrong number). The link stops working at once. Issue a new one if the case should still be invited.</w:t>
      </w:r>
    </w:p>
    <w:p>
      <w:pPr>
        <w:pStyle w:val="Heading2"/>
      </w:pPr>
      <w:r>
        <w:t xml:space="preserve">4.9 Sending invitations in batches (email, SMS, WhatsApp)</w:t>
      </w:r>
    </w:p>
    <w:p>
      <w:pPr>
        <w:spacing w:after="120" w:line="288"/>
      </w:pPr>
      <w:r>
        <w:t xml:space="preserve">Instead of sending invitations one case at a time, the coordinator or PI can have the portal send them: by email from abffst.research@gmail.com, and by SMS and WhatsApp through Twilio once those are set up. Each case gets </w:t>
      </w:r>
      <w:r>
        <w:rPr>
          <w:b/>
          <w:bCs/>
        </w:rPr>
        <w:t xml:space="preserve">one</w:t>
      </w:r>
      <w:r>
        <w:t xml:space="preserve"> invitation with its own link (valid 14 days) and manual code, sent on every way you choose that it has a contact for, so the email and the text carry the same working link. Only </w:t>
      </w:r>
      <w:r>
        <w:rPr>
          <w:b/>
          <w:bCs/>
        </w:rPr>
        <w:t xml:space="preserve">verified</w:t>
      </w:r>
      <w:r>
        <w:t xml:space="preserve"> cases are included: status </w:t>
      </w:r>
      <w:r>
        <w:rPr>
          <w:b/>
          <w:bCs/>
        </w:rPr>
        <w:t xml:space="preserve">S03</w:t>
      </w:r>
      <w:r>
        <w:t xml:space="preserve"> or </w:t>
      </w:r>
      <w:r>
        <w:rPr>
          <w:b/>
          <w:bCs/>
        </w:rPr>
        <w:t xml:space="preserve">S04</w:t>
      </w:r>
      <w:r>
        <w:t xml:space="preserve">, a contact on file, and no open invitation. SMS and WhatsApp go to mobile numbers only.</w:t>
      </w:r>
    </w:p>
    <w:p>
      <w:pPr>
        <w:pStyle w:val="ListParagraph"/>
        <w:numPr>
          <w:ilvl w:val="0"/>
          <w:numId w:val="14"/>
        </w:numPr>
        <w:spacing w:after="80" w:line="276"/>
      </w:pPr>
      <w:r>
        <w:t xml:space="preserve">Open </w:t>
      </w:r>
      <w:r>
        <w:rPr>
          <w:b/>
          <w:bCs/>
        </w:rPr>
        <w:t xml:space="preserve">Main-400 Register</w:t>
      </w:r>
      <w:r>
        <w:t xml:space="preserve"> and find </w:t>
      </w:r>
      <w:r>
        <w:rPr>
          <w:b/>
          <w:bCs/>
        </w:rPr>
        <w:t xml:space="preserve">Send invitations</w:t>
      </w:r>
      <w:r>
        <w:t xml:space="preserve">.</w:t>
      </w:r>
    </w:p>
    <w:p>
      <w:pPr>
        <w:pStyle w:val="ListParagraph"/>
        <w:numPr>
          <w:ilvl w:val="0"/>
          <w:numId w:val="14"/>
        </w:numPr>
        <w:spacing w:after="80" w:line="276"/>
      </w:pPr>
      <w:r>
        <w:t xml:space="preserve">Under </w:t>
      </w:r>
      <w:r>
        <w:rPr>
          <w:b/>
          <w:bCs/>
        </w:rPr>
        <w:t xml:space="preserve">Send by</w:t>
      </w:r>
      <w:r>
        <w:t xml:space="preserve">, tick </w:t>
      </w:r>
      <w:r>
        <w:rPr>
          <w:b/>
          <w:bCs/>
        </w:rPr>
        <w:t xml:space="preserve">Email</w:t>
      </w:r>
      <w:r>
        <w:t xml:space="preserve">, </w:t>
      </w:r>
      <w:r>
        <w:rPr>
          <w:b/>
          <w:bCs/>
        </w:rPr>
        <w:t xml:space="preserve">SMS</w:t>
      </w:r>
      <w:r>
        <w:t xml:space="preserve"> and/or </w:t>
      </w:r>
      <w:r>
        <w:rPr>
          <w:b/>
          <w:bCs/>
        </w:rPr>
        <w:t xml:space="preserve">WhatsApp</w:t>
      </w:r>
      <w:r>
        <w:t xml:space="preserve">. Each shows how many cases it can reach and what is left of today's limit, or “not set up yet”.</w:t>
      </w:r>
    </w:p>
    <w:p>
      <w:pPr>
        <w:pStyle w:val="ListParagraph"/>
        <w:numPr>
          <w:ilvl w:val="0"/>
          <w:numId w:val="14"/>
        </w:numPr>
        <w:spacing w:after="80" w:line="276"/>
      </w:pPr>
      <w:r>
        <w:t xml:space="preserve">Open </w:t>
      </w:r>
      <w:r>
        <w:rPr>
          <w:b/>
          <w:bCs/>
        </w:rPr>
        <w:t xml:space="preserve">Next in line</w:t>
      </w:r>
      <w:r>
        <w:t xml:space="preserve"> to see the first cases, the ways each can be reached and the (partly hidden) addresses and numbers. With SMS ticked, the panel shows the cost per invitation (about US$0.65 to 0.95).</w:t>
      </w:r>
    </w:p>
    <w:p>
      <w:pPr>
        <w:pStyle w:val="ListParagraph"/>
        <w:numPr>
          <w:ilvl w:val="0"/>
          <w:numId w:val="14"/>
        </w:numPr>
        <w:spacing w:after="80" w:line="276"/>
      </w:pPr>
      <w:r>
        <w:t xml:space="preserve">Type a number in </w:t>
      </w:r>
      <w:r>
        <w:rPr>
          <w:b/>
          <w:bCs/>
        </w:rPr>
        <w:t xml:space="preserve">How many</w:t>
      </w:r>
      <w:r>
        <w:t xml:space="preserve"> (up to 100 in one batch) and select </w:t>
      </w:r>
      <w:r>
        <w:rPr>
          <w:b/>
          <w:bCs/>
        </w:rPr>
        <w:t xml:space="preserve">Review and send</w:t>
      </w:r>
      <w:r>
        <w:t xml:space="preserve">.</w:t>
      </w:r>
    </w:p>
    <w:p>
      <w:pPr>
        <w:pStyle w:val="ListParagraph"/>
        <w:numPr>
          <w:ilvl w:val="0"/>
          <w:numId w:val="14"/>
        </w:numPr>
        <w:spacing w:after="80" w:line="276"/>
      </w:pPr>
      <w:r>
        <w:t xml:space="preserve">Read the confirmation, which includes the SMS cost, then select </w:t>
      </w:r>
      <w:r>
        <w:rPr>
          <w:b/>
          <w:bCs/>
        </w:rPr>
        <w:t xml:space="preserve">Send N invitations</w:t>
      </w:r>
      <w:r>
        <w:t xml:space="preserve">, or </w:t>
      </w:r>
      <w:r>
        <w:rPr>
          <w:b/>
          <w:bCs/>
        </w:rPr>
        <w:t xml:space="preserve">Cancel</w:t>
      </w:r>
      <w:r>
        <w:t xml:space="preserve">.</w:t>
      </w:r>
    </w:p>
    <w:p>
      <w:pPr>
        <w:pStyle w:val="ListParagraph"/>
        <w:numPr>
          <w:ilvl w:val="0"/>
          <w:numId w:val="14"/>
        </w:numPr>
        <w:spacing w:after="80" w:line="276"/>
      </w:pPr>
      <w:r>
        <w:t xml:space="preserve">The panel shows progress while it sends, then the result: sent, failed and skipped. Open </w:t>
      </w:r>
      <w:r>
        <w:rPr>
          <w:b/>
          <w:bCs/>
        </w:rPr>
        <w:t xml:space="preserve">Case by case</w:t>
      </w:r>
      <w:r>
        <w:t xml:space="preserve"> to see each Sample ID, how it was sent and the reason for any failure. Each case that was sent moves to </w:t>
      </w:r>
      <w:r>
        <w:rPr>
          <w:b/>
          <w:bCs/>
        </w:rPr>
        <w:t xml:space="preserve">S05 Invitation sent</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Before the first batch</w:t>
            </w:r>
          </w:p>
          <w:p>
            <w:pPr>
              <w:spacing w:after="40" w:line="264"/>
            </w:pPr>
            <w:r>
              <w:rPr>
                <w:sz w:val="19"/>
                <w:szCs w:val="19"/>
              </w:rPr>
              <w:t xml:space="preserve">Each way must be set up on the server first: email with </w:t>
            </w:r>
            <w:r>
              <w:rPr>
                <w:rFonts w:ascii="Consolas" w:cs="Consolas" w:eastAsia="Consolas" w:hAnsi="Consolas"/>
                <w:b w:val="false"/>
                <w:bCs w:val="false"/>
                <w:color w:val="122238"/>
                <w:sz w:val="19"/>
                <w:szCs w:val="19"/>
              </w:rPr>
              <w:t xml:space="preserve">configure-email.sh</w:t>
            </w:r>
            <w:r>
              <w:rPr>
                <w:sz w:val="19"/>
                <w:szCs w:val="19"/>
              </w:rPr>
              <w:t xml:space="preserve">, SMS and WhatsApp with </w:t>
            </w:r>
            <w:r>
              <w:rPr>
                <w:rFonts w:ascii="Consolas" w:cs="Consolas" w:eastAsia="Consolas" w:hAnsi="Consolas"/>
                <w:b w:val="false"/>
                <w:bCs w:val="false"/>
                <w:color w:val="122238"/>
                <w:sz w:val="19"/>
                <w:szCs w:val="19"/>
              </w:rPr>
              <w:t xml:space="preserve">configure-twilio.sh</w:t>
            </w:r>
            <w:r>
              <w:rPr>
                <w:sz w:val="19"/>
                <w:szCs w:val="19"/>
              </w:rPr>
              <w:t xml:space="preserve"> (see the System Manual). Until then the panel says so and the button stays disabled.</w:t>
            </w:r>
          </w:p>
          <w:p>
            <w:pPr>
              <w:spacing w:after="40" w:line="264"/>
            </w:pPr>
            <w:r>
              <w:rPr>
                <w:sz w:val="19"/>
                <w:szCs w:val="19"/>
              </w:rPr>
              <w:t xml:space="preserve">Daily limits: 300 emails (Main-400 and KII invitations together), 150 SMS and 250 WhatsApp messages (invitations and automatic reminders together). The panel shows what is left.</w:t>
            </w:r>
          </w:p>
          <w:p>
            <w:pPr>
              <w:spacing w:after="40" w:line="264"/>
            </w:pPr>
            <w:r>
              <w:rPr>
                <w:sz w:val="19"/>
                <w:szCs w:val="19"/>
              </w:rPr>
              <w:t xml:space="preserve">WhatsApp stays unavailable until Meta approves the invitation template: the panel shows the template as pending and the batch refuses WhatsApp, because a message on an unapproved template is accepted and then silently not delivered. The same applies everywhere the portal sends WhatsApp (a single invitation, an introduction, a reminder): it says Meta hasn't approved the template yet, and introductions go by SMS with the reply link instead.</w:t>
            </w:r>
          </w:p>
          <w:p>
            <w:pPr>
              <w:spacing w:after="40" w:line="264"/>
            </w:pPr>
            <w:r>
              <w:rPr>
                <w:sz w:val="19"/>
                <w:szCs w:val="19"/>
              </w:rPr>
              <w:t xml:space="preserve">If nothing gets through for a case, nothing is kept for it: no link is issued, it stays at S03 or S04, and the next batch tries it again. If one way works and another fails, the case is sent and </w:t>
            </w:r>
            <w:r>
              <w:rPr>
                <w:b/>
                <w:bCs/>
                <w:sz w:val="19"/>
                <w:szCs w:val="19"/>
              </w:rPr>
              <w:t xml:space="preserve">Case by case</w:t>
            </w:r>
            <w:r>
              <w:rPr>
                <w:sz w:val="19"/>
                <w:szCs w:val="19"/>
              </w:rPr>
              <w:t xml:space="preserve"> says what failed.</w:t>
            </w:r>
          </w:p>
        </w:tc>
      </w:tr>
    </w:tbl>
    <w:p>
      <w:pPr>
        <w:pStyle w:val="Heading3"/>
      </w:pPr>
      <w:r>
        <w:t xml:space="preserve">Ask first: introduce the study, then invite automatically</w:t>
      </w:r>
    </w:p>
    <w:p>
      <w:pPr>
        <w:spacing w:after="120" w:line="288"/>
      </w:pPr>
      <w:r>
        <w:t xml:space="preserve">Instead of sending the link straight away, </w:t>
      </w:r>
      <w:r>
        <w:rPr>
          <w:b/>
          <w:bCs/>
        </w:rPr>
        <w:t xml:space="preserve">Send invitations</w:t>
      </w:r>
      <w:r>
        <w:t xml:space="preserve"> can </w:t>
      </w:r>
      <w:r>
        <w:rPr>
          <w:b/>
          <w:bCs/>
        </w:rPr>
        <w:t xml:space="preserve">Ask first (introduction)</w:t>
      </w:r>
      <w:r>
        <w:t xml:space="preserve">. Each verified case with a mobile and no invitation yet gets a short WhatsApp message about the study asking whether it will take part, with </w:t>
      </w:r>
      <w:r>
        <w:rPr>
          <w:b/>
          <w:bCs/>
        </w:rPr>
        <w:t xml:space="preserve">Yes</w:t>
      </w:r>
      <w:r>
        <w:t xml:space="preserve"> and </w:t>
      </w:r>
      <w:r>
        <w:rPr>
          <w:b/>
          <w:bCs/>
        </w:rPr>
        <w:t xml:space="preserve">No</w:t>
      </w:r>
      <w:r>
        <w:t xml:space="preserve"> buttons. Where WhatsApp isn't set up or the message can't be delivered, it goes by SMS with a link that opens the study's WhatsApp chat with “YES” typed in: SMS replies can't be received in Zimbabwe, so every answer arrives on WhatsApp.</w:t>
      </w:r>
    </w:p>
    <w:p>
      <w:pPr>
        <w:pStyle w:val="ListParagraph"/>
        <w:numPr>
          <w:ilvl w:val="0"/>
          <w:numId w:val="15"/>
        </w:numPr>
        <w:spacing w:after="80" w:line="276"/>
      </w:pPr>
      <w:r>
        <w:t xml:space="preserve">On </w:t>
      </w:r>
      <w:r>
        <w:rPr>
          <w:b/>
          <w:bCs/>
        </w:rPr>
        <w:t xml:space="preserve">Send invitations</w:t>
      </w:r>
      <w:r>
        <w:t xml:space="preserve">, choose </w:t>
      </w:r>
      <w:r>
        <w:rPr>
          <w:b/>
          <w:bCs/>
        </w:rPr>
        <w:t xml:space="preserve">Ask first (introduction)</w:t>
      </w:r>
      <w:r>
        <w:t xml:space="preserve">, type </w:t>
      </w:r>
      <w:r>
        <w:rPr>
          <w:b/>
          <w:bCs/>
        </w:rPr>
        <w:t xml:space="preserve">How many</w:t>
      </w:r>
      <w:r>
        <w:t xml:space="preserve">, select </w:t>
      </w:r>
      <w:r>
        <w:rPr>
          <w:b/>
          <w:bCs/>
        </w:rPr>
        <w:t xml:space="preserve">Review and send</w:t>
      </w:r>
      <w:r>
        <w:t xml:space="preserve">, then </w:t>
      </w:r>
      <w:r>
        <w:rPr>
          <w:b/>
          <w:bCs/>
        </w:rPr>
        <w:t xml:space="preserve">Send N introductions</w:t>
      </w:r>
      <w:r>
        <w:t xml:space="preserve">. For one case, use </w:t>
      </w:r>
      <w:r>
        <w:rPr>
          <w:b/>
          <w:bCs/>
        </w:rPr>
        <w:t xml:space="preserve">Send introduction</w:t>
      </w:r>
      <w:r>
        <w:t xml:space="preserve"> under </w:t>
      </w:r>
      <w:r>
        <w:rPr>
          <w:b/>
          <w:bCs/>
        </w:rPr>
        <w:t xml:space="preserve">Ask first</w:t>
      </w:r>
      <w:r>
        <w:t xml:space="preserve"> on the case page.</w:t>
      </w:r>
    </w:p>
    <w:p>
      <w:pPr>
        <w:pStyle w:val="ListParagraph"/>
        <w:numPr>
          <w:ilvl w:val="0"/>
          <w:numId w:val="15"/>
        </w:numPr>
        <w:spacing w:after="80" w:line="276"/>
      </w:pPr>
      <w:r>
        <w:rPr>
          <w:b/>
          <w:bCs/>
        </w:rPr>
        <w:t xml:space="preserve">They reply YES</w:t>
      </w:r>
      <w:r>
        <w:t xml:space="preserve"> (or Hongu, Yebo, OK): the portal issues their invitation and sends the personal link and code back in the same WhatsApp chat straight away. The case moves to </w:t>
      </w:r>
      <w:r>
        <w:rPr>
          <w:b/>
          <w:bCs/>
        </w:rPr>
        <w:t xml:space="preserve">S05 Invitation sent</w:t>
      </w:r>
      <w:r>
        <w:t xml:space="preserve"> and the usual Day 2 and Day 7 reminders follow.</w:t>
      </w:r>
    </w:p>
    <w:p>
      <w:pPr>
        <w:pStyle w:val="ListParagraph"/>
        <w:numPr>
          <w:ilvl w:val="0"/>
          <w:numId w:val="15"/>
        </w:numPr>
        <w:spacing w:after="80" w:line="276"/>
      </w:pPr>
      <w:r>
        <w:rPr>
          <w:b/>
          <w:bCs/>
        </w:rPr>
        <w:t xml:space="preserve">They reply NO</w:t>
      </w:r>
      <w:r>
        <w:t xml:space="preserve"> (or STOP, Hapana, Aihwa, Cha): the refusal is recorded, the case moves to </w:t>
      </w:r>
      <w:r>
        <w:rPr>
          <w:b/>
          <w:bCs/>
        </w:rPr>
        <w:t xml:space="preserve">S12 Refused</w:t>
      </w:r>
      <w:r>
        <w:t xml:space="preserve">, and they get one message saying they won't be contacted again. Activating its Reserve is still a separate, recorded decision on </w:t>
      </w:r>
      <w:r>
        <w:rPr>
          <w:b/>
          <w:bCs/>
        </w:rPr>
        <w:t xml:space="preserve">Reserve Activation</w:t>
      </w:r>
      <w:r>
        <w:t xml:space="preserve">.</w:t>
      </w:r>
    </w:p>
    <w:p>
      <w:pPr>
        <w:pStyle w:val="ListParagraph"/>
        <w:numPr>
          <w:ilvl w:val="0"/>
          <w:numId w:val="15"/>
        </w:numPr>
        <w:spacing w:after="80" w:line="276"/>
      </w:pPr>
      <w:r>
        <w:rPr>
          <w:b/>
          <w:bCs/>
        </w:rPr>
        <w:t xml:space="preserve">They write anything else</w:t>
      </w:r>
      <w:r>
        <w:t xml:space="preserve"> (a question, “who is this?”, “no problem”): they get one automatic answer with the study contact, and the message appears on </w:t>
      </w:r>
      <w:r>
        <w:rPr>
          <w:b/>
          <w:bCs/>
        </w:rPr>
        <w:t xml:space="preserve">Communications</w:t>
      </w:r>
      <w:r>
        <w:t xml:space="preserve"> under </w:t>
      </w:r>
      <w:r>
        <w:rPr>
          <w:b/>
          <w:bCs/>
        </w:rPr>
        <w:t xml:space="preserve">Waiting</w:t>
      </w:r>
      <w:r>
        <w:t xml:space="preserve"> for you to answer.</w:t>
      </w:r>
    </w:p>
    <w:p>
      <w:pPr>
        <w:pStyle w:val="ListParagraph"/>
        <w:numPr>
          <w:ilvl w:val="0"/>
          <w:numId w:val="15"/>
        </w:numPr>
        <w:spacing w:after="80" w:line="276"/>
      </w:pPr>
      <w:r>
        <w:rPr>
          <w:b/>
          <w:bCs/>
        </w:rPr>
        <w:t xml:space="preserve">No reply</w:t>
      </w:r>
      <w:r>
        <w:t xml:space="preserve">: one reminder after 3 days; after 4 more days with no answer, the case is listed on </w:t>
      </w:r>
      <w:r>
        <w:rPr>
          <w:b/>
          <w:bCs/>
        </w:rPr>
        <w:t xml:space="preserve">Follow-ups</w:t>
      </w:r>
      <w:r>
        <w:t xml:space="preserve"> under </w:t>
      </w:r>
      <w:r>
        <w:rPr>
          <w:b/>
          <w:bCs/>
        </w:rPr>
        <w:t xml:space="preserve">Asked, no reply yet: phone them</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Answering on Communications</w:t>
            </w:r>
          </w:p>
          <w:p>
            <w:pPr>
              <w:spacing w:after="40" w:line="264"/>
            </w:pPr>
            <w:r>
              <w:rPr>
                <w:sz w:val="19"/>
                <w:szCs w:val="19"/>
              </w:rPr>
              <w:t xml:space="preserve">The study's Twilio WhatsApp number isn't on any phone, so answer people on </w:t>
            </w:r>
            <w:r>
              <w:rPr>
                <w:b/>
                <w:bCs/>
                <w:sz w:val="19"/>
                <w:szCs w:val="19"/>
              </w:rPr>
              <w:t xml:space="preserve">Communications</w:t>
            </w:r>
            <w:r>
              <w:rPr>
                <w:sz w:val="19"/>
                <w:szCs w:val="19"/>
              </w:rPr>
              <w:t xml:space="preserve">: open the conversation, write under </w:t>
            </w:r>
            <w:r>
              <w:rPr>
                <w:b/>
                <w:bCs/>
                <w:sz w:val="19"/>
                <w:szCs w:val="19"/>
              </w:rPr>
              <w:t xml:space="preserve">WhatsApp</w:t>
            </w:r>
            <w:r>
              <w:rPr>
                <w:sz w:val="19"/>
                <w:szCs w:val="19"/>
              </w:rPr>
              <w:t xml:space="preserve"> and select </w:t>
            </w:r>
            <w:r>
              <w:rPr>
                <w:b/>
                <w:bCs/>
                <w:sz w:val="19"/>
                <w:szCs w:val="19"/>
              </w:rPr>
              <w:t xml:space="preserve">Send WhatsApp</w:t>
            </w:r>
            <w:r>
              <w:rPr>
                <w:sz w:val="19"/>
                <w:szCs w:val="19"/>
              </w:rPr>
              <w:t xml:space="preserve">. WhatsApp only accepts a written message within 24 hours of their last message; after that, email or phone them. Email replies to the study address appear there too, and you can answer them under </w:t>
            </w:r>
            <w:r>
              <w:rPr>
                <w:b/>
                <w:bCs/>
                <w:sz w:val="19"/>
                <w:szCs w:val="19"/>
              </w:rPr>
              <w:t xml:space="preserve">Email</w:t>
            </w:r>
            <w:r>
              <w:rPr>
                <w:sz w:val="19"/>
                <w:szCs w:val="19"/>
              </w:rPr>
              <w:t xml:space="preserve">. </w:t>
            </w:r>
            <w:r>
              <w:rPr>
                <w:b/>
                <w:bCs/>
                <w:sz w:val="19"/>
                <w:szCs w:val="19"/>
              </w:rPr>
              <w:t xml:space="preserve">Mark handled</w:t>
            </w:r>
            <w:r>
              <w:rPr>
                <w:sz w:val="19"/>
                <w:szCs w:val="19"/>
              </w:rPr>
              <w:t xml:space="preserve"> when it's dealt with. A Contact RA sees only their own cases; messages from numbers the study has no record of go to the PI and Field Coordinator.</w:t>
            </w:r>
          </w:p>
        </w:tc>
      </w:tr>
    </w:tbl>
    <w:p>
      <w:pPr>
        <w:pStyle w:val="Heading3"/>
      </w:pPr>
      <w:r>
        <w:t xml:space="preserve">Reminders sent automatically</w:t>
      </w:r>
    </w:p>
    <w:p>
      <w:pPr>
        <w:spacing w:after="120" w:line="288"/>
      </w:pPr>
      <w:r>
        <w:t xml:space="preserve">Once SMS or WhatsApp is set up, the portal sends the Day 2 and Day 7 reminders itself every morning at 08:00: by WhatsApp once Meta has approved its template, otherwise by SMS, to the respondent's mobile. While Meta still has a template pending, that reminder is not sent by WhatsApp at all: it goes by SMS if SMS is set up, or waits on Follow-ups. </w:t>
      </w:r>
      <w:r>
        <w:rPr>
          <w:b/>
          <w:bCs/>
        </w:rPr>
        <w:t xml:space="preserve">Follow-ups</w:t>
      </w:r>
      <w:r>
        <w:t xml:space="preserve"> says “The portal sends this one automatically” for those. Reminders for anyone without a mobile, and any automatic message that did not get through, stay on Follow-ups to send by hand, marked “The automatic message did not get through”. A failed reminder is never re-sent automatically, and it does not count toward Nonresponse until a person sends it.</w:t>
      </w:r>
    </w:p>
    <w:p>
      <w:pPr>
        <w:pStyle w:val="Heading2"/>
      </w:pPr>
      <w:r>
        <w:t xml:space="preserve">4.10 Sending WhatsApp invitations from the queue</w:t>
      </w:r>
    </w:p>
    <w:p>
      <w:pPr>
        <w:spacing w:after="120" w:line="288"/>
      </w:pPr>
      <w:r>
        <w:t xml:space="preserve">The study has no WhatsApp Business account, so the portal cannot send WhatsApp messages itself. The queue does the next best thing: it lists every verified case (</w:t>
      </w:r>
      <w:r>
        <w:rPr>
          <w:b/>
          <w:bCs/>
        </w:rPr>
        <w:t xml:space="preserve">S03</w:t>
      </w:r>
      <w:r>
        <w:t xml:space="preserve"> or </w:t>
      </w:r>
      <w:r>
        <w:rPr>
          <w:b/>
          <w:bCs/>
        </w:rPr>
        <w:t xml:space="preserve">S04</w:t>
      </w:r>
      <w:r>
        <w:t xml:space="preserve">) with a WhatsApp or phone number and no open invitation, and prepares each invitation so you send it with one tap from the study phone. A Contact RA sees only their own cases.</w:t>
      </w:r>
    </w:p>
    <w:p>
      <w:pPr>
        <w:pStyle w:val="ListParagraph"/>
        <w:numPr>
          <w:ilvl w:val="0"/>
          <w:numId w:val="16"/>
        </w:numPr>
        <w:spacing w:after="80" w:line="276"/>
      </w:pPr>
      <w:r>
        <w:t xml:space="preserve">Open </w:t>
      </w:r>
      <w:r>
        <w:rPr>
          <w:b/>
          <w:bCs/>
        </w:rPr>
        <w:t xml:space="preserve">Main-400 Register</w:t>
      </w:r>
      <w:r>
        <w:t xml:space="preserve"> and find </w:t>
      </w:r>
      <w:r>
        <w:rPr>
          <w:b/>
          <w:bCs/>
        </w:rPr>
        <w:t xml:space="preserve">WhatsApp invitations</w:t>
      </w:r>
      <w:r>
        <w:t xml:space="preserve">. Each row shows the Sample ID, the organisation, the person and a partly hidden number.</w:t>
      </w:r>
    </w:p>
    <w:p>
      <w:pPr>
        <w:pStyle w:val="ListParagraph"/>
        <w:numPr>
          <w:ilvl w:val="0"/>
          <w:numId w:val="16"/>
        </w:numPr>
        <w:spacing w:after="80" w:line="276"/>
      </w:pPr>
      <w:r>
        <w:t xml:space="preserve">Select </w:t>
      </w:r>
      <w:r>
        <w:rPr>
          <w:b/>
          <w:bCs/>
        </w:rPr>
        <w:t xml:space="preserve">Prepare</w:t>
      </w:r>
      <w:r>
        <w:t xml:space="preserve"> on a row. The portal creates the case's personal link and code, writes the approved WhatsApp message, and moves the case to </w:t>
      </w:r>
      <w:r>
        <w:rPr>
          <w:b/>
          <w:bCs/>
        </w:rPr>
        <w:t xml:space="preserve">S05 Invitation sent</w:t>
      </w:r>
      <w:r>
        <w:t xml:space="preserve">.</w:t>
      </w:r>
    </w:p>
    <w:p>
      <w:pPr>
        <w:pStyle w:val="ListParagraph"/>
        <w:numPr>
          <w:ilvl w:val="0"/>
          <w:numId w:val="16"/>
        </w:numPr>
        <w:spacing w:after="80" w:line="276"/>
      </w:pPr>
      <w:r>
        <w:t xml:space="preserve">Select </w:t>
      </w:r>
      <w:r>
        <w:rPr>
          <w:b/>
          <w:bCs/>
        </w:rPr>
        <w:t xml:space="preserve">Open WhatsApp</w:t>
      </w:r>
      <w:r>
        <w:t xml:space="preserve">. WhatsApp opens at that person's chat with the message ready. Check you are on the study number, then press Send. (</w:t>
      </w:r>
      <w:r>
        <w:rPr>
          <w:b/>
          <w:bCs/>
        </w:rPr>
        <w:t xml:space="preserve">Copy message</w:t>
      </w:r>
      <w:r>
        <w:t xml:space="preserve"> copies the text if WhatsApp will not open.)</w:t>
      </w:r>
    </w:p>
    <w:p>
      <w:pPr>
        <w:pStyle w:val="ListParagraph"/>
        <w:numPr>
          <w:ilvl w:val="0"/>
          <w:numId w:val="16"/>
        </w:numPr>
        <w:spacing w:after="80" w:line="276"/>
      </w:pPr>
      <w:r>
        <w:t xml:space="preserve">If the case also has an email address, select </w:t>
      </w:r>
      <w:r>
        <w:rPr>
          <w:b/>
          <w:bCs/>
        </w:rPr>
        <w:t xml:space="preserve">Email the same link</w:t>
      </w:r>
      <w:r>
        <w:t xml:space="preserve"> straight away. The same invitation goes by email from the study address, so the organisation can use whichever message it sees first. The button then reads </w:t>
      </w:r>
      <w:r>
        <w:rPr>
          <w:b/>
          <w:bCs/>
        </w:rPr>
        <w:t xml:space="preserve">Emailed to …</w:t>
      </w:r>
      <w:r>
        <w:t xml:space="preserve">.</w:t>
      </w:r>
    </w:p>
    <w:p>
      <w:pPr>
        <w:pStyle w:val="ListParagraph"/>
        <w:numPr>
          <w:ilvl w:val="0"/>
          <w:numId w:val="16"/>
        </w:numPr>
        <w:spacing w:after="80" w:line="276"/>
      </w:pPr>
      <w:r>
        <w:t xml:space="preserve">Log the attempt on the case's </w:t>
      </w:r>
      <w:r>
        <w:rPr>
          <w:b/>
          <w:bCs/>
        </w:rPr>
        <w:t xml:space="preserve">Contact timeline</w:t>
      </w:r>
      <w:r>
        <w:t xml:space="preserve">, as for any invitation.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Prepare only what you are about to send</w:t>
            </w:r>
          </w:p>
          <w:p>
            <w:pPr>
              <w:spacing w:after="40" w:line="264"/>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 xml:space="preserve">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 xml:space="preserve">Invitations</w:t>
            </w:r>
            <w:r>
              <w:rPr>
                <w:sz w:val="19"/>
                <w:szCs w:val="19"/>
              </w:rPr>
              <w:t xml:space="preserve"> panel.</w:t>
            </w:r>
          </w:p>
        </w:tc>
      </w:tr>
    </w:tbl>
    <w:p>
      <w:pPr>
        <w:pStyle w:val="Heading2"/>
      </w:pPr>
      <w:r>
        <w:t xml:space="preserve">4.11 Sending follow-up reminders</w:t>
      </w:r>
    </w:p>
    <w:p>
      <w:pPr>
        <w:spacing w:after="120" w:line="288"/>
      </w:pPr>
      <w:r>
        <w:t xml:space="preserve">Approved reminders fall due on </w:t>
      </w:r>
      <w:r>
        <w:rPr>
          <w:b/>
          <w:bCs/>
        </w:rPr>
        <w:t xml:space="preserve">Day 2</w:t>
      </w:r>
      <w:r>
        <w:t xml:space="preserve"> and </w:t>
      </w:r>
      <w:r>
        <w:rPr>
          <w:b/>
          <w:bCs/>
        </w:rPr>
        <w:t xml:space="preserve">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pPr>
        <w:pStyle w:val="ListParagraph"/>
        <w:numPr>
          <w:ilvl w:val="0"/>
          <w:numId w:val="17"/>
        </w:numPr>
        <w:spacing w:after="80" w:line="276"/>
      </w:pPr>
      <w:r>
        <w:t xml:space="preserve">Select </w:t>
      </w:r>
      <w:r>
        <w:rPr>
          <w:b/>
          <w:bCs/>
        </w:rPr>
        <w:t xml:space="preserve">Follow-ups</w:t>
      </w:r>
      <w:r>
        <w:t xml:space="preserve">. Each card shows the case, organisation, which reminder is due, when the invitation went out, the respondent and their number, and the exact approved message.</w:t>
      </w:r>
    </w:p>
    <w:p>
      <w:pPr>
        <w:keepNext/>
        <w:spacing w:after="40" w:before="80"/>
        <w:jc w:val="center"/>
      </w:pPr>
      <w:r>
        <w:drawing>
          <wp:inline distT="0" distB="0" distL="0" distR="0">
            <wp:extent cx="5334000" cy="3333750"/>
            <wp:effectExtent t="0" r="0" b="0" l="0"/>
            <wp:docPr id="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18. </w:t>
      </w:r>
      <w:r>
        <w:rPr>
          <w:i/>
          <w:iCs/>
          <w:color w:val="5B6670"/>
          <w:sz w:val="17"/>
          <w:szCs w:val="17"/>
        </w:rPr>
        <w:t xml:space="preserve">Follow-ups due. Contact RAs see only their own cases.</w:t>
      </w:r>
    </w:p>
    <w:p>
      <w:pPr>
        <w:pStyle w:val="ListParagraph"/>
        <w:numPr>
          <w:ilvl w:val="0"/>
          <w:numId w:val="17"/>
        </w:numPr>
        <w:spacing w:after="80" w:line="276"/>
      </w:pPr>
      <w:r>
        <w:t xml:space="preserve">Select </w:t>
      </w:r>
      <w:r>
        <w:rPr>
          <w:b/>
          <w:bCs/>
        </w:rPr>
        <w:t xml:space="preserve">Open in WhatsApp</w:t>
      </w:r>
      <w:r>
        <w:t xml:space="preserve">. WhatsApp opens with the message ready for that number; send it. If the card says </w:t>
      </w:r>
      <w:r>
        <w:rPr>
          <w:b/>
          <w:bCs/>
        </w:rPr>
        <w:t xml:space="preserve">no number on file</w:t>
      </w:r>
      <w:r>
        <w:t xml:space="preserve">, or that the number </w:t>
      </w:r>
      <w:r>
        <w:rPr>
          <w:b/>
          <w:bCs/>
        </w:rPr>
        <w:t xml:space="preserve">is a landline</w:t>
      </w:r>
      <w:r>
        <w:t xml:space="preserve">, the button reads </w:t>
      </w:r>
      <w:r>
        <w:rPr>
          <w:b/>
          <w:bCs/>
        </w:rPr>
        <w:t xml:space="preserve">Open WhatsApp (choose contact)</w:t>
      </w:r>
      <w:r>
        <w:t xml:space="preserve">: WhatsApp can't reach a landline, so phone them instead, or pick the chat yourself if you have their mobile, and add the mobile to the case afterwards.</w:t>
      </w:r>
    </w:p>
    <w:p>
      <w:pPr>
        <w:pStyle w:val="ListParagraph"/>
        <w:numPr>
          <w:ilvl w:val="0"/>
          <w:numId w:val="17"/>
        </w:numPr>
        <w:spacing w:after="80" w:line="276"/>
      </w:pPr>
      <w:r>
        <w:t xml:space="preserve">Come back and select </w:t>
      </w:r>
      <w:r>
        <w:rPr>
          <w:b/>
          <w:bCs/>
        </w:rPr>
        <w:t xml:space="preserve">Mark as sent</w:t>
      </w:r>
      <w:r>
        <w:t xml:space="preserve">. The card disappears and the reminder is recorded under your name.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Mark as sent only after sending</w:t>
            </w:r>
          </w:p>
          <w:p>
            <w:pPr>
              <w:spacing w:after="40" w:line="264"/>
            </w:pPr>
            <w:r>
              <w:rPr>
                <w:sz w:val="19"/>
                <w:szCs w:val="19"/>
              </w:rPr>
              <w:t xml:space="preserve">A case can become </w:t>
            </w:r>
            <w:r>
              <w:rPr>
                <w:b/>
                <w:bCs/>
                <w:sz w:val="19"/>
                <w:szCs w:val="19"/>
              </w:rPr>
              <w:t xml:space="preserve">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Booked a call? No reminders</w:t>
            </w:r>
          </w:p>
          <w:p>
            <w:pPr>
              <w:spacing w:after="40" w:line="264"/>
            </w:pPr>
            <w:r>
              <w:rPr>
                <w:sz w:val="19"/>
                <w:szCs w:val="19"/>
              </w:rPr>
              <w:t xml:space="preserve">When a respondent asks for a call (an appointment that is </w:t>
            </w:r>
            <w:r>
              <w:rPr>
                <w:b/>
                <w:bCs/>
                <w:sz w:val="19"/>
                <w:szCs w:val="19"/>
              </w:rPr>
              <w:t xml:space="preserve">REQUESTED</w:t>
            </w:r>
            <w:r>
              <w:rPr>
                <w:sz w:val="19"/>
                <w:szCs w:val="19"/>
              </w:rPr>
              <w:t xml:space="preserve"> or </w:t>
            </w:r>
            <w:r>
              <w:rPr>
                <w:b/>
                <w:bCs/>
                <w:sz w:val="19"/>
                <w:szCs w:val="19"/>
              </w:rPr>
              <w:t xml:space="preserve">CONFIRMED</w:t>
            </w:r>
            <w:r>
              <w:rPr>
                <w:sz w:val="19"/>
                <w:szCs w:val="19"/>
              </w:rPr>
              <w:t xml:space="preserve">), their case leaves Follow-ups and can never become Nonresponse while the appointment is open. The reminders come back only if the appointment is marked </w:t>
            </w:r>
            <w:r>
              <w:rPr>
                <w:b/>
                <w:bCs/>
                <w:sz w:val="19"/>
                <w:szCs w:val="19"/>
              </w:rPr>
              <w:t xml:space="preserve">MISSED</w:t>
            </w:r>
            <w:r>
              <w:rPr>
                <w:sz w:val="19"/>
                <w:szCs w:val="19"/>
              </w:rPr>
              <w:t xml:space="preserve"> or </w:t>
            </w:r>
            <w:r>
              <w:rPr>
                <w:b/>
                <w:bCs/>
                <w:sz w:val="19"/>
                <w:szCs w:val="19"/>
              </w:rPr>
              <w:t xml:space="preserve">CANCELLED</w:t>
            </w:r>
            <w:r>
              <w:rPr>
                <w:sz w:val="19"/>
                <w:szCs w:val="19"/>
              </w:rPr>
              <w:t xml:space="preserve"> (or </w:t>
            </w:r>
            <w:r>
              <w:rPr>
                <w:b/>
                <w:bCs/>
                <w:sz w:val="19"/>
                <w:szCs w:val="19"/>
              </w:rPr>
              <w:t xml:space="preserve">COMPLETED</w:t>
            </w:r>
            <w:r>
              <w:rPr>
                <w:sz w:val="19"/>
                <w:szCs w:val="19"/>
              </w:rPr>
              <w:t xml:space="preserve"> without the questionnaire being started). So keep Appointments up to date: an appointment left open after its date keeps that case out of the reminders.</w:t>
            </w:r>
          </w:p>
        </w:tc>
      </w:tr>
    </w:tbl>
    <w:p>
      <w:pPr>
        <w:pStyle w:val="Heading3"/>
      </w:pPr>
      <w:r>
        <w:t xml:space="preserve">Invitations that have run out</w:t>
      </w:r>
    </w:p>
    <w:p>
      <w:pPr>
        <w:spacing w:after="120" w:line="288"/>
      </w:pPr>
      <w:r>
        <w:t xml:space="preserve">An invitation link works for 14 days. Below the reminders, </w:t>
      </w:r>
      <w:r>
        <w:rPr>
          <w:b/>
          <w:bCs/>
        </w:rPr>
        <w:t xml:space="preserve">Follow-ups</w:t>
      </w:r>
      <w:r>
        <w:t xml:space="preserve"> lists </w:t>
      </w:r>
      <w:r>
        <w:rPr>
          <w:b/>
          <w:bCs/>
        </w:rPr>
        <w:t xml:space="preserve">Invitations that have run out</w:t>
      </w:r>
      <w:r>
        <w:t xml:space="preserve">: organisations that haven't responded and whose link no longer works, either because it passed its expiry date or because the last invitation was revoked or replaced. No reminder is offered for them, because it would point at a dead link.</w:t>
      </w:r>
    </w:p>
    <w:p>
      <w:pPr>
        <w:pStyle w:val="ListParagraph"/>
        <w:numPr>
          <w:ilvl w:val="0"/>
          <w:numId w:val="18"/>
        </w:numPr>
        <w:spacing w:after="80" w:line="276"/>
      </w:pPr>
      <w:r>
        <w:t xml:space="preserve">Select the Sample ID to open the case.</w:t>
      </w:r>
    </w:p>
    <w:p>
      <w:pPr>
        <w:pStyle w:val="ListParagraph"/>
        <w:numPr>
          <w:ilvl w:val="0"/>
          <w:numId w:val="18"/>
        </w:numPr>
        <w:spacing w:after="80" w:line="276"/>
      </w:pPr>
      <w:r>
        <w:t xml:space="preserve">Select </w:t>
      </w:r>
      <w:r>
        <w:rPr>
          <w:b/>
          <w:bCs/>
        </w:rPr>
        <w:t xml:space="preserve">Send invitation</w:t>
      </w:r>
      <w:r>
        <w:t xml:space="preserve"> (it may read </w:t>
      </w:r>
      <w:r>
        <w:rPr>
          <w:b/>
          <w:bCs/>
        </w:rPr>
        <w:t xml:space="preserve">Send new invitation (replaces current)</w:t>
      </w:r>
      <w:r>
        <w:t xml:space="preserve">) and send it as usual. The case leaves the list, and the Day 2 and Day 7 reminders start again from the new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Landlines</w:t>
            </w:r>
          </w:p>
          <w:p>
            <w:pPr>
              <w:spacing w:after="40" w:line="264"/>
            </w:pPr>
            <w:r>
              <w:rPr>
                <w:sz w:val="19"/>
                <w:szCs w:val="19"/>
              </w:rPr>
              <w:t xml:space="preserve">WhatsApp and SMS only go to mobile numbers. Where a respondent has only a landline, the invitation panel and Follow-ups say so: phone them, or ask for a mobile number and add it to the case.</w:t>
            </w:r>
          </w:p>
        </w:tc>
      </w:tr>
    </w:tbl>
    <w:p>
      <w:pPr>
        <w:pStyle w:val="Heading2"/>
      </w:pPr>
      <w:r>
        <w:t xml:space="preserve">4.12 Managing appointments</w:t>
      </w:r>
    </w:p>
    <w:p>
      <w:pPr>
        <w:pStyle w:val="ListParagraph"/>
        <w:numPr>
          <w:ilvl w:val="0"/>
          <w:numId w:val="19"/>
        </w:numPr>
        <w:spacing w:after="80" w:line="276"/>
      </w:pPr>
      <w:r>
        <w:t xml:space="preserve">Select </w:t>
      </w:r>
      <w:r>
        <w:rPr>
          <w:b/>
          <w:bCs/>
        </w:rPr>
        <w:t xml:space="preserve">Appointments</w:t>
      </w:r>
      <w:r>
        <w:t xml:space="preserve">. Each row shows the case (Sample ID and organisation) or KII, the requested time, the mode (PHONE, WHATSAPP_VOICE, ZOOM, …) and the status.</w:t>
      </w:r>
    </w:p>
    <w:p>
      <w:pPr>
        <w:keepNext/>
        <w:spacing w:after="40" w:before="80"/>
        <w:jc w:val="center"/>
      </w:pPr>
      <w:r>
        <w:drawing>
          <wp:inline distT="0" distB="0" distL="0" distR="0">
            <wp:extent cx="5334000" cy="2667000"/>
            <wp:effectExtent t="0" r="0" b="0" l="0"/>
            <wp:docPr id="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19. </w:t>
      </w:r>
      <w:r>
        <w:rPr>
          <w:i/>
          <w:iCs/>
          <w:color w:val="5B6670"/>
          <w:sz w:val="17"/>
          <w:szCs w:val="17"/>
        </w:rPr>
        <w:t xml:space="preserve">Appointment Queue.</w:t>
      </w:r>
    </w:p>
    <w:p>
      <w:pPr>
        <w:pStyle w:val="ListParagraph"/>
        <w:numPr>
          <w:ilvl w:val="0"/>
          <w:numId w:val="19"/>
        </w:numPr>
        <w:spacing w:after="80" w:line="276"/>
      </w:pPr>
      <w:r>
        <w:t xml:space="preserve">Use </w:t>
      </w:r>
      <w:r>
        <w:rPr>
          <w:b/>
          <w:bCs/>
        </w:rPr>
        <w:t xml:space="preserve">Filter by status</w:t>
      </w:r>
      <w:r>
        <w:t xml:space="preserve"> to show, for example, only </w:t>
      </w:r>
      <w:r>
        <w:rPr>
          <w:b/>
          <w:bCs/>
        </w:rPr>
        <w:t xml:space="preserve">REQUESTED</w:t>
      </w:r>
      <w:r>
        <w:t xml:space="preserve"> appointments.</w:t>
      </w:r>
    </w:p>
    <w:p>
      <w:pPr>
        <w:pStyle w:val="ListParagraph"/>
        <w:numPr>
          <w:ilvl w:val="0"/>
          <w:numId w:val="19"/>
        </w:numPr>
        <w:spacing w:after="80" w:line="276"/>
      </w:pPr>
      <w:r>
        <w:t xml:space="preserve">Contact the respondent to confirm, then select </w:t>
      </w:r>
      <w:r>
        <w:rPr>
          <w:b/>
          <w:bCs/>
        </w:rPr>
        <w:t xml:space="preserve">CONFIRMED</w:t>
      </w:r>
      <w:r>
        <w:t xml:space="preserve">.</w:t>
      </w:r>
    </w:p>
    <w:p>
      <w:pPr>
        <w:pStyle w:val="ListParagraph"/>
        <w:numPr>
          <w:ilvl w:val="0"/>
          <w:numId w:val="19"/>
        </w:numPr>
        <w:spacing w:after="80" w:line="276"/>
      </w:pPr>
      <w:r>
        <w:t xml:space="preserve">After the session select </w:t>
      </w:r>
      <w:r>
        <w:rPr>
          <w:b/>
          <w:bCs/>
        </w:rPr>
        <w:t xml:space="preserve">COMPLETED</w:t>
      </w:r>
      <w:r>
        <w:t xml:space="preserve">, or </w:t>
      </w:r>
      <w:r>
        <w:rPr>
          <w:b/>
          <w:bCs/>
        </w:rPr>
        <w:t xml:space="preserve">MISSED</w:t>
      </w:r>
      <w:r>
        <w:t xml:space="preserve"> if they did not attend, or </w:t>
      </w:r>
      <w:r>
        <w:rPr>
          <w:b/>
          <w:bCs/>
        </w:rPr>
        <w:t xml:space="preserve">CANCELLED</w:t>
      </w:r>
      <w:r>
        <w:t xml:space="preserve">. Only valid next steps are shown; a finished appointment shows </w:t>
      </w:r>
      <w:r>
        <w:rPr>
          <w:b/>
          <w:bCs/>
        </w:rPr>
        <w:t xml:space="preserve">No further action</w:t>
      </w:r>
      <w:r>
        <w:t xml:space="preserve">.</w:t>
      </w:r>
    </w:p>
    <w:p>
      <w:pPr>
        <w:spacing w:after="80"/>
      </w:pPr>
    </w:p>
    <w:p>
      <w:pPr>
        <w:spacing w:after="120" w:line="288"/>
      </w:pPr>
      <w:r>
        <w:t xml:space="preserve">While an appointment is </w:t>
      </w:r>
      <w:r>
        <w:rPr>
          <w:b/>
          <w:bCs/>
        </w:rPr>
        <w:t xml:space="preserve">REQUESTED</w:t>
      </w:r>
      <w:r>
        <w:t xml:space="preserve"> or </w:t>
      </w:r>
      <w:r>
        <w:rPr>
          <w:b/>
          <w:bCs/>
        </w:rPr>
        <w:t xml:space="preserve">CONFIRMED</w:t>
      </w:r>
      <w:r>
        <w:t xml:space="preserve">, its case gets no Day 2 or Day 7 reminder and cannot become Nonresponse: the respondent has already said how they want to take part. </w:t>
      </w:r>
      <w:r>
        <w:rPr>
          <w:b/>
          <w:bCs/>
        </w:rPr>
        <w:t xml:space="preserve">MISSED</w:t>
      </w:r>
      <w:r>
        <w:t xml:space="preserve"> or </w:t>
      </w:r>
      <w:r>
        <w:rPr>
          <w:b/>
          <w:bCs/>
        </w:rPr>
        <w:t xml:space="preserve">CANCELLED</w:t>
      </w:r>
      <w:r>
        <w:t xml:space="preserve"> puts the case back on Follow-ups. Every request and every status change is recorded in the audit log.</w:t>
      </w:r>
    </w:p>
    <w:p>
      <w:pPr>
        <w:pStyle w:val="Heading2"/>
      </w:pPr>
      <w:r>
        <w:t xml:space="preserve">4.13 Logging a contact attempt</w:t>
      </w:r>
    </w:p>
    <w:p>
      <w:pPr>
        <w:spacing w:after="120" w:line="288"/>
      </w:pPr>
      <w:r>
        <w:t xml:space="preserve">Record </w:t>
      </w:r>
      <w:r>
        <w:rPr>
          <w:b/>
          <w:bCs/>
        </w:rPr>
        <w:t xml:space="preserve">every</w:t>
      </w:r>
      <w:r>
        <w:t xml:space="preserve"> attempt, successful or not. The Contact Dashboard, Reports and any later replacement decision rely on it.</w:t>
      </w:r>
    </w:p>
    <w:p>
      <w:pPr>
        <w:pStyle w:val="ListParagraph"/>
        <w:numPr>
          <w:ilvl w:val="0"/>
          <w:numId w:val="20"/>
        </w:numPr>
        <w:spacing w:after="80" w:line="276"/>
      </w:pPr>
      <w:r>
        <w:t xml:space="preserve">On the case page, scroll to </w:t>
      </w:r>
      <w:r>
        <w:rPr>
          <w:b/>
          <w:bCs/>
        </w:rPr>
        <w:t xml:space="preserve">Contact timeline → Log a contact attempt</w:t>
      </w:r>
      <w:r>
        <w:t xml:space="preserve">.</w:t>
      </w:r>
    </w:p>
    <w:p>
      <w:pPr>
        <w:keepNext/>
        <w:spacing w:after="40" w:before="80"/>
        <w:jc w:val="center"/>
      </w:pPr>
      <w:r>
        <w:drawing>
          <wp:inline distT="0" distB="0" distL="0" distR="0">
            <wp:extent cx="5334000" cy="1343025"/>
            <wp:effectExtent t="0" r="0" b="0" l="0"/>
            <wp:docPr id="1"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1343025"/>
                    </a:xfrm>
                    <a:prstGeom prst="rect">
                      <a:avLst/>
                    </a:prstGeom>
                  </pic:spPr>
                </pic:pic>
              </a:graphicData>
            </a:graphic>
          </wp:inline>
        </w:drawing>
      </w:r>
    </w:p>
    <w:p>
      <w:pPr>
        <w:spacing w:after="180"/>
        <w:jc w:val="center"/>
      </w:pPr>
      <w:r>
        <w:rPr>
          <w:b/>
          <w:bCs/>
          <w:color w:val="5B6670"/>
          <w:sz w:val="17"/>
          <w:szCs w:val="17"/>
        </w:rPr>
        <w:t xml:space="preserve">Figure 20. </w:t>
      </w:r>
      <w:r>
        <w:rPr>
          <w:i/>
          <w:iCs/>
          <w:color w:val="5B6670"/>
          <w:sz w:val="17"/>
          <w:szCs w:val="17"/>
        </w:rPr>
        <w:t xml:space="preserve">Contact timeline and the form for logging an attempt.</w:t>
      </w:r>
    </w:p>
    <w:p>
      <w:pPr>
        <w:pStyle w:val="ListParagraph"/>
        <w:numPr>
          <w:ilvl w:val="0"/>
          <w:numId w:val="20"/>
        </w:numPr>
        <w:spacing w:after="80" w:line="276"/>
      </w:pPr>
      <w:r>
        <w:t xml:space="preserve">Choose the </w:t>
      </w:r>
      <w:r>
        <w:rPr>
          <w:b/>
          <w:bCs/>
        </w:rPr>
        <w:t xml:space="preserve">channel</w:t>
      </w:r>
      <w:r>
        <w:t xml:space="preserve"> (WHATSAPP, EMAIL, PHONE, SMS, FACE_TO_FACE) and the </w:t>
      </w:r>
      <w:r>
        <w:rPr>
          <w:b/>
          <w:bCs/>
        </w:rPr>
        <w:t xml:space="preserve">outcome</w:t>
      </w:r>
      <w:r>
        <w:t xml:space="preserve"> (REACHED, NO_ANSWER, WRONG_NUMBER, REFUSED, RESCHEDULED, COMPLETED).</w:t>
      </w:r>
    </w:p>
    <w:p>
      <w:pPr>
        <w:pStyle w:val="ListParagraph"/>
        <w:numPr>
          <w:ilvl w:val="0"/>
          <w:numId w:val="20"/>
        </w:numPr>
        <w:spacing w:after="80" w:line="276"/>
      </w:pPr>
      <w:r>
        <w:t xml:space="preserve">Add a short, factual note (optional), e.g. "PA says MD travelling; call back Thursday". Do not record opinions about the person.</w:t>
      </w:r>
    </w:p>
    <w:p>
      <w:pPr>
        <w:pStyle w:val="ListParagraph"/>
        <w:numPr>
          <w:ilvl w:val="0"/>
          <w:numId w:val="20"/>
        </w:numPr>
        <w:spacing w:after="80" w:line="276"/>
      </w:pPr>
      <w:r>
        <w:t xml:space="preserve">Select </w:t>
      </w:r>
      <w:r>
        <w:rPr>
          <w:b/>
          <w:bCs/>
        </w:rPr>
        <w:t xml:space="preserve">Log contact attempt</w:t>
      </w:r>
      <w:r>
        <w:t xml:space="preserve">. The entry appears at the top of the timeline with the date and time.</w:t>
      </w:r>
    </w:p>
    <w:p>
      <w:pPr>
        <w:spacing w:after="80"/>
      </w:pPr>
    </w:p>
    <w:p>
      <w:pPr>
        <w:pStyle w:val="Heading2"/>
      </w:pPr>
      <w:r>
        <w:t xml:space="preserve">4.14 Changing a case's status by hand</w:t>
      </w:r>
    </w:p>
    <w:p>
      <w:pPr>
        <w:spacing w:after="120" w:line="288"/>
      </w:pPr>
      <w:r>
        <w:t xml:space="preserve">Most statuses move automatically. Use </w:t>
      </w:r>
      <w:r>
        <w:rPr>
          <w:b/>
          <w:bCs/>
        </w:rPr>
        <w:t xml:space="preserve">Advance workflow status</w:t>
      </w:r>
      <w:r>
        <w:t xml:space="preserve"> on the case page only for decisions a person makes, such as recording that an organisation is ineligible or has refused.</w:t>
      </w:r>
    </w:p>
    <w:p>
      <w:pPr>
        <w:pStyle w:val="ListParagraph"/>
        <w:numPr>
          <w:ilvl w:val="0"/>
          <w:numId w:val="21"/>
        </w:numPr>
        <w:spacing w:after="80" w:line="276"/>
      </w:pPr>
      <w:r>
        <w:t xml:space="preserve">On the case page, find </w:t>
      </w:r>
      <w:r>
        <w:rPr>
          <w:b/>
          <w:bCs/>
        </w:rPr>
        <w:t xml:space="preserve">Advance workflow status</w:t>
      </w:r>
      <w:r>
        <w:t xml:space="preserve">. Only the transitions allowed from the current status are shown, e.g. </w:t>
      </w:r>
      <w:r>
        <w:rPr>
          <w:b/>
          <w:bCs/>
        </w:rPr>
        <w:t xml:space="preserve">→ S04</w:t>
      </w:r>
      <w:r>
        <w:t xml:space="preserve"> or </w:t>
      </w:r>
      <w:r>
        <w:rPr>
          <w:b/>
          <w:bCs/>
        </w:rPr>
        <w:t xml:space="preserve">→ S14</w:t>
      </w:r>
      <w:r>
        <w:t xml:space="preserve">.</w:t>
      </w:r>
    </w:p>
    <w:p>
      <w:pPr>
        <w:keepNext/>
        <w:spacing w:after="40" w:before="80"/>
        <w:jc w:val="center"/>
      </w:pPr>
      <w:r>
        <w:drawing>
          <wp:inline distT="0" distB="0" distL="0" distR="0">
            <wp:extent cx="5334000" cy="638175"/>
            <wp:effectExtent t="0" r="0" b="0" l="0"/>
            <wp:docPr id="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638175"/>
                    </a:xfrm>
                    <a:prstGeom prst="rect">
                      <a:avLst/>
                    </a:prstGeom>
                  </pic:spPr>
                </pic:pic>
              </a:graphicData>
            </a:graphic>
          </wp:inline>
        </w:drawing>
      </w:r>
    </w:p>
    <w:p>
      <w:pPr>
        <w:spacing w:after="180"/>
        <w:jc w:val="center"/>
      </w:pPr>
      <w:r>
        <w:rPr>
          <w:b/>
          <w:bCs/>
          <w:color w:val="5B6670"/>
          <w:sz w:val="17"/>
          <w:szCs w:val="17"/>
        </w:rPr>
        <w:t xml:space="preserve">Figure 21. </w:t>
      </w:r>
      <w:r>
        <w:rPr>
          <w:i/>
          <w:iCs/>
          <w:color w:val="5B6670"/>
          <w:sz w:val="17"/>
          <w:szCs w:val="17"/>
        </w:rPr>
        <w:t xml:space="preserve">Only valid next statuses are offered.</w:t>
      </w:r>
    </w:p>
    <w:p>
      <w:pPr>
        <w:pStyle w:val="ListParagraph"/>
        <w:numPr>
          <w:ilvl w:val="0"/>
          <w:numId w:val="21"/>
        </w:numPr>
        <w:spacing w:after="80" w:line="276"/>
      </w:pPr>
      <w:r>
        <w:t xml:space="preserve">Log a contact attempt or note explaining the decision first.</w:t>
      </w:r>
    </w:p>
    <w:p>
      <w:pPr>
        <w:pStyle w:val="ListParagraph"/>
        <w:numPr>
          <w:ilvl w:val="0"/>
          <w:numId w:val="21"/>
        </w:numPr>
        <w:spacing w:after="80" w:line="276"/>
      </w:pPr>
      <w:r>
        <w:t xml:space="preserve">Select the new status. The change is audited.</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From</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Can move to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S00</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S01</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S01</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S02, S15</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S02</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S03, S14, S15</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S04, S14</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S04</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S05</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S05, S06, S07</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Next step, S12 Refused, S13 Nonresponse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S08</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S09, S10</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S09</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S10</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S10</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S11</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S12–S15</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S16 Reserve eligible for activation</w:t>
            </w:r>
          </w:p>
        </w:tc>
      </w:tr>
    </w:tbl>
    <w:p>
      <w:pPr>
        <w:spacing w:after="120"/>
      </w:pPr>
    </w:p>
    <w:p>
      <w:pPr>
        <w:pStyle w:val="Heading2"/>
      </w:pPr>
      <w:r>
        <w:t xml:space="preserve">4.15 When the person is not the right respondent</w:t>
      </w:r>
    </w:p>
    <w:p>
      <w:pPr>
        <w:pStyle w:val="ListParagraph"/>
        <w:numPr>
          <w:ilvl w:val="0"/>
          <w:numId w:val="2"/>
        </w:numPr>
        <w:spacing w:after="60" w:line="276"/>
      </w:pPr>
      <w:r>
        <w:t xml:space="preserve">If someone chooses </w:t>
      </w:r>
      <w:r>
        <w:rPr>
          <w:b/>
          <w:bCs/>
        </w:rPr>
        <w:t xml:space="preserve">None of these describe me</w:t>
      </w:r>
      <w:r>
        <w:t xml:space="preserve">, the portal thanks them and the questionnaire never opens. No answers are recorded.</w:t>
      </w:r>
    </w:p>
    <w:p>
      <w:pPr>
        <w:pStyle w:val="ListParagraph"/>
        <w:numPr>
          <w:ilvl w:val="0"/>
          <w:numId w:val="2"/>
        </w:numPr>
        <w:spacing w:after="60" w:line="276"/>
      </w:pPr>
      <w:r>
        <w:t xml:space="preserve">Ask them politely to nominate the right senior person, record that person under </w:t>
      </w:r>
      <w:r>
        <w:rPr>
          <w:b/>
          <w:bCs/>
        </w:rPr>
        <w:t xml:space="preserve">Respondents and contact details</w:t>
      </w:r>
      <w:r>
        <w:t xml:space="preserve">, and send a new invitation.</w:t>
      </w:r>
    </w:p>
    <w:p>
      <w:pPr>
        <w:pStyle w:val="ListParagraph"/>
        <w:numPr>
          <w:ilvl w:val="0"/>
          <w:numId w:val="2"/>
        </w:numPr>
        <w:spacing w:after="60" w:line="276"/>
      </w:pPr>
      <w:r>
        <w:t xml:space="preserve">If nobody suitable exists, record the reason in the contact timeline and move the case to </w:t>
      </w:r>
      <w:r>
        <w:rPr>
          <w:b/>
          <w:bCs/>
        </w:rPr>
        <w:t xml:space="preserve">S14 Ineligible</w:t>
      </w:r>
      <w:r>
        <w:t xml:space="preserve"> (Field Coordinator or PI).</w:t>
      </w:r>
    </w:p>
    <w:p>
      <w:pPr>
        <w:spacing w:after="60"/>
      </w:pPr>
    </w:p>
    <w:p>
      <w:pPr>
        <w:pStyle w:val="Heading2"/>
      </w:pPr>
      <w:r>
        <w:t xml:space="preserve">4.16 Recording a withdrawal</w:t>
      </w:r>
    </w:p>
    <w:p>
      <w:pPr>
        <w:spacing w:after="120" w:line="288"/>
      </w:pPr>
      <w:r>
        <w:t xml:space="preserve">A participant may withdraw at any time, for any reason, without giving one.</w:t>
      </w:r>
    </w:p>
    <w:p>
      <w:pPr>
        <w:pStyle w:val="ListParagraph"/>
        <w:numPr>
          <w:ilvl w:val="0"/>
          <w:numId w:val="22"/>
        </w:numPr>
        <w:spacing w:after="80" w:line="276"/>
      </w:pPr>
      <w:r>
        <w:t xml:space="preserve">Stop contacting the person immediately.</w:t>
      </w:r>
    </w:p>
    <w:p>
      <w:pPr>
        <w:pStyle w:val="ListParagraph"/>
        <w:numPr>
          <w:ilvl w:val="0"/>
          <w:numId w:val="22"/>
        </w:numPr>
        <w:spacing w:after="80" w:line="276"/>
      </w:pPr>
      <w:r>
        <w:t xml:space="preserve">On the case page, in </w:t>
      </w:r>
      <w:r>
        <w:rPr>
          <w:b/>
          <w:bCs/>
        </w:rPr>
        <w:t xml:space="preserve">Record a withdrawal</w:t>
      </w:r>
      <w:r>
        <w:t xml:space="preserve">, choose </w:t>
      </w:r>
      <w:r>
        <w:rPr>
          <w:b/>
          <w:bCs/>
        </w:rPr>
        <w:t xml:space="preserve">How they told us</w:t>
      </w:r>
      <w:r>
        <w:t xml:space="preserve"> — </w:t>
      </w:r>
      <w:r>
        <w:rPr>
          <w:b/>
          <w:bCs/>
        </w:rPr>
        <w:t xml:space="preserve">By phone or in person</w:t>
      </w:r>
      <w:r>
        <w:t xml:space="preserve">, or </w:t>
      </w:r>
      <w:r>
        <w:rPr>
          <w:b/>
          <w:bCs/>
        </w:rPr>
        <w:t xml:space="preserve">In writing (WhatsApp, email, letter)</w:t>
      </w:r>
      <w:r>
        <w:t xml:space="preserve"> — and type the reason or their own words.</w:t>
      </w:r>
    </w:p>
    <w:p>
      <w:pPr>
        <w:keepNext/>
        <w:spacing w:after="40" w:before="80"/>
        <w:jc w:val="center"/>
      </w:pPr>
      <w:r>
        <w:drawing>
          <wp:inline distT="0" distB="0" distL="0" distR="0">
            <wp:extent cx="5334000" cy="1409700"/>
            <wp:effectExtent t="0" r="0" b="0" l="0"/>
            <wp:docPr id="1"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1409700"/>
                    </a:xfrm>
                    <a:prstGeom prst="rect">
                      <a:avLst/>
                    </a:prstGeom>
                  </pic:spPr>
                </pic:pic>
              </a:graphicData>
            </a:graphic>
          </wp:inline>
        </w:drawing>
      </w:r>
    </w:p>
    <w:p>
      <w:pPr>
        <w:spacing w:after="180"/>
        <w:jc w:val="center"/>
      </w:pPr>
      <w:r>
        <w:rPr>
          <w:b/>
          <w:bCs/>
          <w:color w:val="5B6670"/>
          <w:sz w:val="17"/>
          <w:szCs w:val="17"/>
        </w:rPr>
        <w:t xml:space="preserve">Figure 22. </w:t>
      </w:r>
      <w:r>
        <w:rPr>
          <w:i/>
          <w:iCs/>
          <w:color w:val="5B6670"/>
          <w:sz w:val="17"/>
          <w:szCs w:val="17"/>
        </w:rPr>
        <w:t xml:space="preserve">Record a withdrawal.</w:t>
      </w:r>
    </w:p>
    <w:p>
      <w:pPr>
        <w:pStyle w:val="ListParagraph"/>
        <w:numPr>
          <w:ilvl w:val="0"/>
          <w:numId w:val="22"/>
        </w:numPr>
        <w:spacing w:after="80" w:line="276"/>
      </w:pPr>
      <w:r>
        <w:t xml:space="preserve">Select </w:t>
      </w:r>
      <w:r>
        <w:rPr>
          <w:b/>
          <w:bCs/>
        </w:rPr>
        <w:t xml:space="preserve">Record withdrawal</w:t>
      </w:r>
      <w:r>
        <w:t xml:space="preserve"> and confirm.</w:t>
      </w:r>
    </w:p>
    <w:p>
      <w:pPr>
        <w:spacing w:after="80"/>
      </w:pPr>
    </w:p>
    <w:p>
      <w:pPr>
        <w:spacing w:after="120" w:line="288"/>
      </w:pPr>
      <w:r>
        <w:t xml:space="preserve">In one step the portal records the withdrawal, stops the invitation link and all reminders, moves the case to </w:t>
      </w:r>
      <w:r>
        <w:rPr>
          <w:b/>
          <w:bCs/>
        </w:rPr>
        <w:t xml:space="preserve">S12 Refused</w:t>
      </w:r>
      <w:r>
        <w:t xml:space="preserve"> where allowed, erases the phone, WhatsApp, email and gatekeeper contact, and flags the case as </w:t>
      </w:r>
      <w:r>
        <w:rPr>
          <w:rFonts w:ascii="Consolas" w:cs="Consolas" w:eastAsia="Consolas" w:hAnsi="Consolas"/>
          <w:b w:val="false"/>
          <w:bCs w:val="false"/>
          <w:color w:val="122238"/>
          <w:sz w:val="19"/>
          <w:szCs w:val="19"/>
        </w:rPr>
        <w:t xml:space="preserve">consent_withdrawn</w:t>
      </w:r>
      <w:r>
        <w:t xml:space="preserve"> in every export. This cannot be undone.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Answers already submitted</w:t>
            </w:r>
          </w:p>
          <w:p>
            <w:pPr>
              <w:spacing w:after="40" w:line="264"/>
            </w:pPr>
            <w:r>
              <w:rPr>
                <w:sz w:val="19"/>
                <w:szCs w:val="19"/>
              </w:rPr>
              <w:t xml:space="preserve">PI decision (15 September 2026): a questionnaire submitted before the withdrawal is </w:t>
            </w:r>
            <w:r>
              <w:rPr>
                <w:b/>
                <w:bCs/>
                <w:sz w:val="19"/>
                <w:szCs w:val="19"/>
              </w:rPr>
              <w:t xml:space="preserve">kept for the audit trail but never analysed</w:t>
            </w:r>
            <w:r>
              <w:rPr>
                <w:sz w:val="19"/>
                <w:szCs w:val="19"/>
              </w:rPr>
              <w:t xml:space="preserve">. It is left out of the de-identified analysis export automatically, flagged </w:t>
            </w:r>
            <w:r>
              <w:rPr>
                <w:rFonts w:ascii="Consolas" w:cs="Consolas" w:eastAsia="Consolas" w:hAnsi="Consolas"/>
                <w:b w:val="false"/>
                <w:bCs w:val="false"/>
                <w:color w:val="122238"/>
                <w:sz w:val="19"/>
                <w:szCs w:val="19"/>
              </w:rPr>
              <w:t xml:space="preserve">consent_withdrawn</w:t>
            </w:r>
            <w:r>
              <w:rPr>
                <w:sz w:val="19"/>
                <w:szCs w:val="19"/>
              </w:rPr>
              <w:t xml:space="preserve"> in the operational export, and marked in the PI's KoboToolbox workbook (README count and </w:t>
            </w:r>
            <w:r>
              <w:rPr>
                <w:rFonts w:ascii="Consolas" w:cs="Consolas" w:eastAsia="Consolas" w:hAnsi="Consolas"/>
                <w:b w:val="false"/>
                <w:bCs w:val="false"/>
                <w:color w:val="122238"/>
                <w:sz w:val="19"/>
                <w:szCs w:val="19"/>
              </w:rPr>
              <w:t xml:space="preserve">portal_consent_withdrawn</w:t>
            </w:r>
            <w:r>
              <w:rPr>
                <w:sz w:val="19"/>
                <w:szCs w:val="19"/>
              </w:rPr>
              <w:t xml:space="preserve"> = TRUE) and PDF ZIP (file name starts </w:t>
            </w:r>
            <w:r>
              <w:rPr>
                <w:rFonts w:ascii="Consolas" w:cs="Consolas" w:eastAsia="Consolas" w:hAnsi="Consolas"/>
                <w:b w:val="false"/>
                <w:bCs w:val="false"/>
                <w:color w:val="122238"/>
                <w:sz w:val="19"/>
                <w:szCs w:val="19"/>
              </w:rPr>
              <w:t xml:space="preserve">WITHDRAWN-</w:t>
            </w:r>
            <w:r>
              <w:rPr>
                <w:sz w:val="19"/>
                <w:szCs w:val="19"/>
              </w:rPr>
              <w:t xml:space="preserve">).</w:t>
            </w:r>
          </w:p>
        </w:tc>
      </w:tr>
    </w:tbl>
    <w:p>
      <w:pPr>
        <w:pStyle w:val="Heading2"/>
      </w:pPr>
      <w:r>
        <w:t xml:space="preserve">4.17 Activating a Reserve case</w:t>
      </w:r>
    </w:p>
    <w:p>
      <w:pPr>
        <w:spacing w:after="120" w:line="288"/>
      </w:pPr>
      <w:r>
        <w:t xml:space="preserve">A Reserve replaces its Main case only after the Main case reaches a drop state (S12 Refused, S13 Nonresponse, S14 Ineligible or S15 Duplicate/inactive) and there is evidence.</w:t>
      </w:r>
    </w:p>
    <w:p>
      <w:pPr>
        <w:pStyle w:val="ListParagraph"/>
        <w:numPr>
          <w:ilvl w:val="0"/>
          <w:numId w:val="23"/>
        </w:numPr>
        <w:spacing w:after="80" w:line="276"/>
      </w:pPr>
      <w:r>
        <w:t xml:space="preserve">Select </w:t>
      </w:r>
      <w:r>
        <w:rPr>
          <w:b/>
          <w:bCs/>
        </w:rPr>
        <w:t xml:space="preserve">Reserve Activation</w:t>
      </w:r>
      <w:r>
        <w:t xml:space="preserve">. Every locked Reserve is listed with a search box.</w:t>
      </w:r>
    </w:p>
    <w:p>
      <w:pPr>
        <w:keepNext/>
        <w:spacing w:after="40" w:before="80"/>
        <w:jc w:val="center"/>
      </w:pPr>
      <w:r>
        <w:drawing>
          <wp:inline distT="0" distB="0" distL="0" distR="0">
            <wp:extent cx="5334000" cy="2505075"/>
            <wp:effectExtent t="0" r="0" b="0" l="0"/>
            <wp:docPr id="1"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2505075"/>
                    </a:xfrm>
                    <a:prstGeom prst="rect">
                      <a:avLst/>
                    </a:prstGeom>
                  </pic:spPr>
                </pic:pic>
              </a:graphicData>
            </a:graphic>
          </wp:inline>
        </w:drawing>
      </w:r>
    </w:p>
    <w:p>
      <w:pPr>
        <w:spacing w:after="180"/>
        <w:jc w:val="center"/>
      </w:pPr>
      <w:r>
        <w:rPr>
          <w:b/>
          <w:bCs/>
          <w:color w:val="5B6670"/>
          <w:sz w:val="17"/>
          <w:szCs w:val="17"/>
        </w:rPr>
        <w:t xml:space="preserve">Figure 23. </w:t>
      </w:r>
      <w:r>
        <w:rPr>
          <w:i/>
          <w:iCs/>
          <w:color w:val="5B6670"/>
          <w:sz w:val="17"/>
          <w:szCs w:val="17"/>
        </w:rPr>
        <w:t xml:space="preserve">Reserve Activation.</w:t>
      </w:r>
    </w:p>
    <w:p>
      <w:pPr>
        <w:pStyle w:val="ListParagraph"/>
        <w:numPr>
          <w:ilvl w:val="0"/>
          <w:numId w:val="23"/>
        </w:numPr>
        <w:spacing w:after="80" w:line="276"/>
      </w:pPr>
      <w:r>
        <w:t xml:space="preserve">Find the Reserve matched to the dropped Main case (the Main case page shows the pairing).</w:t>
      </w:r>
    </w:p>
    <w:p>
      <w:pPr>
        <w:pStyle w:val="ListParagraph"/>
        <w:numPr>
          <w:ilvl w:val="0"/>
          <w:numId w:val="23"/>
        </w:numPr>
        <w:spacing w:after="80" w:line="276"/>
      </w:pPr>
      <w:r>
        <w:t xml:space="preserve">Choose the authorised reason: </w:t>
      </w:r>
      <w:r>
        <w:rPr>
          <w:b/>
          <w:bCs/>
        </w:rPr>
        <w:t xml:space="preserve">Ineligible</w:t>
      </w:r>
      <w:r>
        <w:t xml:space="preserve">, </w:t>
      </w:r>
      <w:r>
        <w:rPr>
          <w:b/>
          <w:bCs/>
        </w:rPr>
        <w:t xml:space="preserve">Inactive</w:t>
      </w:r>
      <w:r>
        <w:t xml:space="preserve">, </w:t>
      </w:r>
      <w:r>
        <w:rPr>
          <w:b/>
          <w:bCs/>
        </w:rPr>
        <w:t xml:space="preserve">Duplicate</w:t>
      </w:r>
      <w:r>
        <w:t xml:space="preserve">, </w:t>
      </w:r>
      <w:r>
        <w:rPr>
          <w:b/>
          <w:bCs/>
        </w:rPr>
        <w:t xml:space="preserve">Refusal</w:t>
      </w:r>
      <w:r>
        <w:t xml:space="preserve"> or </w:t>
      </w:r>
      <w:r>
        <w:rPr>
          <w:b/>
          <w:bCs/>
        </w:rPr>
        <w:t xml:space="preserve">Nonresponse exhausted</w:t>
      </w:r>
      <w:r>
        <w:t xml:space="preserve">. There is deliberately no "other".</w:t>
      </w:r>
    </w:p>
    <w:p>
      <w:pPr>
        <w:pStyle w:val="ListParagraph"/>
        <w:numPr>
          <w:ilvl w:val="0"/>
          <w:numId w:val="23"/>
        </w:numPr>
        <w:spacing w:after="80" w:line="276"/>
      </w:pPr>
      <w:r>
        <w:t xml:space="preserve">Write the </w:t>
      </w:r>
      <w:r>
        <w:rPr>
          <w:b/>
          <w:bCs/>
        </w:rPr>
        <w:t xml:space="preserve">Evidence note (required)</w:t>
      </w:r>
      <w:r>
        <w:t xml:space="preserve">, e.g. "MD declined by phone 12 Sep, logged in contact timeline".</w:t>
      </w:r>
    </w:p>
    <w:p>
      <w:pPr>
        <w:pStyle w:val="ListParagraph"/>
        <w:numPr>
          <w:ilvl w:val="0"/>
          <w:numId w:val="23"/>
        </w:numPr>
        <w:spacing w:after="80" w:line="276"/>
      </w:pPr>
      <w:r>
        <w:t xml:space="preserve">Select </w:t>
      </w:r>
      <w:r>
        <w:rPr>
          <w:b/>
          <w:bCs/>
        </w:rPr>
        <w:t xml:space="preserve">Activate this reserve</w:t>
      </w:r>
      <w:r>
        <w:t xml:space="preserve">. The Reserve becomes invitable and is worked like any Main case, starting with verification.</w:t>
      </w:r>
    </w:p>
    <w:p>
      <w:pPr>
        <w:spacing w:after="80"/>
      </w:pPr>
    </w:p>
    <w:p>
      <w:pPr>
        <w:pStyle w:val="Heading2"/>
      </w:pPr>
      <w:r>
        <w:t xml:space="preserve">4.18 Registering a new organisation and its sample case</w:t>
      </w:r>
    </w:p>
    <w:p>
      <w:pPr>
        <w:spacing w:after="120" w:line="288"/>
      </w:pPr>
      <w:r>
        <w:t xml:space="preserve">The approved registers are already loaded. Use this only for a late addition or replacement.</w:t>
      </w:r>
    </w:p>
    <w:p>
      <w:pPr>
        <w:pStyle w:val="ListParagraph"/>
        <w:numPr>
          <w:ilvl w:val="0"/>
          <w:numId w:val="24"/>
        </w:numPr>
        <w:spacing w:after="80" w:line="276"/>
      </w:pPr>
      <w:r>
        <w:t xml:space="preserve">Select </w:t>
      </w:r>
      <w:r>
        <w:rPr>
          <w:b/>
          <w:bCs/>
        </w:rPr>
        <w:t xml:space="preserve">Organisations</w:t>
      </w:r>
      <w:r>
        <w:t xml:space="preserve"> in the top bar.</w:t>
      </w:r>
    </w:p>
    <w:p>
      <w:pPr>
        <w:keepNext/>
        <w:spacing w:after="40" w:before="80"/>
        <w:jc w:val="center"/>
      </w:pPr>
      <w:r>
        <w:drawing>
          <wp:inline distT="0" distB="0" distL="0" distR="0">
            <wp:extent cx="5334000" cy="3333750"/>
            <wp:effectExtent t="0" r="0" b="0" l="0"/>
            <wp:docPr id="1"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24. </w:t>
      </w:r>
      <w:r>
        <w:rPr>
          <w:i/>
          <w:iCs/>
          <w:color w:val="5B6670"/>
          <w:sz w:val="17"/>
          <w:szCs w:val="17"/>
        </w:rPr>
        <w:t xml:space="preserve">Register Organisation: the form (top) and the list of registered organisations (below).</w:t>
      </w:r>
    </w:p>
    <w:p>
      <w:pPr>
        <w:pStyle w:val="ListParagraph"/>
        <w:numPr>
          <w:ilvl w:val="0"/>
          <w:numId w:val="24"/>
        </w:numPr>
        <w:spacing w:after="80" w:line="276"/>
      </w:pPr>
      <w:r>
        <w:t xml:space="preserve">Complete </w:t>
      </w:r>
      <w:r>
        <w:rPr>
          <w:b/>
          <w:bCs/>
        </w:rPr>
        <w:t xml:space="preserve">Name</w:t>
      </w:r>
      <w:r>
        <w:t xml:space="preserve">, </w:t>
      </w:r>
      <w:r>
        <w:rPr>
          <w:b/>
          <w:bCs/>
        </w:rPr>
        <w:t xml:space="preserve">District</w:t>
      </w:r>
      <w:r>
        <w:t xml:space="preserve">, </w:t>
      </w:r>
      <w:r>
        <w:rPr>
          <w:b/>
          <w:bCs/>
        </w:rPr>
        <w:t xml:space="preserve">Province</w:t>
      </w:r>
      <w:r>
        <w:t xml:space="preserve">, </w:t>
      </w:r>
      <w:r>
        <w:rPr>
          <w:b/>
          <w:bCs/>
        </w:rPr>
        <w:t xml:space="preserve">Entity type</w:t>
      </w:r>
      <w:r>
        <w:t xml:space="preserve">, </w:t>
      </w:r>
      <w:r>
        <w:rPr>
          <w:b/>
          <w:bCs/>
        </w:rPr>
        <w:t xml:space="preserve">Actor family</w:t>
      </w:r>
      <w:r>
        <w:t xml:space="preserve">, </w:t>
      </w:r>
      <w:r>
        <w:rPr>
          <w:b/>
          <w:bCs/>
        </w:rPr>
        <w:t xml:space="preserve">Value chain</w:t>
      </w:r>
      <w:r>
        <w:t xml:space="preserve"> and </w:t>
      </w:r>
      <w:r>
        <w:rPr>
          <w:b/>
          <w:bCs/>
        </w:rPr>
        <w:t xml:space="preserve">Size class</w:t>
      </w:r>
      <w:r>
        <w:t xml:space="preserve">. Province, actor family and size class decide the stratum, so check them carefully.</w:t>
      </w:r>
    </w:p>
    <w:p>
      <w:pPr>
        <w:pStyle w:val="ListParagraph"/>
        <w:numPr>
          <w:ilvl w:val="0"/>
          <w:numId w:val="24"/>
        </w:numPr>
        <w:spacing w:after="80" w:line="276"/>
      </w:pPr>
      <w:r>
        <w:t xml:space="preserve">Select </w:t>
      </w:r>
      <w:r>
        <w:rPr>
          <w:b/>
          <w:bCs/>
        </w:rPr>
        <w:t xml:space="preserve">Register organisation</w:t>
      </w:r>
      <w:r>
        <w:t xml:space="preserve">. The Master ID (e.g. MID-HA-000012) is generated automatically.</w:t>
      </w:r>
    </w:p>
    <w:p>
      <w:pPr>
        <w:pStyle w:val="ListParagraph"/>
        <w:numPr>
          <w:ilvl w:val="0"/>
          <w:numId w:val="24"/>
        </w:numPr>
        <w:spacing w:after="80" w:line="276"/>
      </w:pPr>
      <w:r>
        <w:t xml:space="preserve">When offered, choose </w:t>
      </w:r>
      <w:r>
        <w:rPr>
          <w:b/>
          <w:bCs/>
        </w:rPr>
        <w:t xml:space="preserve">Main</w:t>
      </w:r>
      <w:r>
        <w:t xml:space="preserve"> or </w:t>
      </w:r>
      <w:r>
        <w:rPr>
          <w:b/>
          <w:bCs/>
        </w:rPr>
        <w:t xml:space="preserve">Reserve</w:t>
      </w:r>
      <w:r>
        <w:t xml:space="preserve"> and select </w:t>
      </w:r>
      <w:r>
        <w:rPr>
          <w:b/>
          <w:bCs/>
        </w:rPr>
        <w:t xml:space="preserve">Create sample case</w:t>
      </w:r>
      <w:r>
        <w:t xml:space="preserve">. The Sample ID is generated and the new case page opens. You can also create the case later from the organisation's row in the list.</w:t>
      </w:r>
    </w:p>
    <w:p>
      <w:pPr>
        <w:pStyle w:val="ListParagraph"/>
        <w:numPr>
          <w:ilvl w:val="0"/>
          <w:numId w:val="24"/>
        </w:numPr>
        <w:spacing w:after="80" w:line="276"/>
      </w:pPr>
      <w:r>
        <w:t xml:space="preserve">For a Main case, register its Reserve counterpart in the </w:t>
      </w:r>
      <w:r>
        <w:rPr>
          <w:b/>
          <w:bCs/>
        </w:rPr>
        <w:t xml:space="preserve">same province, actor family and size class</w:t>
      </w:r>
      <w:r>
        <w:t xml:space="preserve">, then pair them (see “Pairing a Main case with its Reserve”).</w:t>
      </w:r>
    </w:p>
    <w:p>
      <w:pPr>
        <w:spacing w:after="80"/>
      </w:pPr>
    </w:p>
    <w:p>
      <w:pPr>
        <w:pStyle w:val="Heading2"/>
      </w:pPr>
      <w:r>
        <w:t xml:space="preserve">4.19 Correcting an already-registered organisation</w:t>
      </w:r>
    </w:p>
    <w:p>
      <w:pPr>
        <w:spacing w:after="120" w:line="288"/>
      </w:pPr>
      <w:r>
        <w:t xml:space="preserve">For a mistyped name or a wrong district, entity type or value chain found after registration.</w:t>
      </w:r>
    </w:p>
    <w:p>
      <w:pPr>
        <w:pStyle w:val="ListParagraph"/>
        <w:numPr>
          <w:ilvl w:val="0"/>
          <w:numId w:val="25"/>
        </w:numPr>
        <w:spacing w:after="80" w:line="276"/>
      </w:pPr>
      <w:r>
        <w:t xml:space="preserve">In </w:t>
      </w:r>
      <w:r>
        <w:rPr>
          <w:b/>
          <w:bCs/>
        </w:rPr>
        <w:t xml:space="preserve">Organisations</w:t>
      </w:r>
      <w:r>
        <w:t xml:space="preserve">, find the row and select </w:t>
      </w:r>
      <w:r>
        <w:rPr>
          <w:b/>
          <w:bCs/>
        </w:rPr>
        <w:t xml:space="preserve">Edit</w:t>
      </w:r>
      <w:r>
        <w:t xml:space="preserve">.</w:t>
      </w:r>
    </w:p>
    <w:p>
      <w:pPr>
        <w:keepNext/>
        <w:spacing w:after="40" w:before="80"/>
        <w:jc w:val="center"/>
      </w:pPr>
      <w:r>
        <w:drawing>
          <wp:inline distT="0" distB="0" distL="0" distR="0">
            <wp:extent cx="5334000" cy="3333750"/>
            <wp:effectExtent t="0" r="0" b="0" l="0"/>
            <wp:docPr id="1"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25. </w:t>
      </w:r>
      <w:r>
        <w:rPr>
          <w:i/>
          <w:iCs/>
          <w:color w:val="5B6670"/>
          <w:sz w:val="17"/>
          <w:szCs w:val="17"/>
        </w:rPr>
        <w:t xml:space="preserve">Edit opens the row's own Name, District, Entity type and Value chain fields.</w:t>
      </w:r>
    </w:p>
    <w:p>
      <w:pPr>
        <w:pStyle w:val="ListParagraph"/>
        <w:numPr>
          <w:ilvl w:val="0"/>
          <w:numId w:val="25"/>
        </w:numPr>
        <w:spacing w:after="80" w:line="276"/>
      </w:pPr>
      <w:r>
        <w:t xml:space="preserve">Correct </w:t>
      </w:r>
      <w:r>
        <w:rPr>
          <w:b/>
          <w:bCs/>
        </w:rPr>
        <w:t xml:space="preserve">Name</w:t>
      </w:r>
      <w:r>
        <w:t xml:space="preserve">, </w:t>
      </w:r>
      <w:r>
        <w:rPr>
          <w:b/>
          <w:bCs/>
        </w:rPr>
        <w:t xml:space="preserve">District</w:t>
      </w:r>
      <w:r>
        <w:t xml:space="preserve">, </w:t>
      </w:r>
      <w:r>
        <w:rPr>
          <w:b/>
          <w:bCs/>
        </w:rPr>
        <w:t xml:space="preserve">Entity type</w:t>
      </w:r>
      <w:r>
        <w:t xml:space="preserve"> and/or </w:t>
      </w:r>
      <w:r>
        <w:rPr>
          <w:b/>
          <w:bCs/>
        </w:rPr>
        <w:t xml:space="preserve">Value chain</w:t>
      </w:r>
      <w:r>
        <w:t xml:space="preserve">, then select </w:t>
      </w:r>
      <w:r>
        <w:rPr>
          <w:b/>
          <w:bCs/>
        </w:rPr>
        <w:t xml:space="preserve">Save</w:t>
      </w:r>
      <w:r>
        <w:t xml:space="preserve">.</w:t>
      </w:r>
    </w:p>
    <w:p>
      <w:pPr>
        <w:pStyle w:val="ListParagraph"/>
        <w:numPr>
          <w:ilvl w:val="0"/>
          <w:numId w:val="25"/>
        </w:numPr>
        <w:spacing w:after="80" w:line="276"/>
      </w:pPr>
      <w:r>
        <w:t xml:space="preserve">Select </w:t>
      </w:r>
      <w:r>
        <w:rPr>
          <w:b/>
          <w:bCs/>
        </w:rPr>
        <w:t xml:space="preserve">Cancel</w:t>
      </w:r>
      <w:r>
        <w:t xml:space="preserve"> to close the row without saving.</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Province, actor family and size class can't be corrected here</w:t>
            </w:r>
          </w:p>
          <w:p>
            <w:pPr>
              <w:spacing w:after="40" w:line="264"/>
            </w:pPr>
            <w:r>
              <w:rPr>
                <w:sz w:val="19"/>
                <w:szCs w:val="19"/>
              </w:rPr>
              <w:t xml:space="preserve">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pPr>
        <w:pStyle w:val="Heading2"/>
      </w:pPr>
      <w:r>
        <w:t xml:space="preserve">4.20 Building a pre-interview profile (PROIT), with AI research</w:t>
      </w:r>
    </w:p>
    <w:p>
      <w:pPr>
        <w:spacing w:after="120" w:line="288"/>
      </w:pPr>
      <w:r>
        <w:t xml:space="preserve">PROIT lets the respondent confirm facts already on public record instead of answering them from scratch, and lets the interviewer ask only what is </w:t>
      </w:r>
      <w:r>
        <w:rPr>
          <w:b/>
          <w:bCs/>
        </w:rPr>
        <w:t xml:space="preserve">not</w:t>
      </w:r>
      <w:r>
        <w:t xml:space="preserve"> public. It never pre-fills, skips or infers any scale item (ABI, NFM, Digital Readiness, FST): only descriptive background. This applies to the questionnaire and to the KIIs alike.</w:t>
      </w:r>
    </w:p>
    <w:p>
      <w:pPr>
        <w:pStyle w:val="Heading3"/>
      </w:pPr>
      <w:r>
        <w:t xml:space="preserve">Step 1: let the AI search public sources</w:t>
      </w:r>
    </w:p>
    <w:p>
      <w:pPr>
        <w:pStyle w:val="ListParagraph"/>
        <w:numPr>
          <w:ilvl w:val="0"/>
          <w:numId w:val="26"/>
        </w:numPr>
        <w:spacing w:after="80" w:line="276"/>
      </w:pPr>
      <w:r>
        <w:t xml:space="preserve">On the case page (or KII page), in </w:t>
      </w:r>
      <w:r>
        <w:rPr>
          <w:b/>
          <w:bCs/>
        </w:rPr>
        <w:t xml:space="preserve">Pre-Interview Profile (PROIT)</w:t>
      </w:r>
      <w:r>
        <w:t xml:space="preserve">, select </w:t>
      </w:r>
      <w:r>
        <w:rPr>
          <w:b/>
          <w:bCs/>
        </w:rPr>
        <w:t xml:space="preserve">Start background research</w:t>
      </w:r>
      <w:r>
        <w:t xml:space="preserve">.</w:t>
      </w:r>
    </w:p>
    <w:p>
      <w:pPr>
        <w:pStyle w:val="ListParagraph"/>
        <w:numPr>
          <w:ilvl w:val="0"/>
          <w:numId w:val="26"/>
        </w:numPr>
        <w:spacing w:after="80" w:line="276"/>
      </w:pPr>
      <w:r>
        <w:t xml:space="preserve">In the </w:t>
      </w:r>
      <w:r>
        <w:rPr>
          <w:b/>
          <w:bCs/>
        </w:rPr>
        <w:t xml:space="preserve">AI research from public sources</w:t>
      </w:r>
      <w:r>
        <w:t xml:space="preserve"> box, select </w:t>
      </w:r>
      <w:r>
        <w:rPr>
          <w:b/>
          <w:bCs/>
        </w:rPr>
        <w:t xml:space="preserve">Research with AI</w:t>
      </w:r>
      <w:r>
        <w:t xml:space="preserve">. The AI searches the public web for the organisation, and for the respondent's published professional role, and works in the background for a few minutes. You can leave the page and come back.</w:t>
      </w:r>
    </w:p>
    <w:p>
      <w:pPr>
        <w:keepNext/>
        <w:spacing w:after="40" w:before="80"/>
        <w:jc w:val="center"/>
      </w:pPr>
      <w:r>
        <w:drawing>
          <wp:inline distT="0" distB="0" distL="0" distR="0">
            <wp:extent cx="3971925" cy="4953000"/>
            <wp:effectExtent t="0" r="0" b="0" l="0"/>
            <wp:docPr id="1"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971925" cy="4953000"/>
                    </a:xfrm>
                    <a:prstGeom prst="rect">
                      <a:avLst/>
                    </a:prstGeom>
                  </pic:spPr>
                </pic:pic>
              </a:graphicData>
            </a:graphic>
          </wp:inline>
        </w:drawing>
      </w:r>
    </w:p>
    <w:p>
      <w:pPr>
        <w:spacing w:after="180"/>
        <w:jc w:val="center"/>
      </w:pPr>
      <w:r>
        <w:rPr>
          <w:b/>
          <w:bCs/>
          <w:color w:val="5B6670"/>
          <w:sz w:val="17"/>
          <w:szCs w:val="17"/>
        </w:rPr>
        <w:t xml:space="preserve">Figure 26. </w:t>
      </w:r>
      <w:r>
        <w:rPr>
          <w:i/>
          <w:iCs/>
          <w:color w:val="5B6670"/>
          <w:sz w:val="17"/>
          <w:szCs w:val="17"/>
        </w:rPr>
        <w:t xml:space="preserve">AI research: proposals to review, each with its sources.</w:t>
      </w:r>
    </w:p>
    <w:p>
      <w:pPr>
        <w:pStyle w:val="ListParagraph"/>
        <w:numPr>
          <w:ilvl w:val="0"/>
          <w:numId w:val="26"/>
        </w:numPr>
        <w:spacing w:after="80" w:line="276"/>
      </w:pPr>
      <w:r>
        <w:t xml:space="preserve">Under </w:t>
      </w:r>
      <w:r>
        <w:rPr>
          <w:b/>
          <w:bCs/>
        </w:rPr>
        <w:t xml:space="preserve">To review</w:t>
      </w:r>
      <w:r>
        <w:t xml:space="preserve">, read each proposal. It gives the fact, a confidence level, and every source it used with the publisher, the date, the authority tier and a short quote copied from the page. Select the source title to open the page and check it yourself.</w:t>
      </w:r>
    </w:p>
    <w:p>
      <w:pPr>
        <w:pStyle w:val="ListParagraph"/>
        <w:numPr>
          <w:ilvl w:val="0"/>
          <w:numId w:val="26"/>
        </w:numPr>
        <w:spacing w:after="80" w:line="276"/>
      </w:pPr>
      <w:r>
        <w:t xml:space="preserve">Decide on each one. </w:t>
      </w:r>
      <w:r>
        <w:rPr>
          <w:b/>
          <w:bCs/>
        </w:rPr>
        <w:t xml:space="preserve">Accept</w:t>
      </w:r>
      <w:r>
        <w:t xml:space="preserve"> puts it into the profile with its sources. Edit the wording first if it needs correcting, then </w:t>
      </w:r>
      <w:r>
        <w:rPr>
          <w:b/>
          <w:bCs/>
        </w:rPr>
        <w:t xml:space="preserve">Accept</w:t>
      </w:r>
      <w:r>
        <w:t xml:space="preserve">. </w:t>
      </w:r>
      <w:r>
        <w:rPr>
          <w:b/>
          <w:bCs/>
        </w:rPr>
        <w:t xml:space="preserve">Reject</w:t>
      </w:r>
      <w:r>
        <w:t xml:space="preserve"> discards it. Nothing enters the profile until you accept it. Take special care where the note says the organisation may be a different one with a similar name.</w:t>
      </w:r>
    </w:p>
    <w:p>
      <w:pPr>
        <w:pStyle w:val="ListParagraph"/>
        <w:numPr>
          <w:ilvl w:val="0"/>
          <w:numId w:val="26"/>
        </w:numPr>
        <w:spacing w:after="80" w:line="276"/>
      </w:pPr>
      <w:r>
        <w:t xml:space="preserve">Read </w:t>
      </w:r>
      <w:r>
        <w:rPr>
          <w:b/>
          <w:bCs/>
        </w:rPr>
        <w:t xml:space="preserve">Not found publicly: ask the respondent</w:t>
      </w:r>
      <w:r>
        <w:t xml:space="preserve">. These are the facts the AI could not find in any public source. They become the questions the interviewer asks in full.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AI proposes, you decide</w:t>
            </w:r>
          </w:p>
          <w:p>
            <w:pPr>
              <w:spacing w:after="40" w:line="264"/>
            </w:pPr>
            <w:r>
              <w:rPr>
                <w:sz w:val="19"/>
                <w:szCs w:val="19"/>
              </w:rPr>
              <w:t xml:space="preserve">The AI only suggests. Every fact still needs a source, a person to accept it and a second person to lock the profile, exactly as if you had typed it in.</w:t>
            </w:r>
          </w:p>
          <w:p>
            <w:pPr>
              <w:spacing w:after="40" w:line="264"/>
            </w:pPr>
            <w:r>
              <w:rPr>
                <w:sz w:val="19"/>
                <w:szCs w:val="19"/>
              </w:rPr>
              <w:t xml:space="preserve">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pPr>
              <w:spacing w:after="40" w:line="264"/>
            </w:pPr>
            <w:r>
              <w:rPr>
                <w:sz w:val="19"/>
                <w:szCs w:val="19"/>
              </w:rPr>
              <w:t xml:space="preserve">An organisation's </w:t>
            </w:r>
            <w:r>
              <w:rPr>
                <w:b/>
                <w:bCs/>
                <w:sz w:val="19"/>
                <w:szCs w:val="19"/>
              </w:rPr>
              <w:t xml:space="preserve">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pPr>
              <w:spacing w:after="40" w:line="264"/>
            </w:pPr>
            <w:r>
              <w:rPr>
                <w:sz w:val="19"/>
                <w:szCs w:val="19"/>
              </w:rPr>
              <w:t xml:space="preserve">What is sent to the AI provider's search: the organisation's name, province, district and type, and the respondent's name and role. Never a phone number, email, gatekeeper or any other contact detail.</w:t>
            </w:r>
          </w:p>
        </w:tc>
      </w:tr>
    </w:tbl>
    <w:p>
      <w:pPr>
        <w:pStyle w:val="Heading3"/>
      </w:pPr>
      <w:r>
        <w:t xml:space="preserve">Step 2: add or correct facts by hand</w:t>
      </w:r>
    </w:p>
    <w:p>
      <w:pPr>
        <w:pStyle w:val="ListParagraph"/>
        <w:numPr>
          <w:ilvl w:val="0"/>
          <w:numId w:val="27"/>
        </w:numPr>
        <w:spacing w:after="80" w:line="276"/>
      </w:pPr>
      <w:r>
        <w:t xml:space="preserve">Under </w:t>
      </w:r>
      <w:r>
        <w:rPr>
          <w:b/>
          <w:bCs/>
        </w:rPr>
        <w:t xml:space="preserve">Add a background field</w:t>
      </w:r>
      <w:r>
        <w:t xml:space="preserve">, choose a field in </w:t>
      </w:r>
      <w:r>
        <w:rPr>
          <w:b/>
          <w:bCs/>
        </w:rPr>
        <w:t xml:space="preserve">Select a field…</w:t>
      </w:r>
      <w:r>
        <w:t xml:space="preserve">, type </w:t>
      </w:r>
      <w:r>
        <w:rPr>
          <w:b/>
          <w:bCs/>
        </w:rPr>
        <w:t xml:space="preserve">What was found (documentary value)</w:t>
      </w:r>
      <w:r>
        <w:t xml:space="preserve">, and select </w:t>
      </w:r>
      <w:r>
        <w:rPr>
          <w:b/>
          <w:bCs/>
        </w:rPr>
        <w:t xml:space="preserve">Add field</w:t>
      </w:r>
      <w:r>
        <w:t xml:space="preserve">.</w:t>
      </w:r>
    </w:p>
    <w:p>
      <w:pPr>
        <w:keepNext/>
        <w:spacing w:after="40" w:before="80"/>
        <w:jc w:val="center"/>
      </w:pPr>
      <w:r>
        <w:drawing>
          <wp:inline distT="0" distB="0" distL="0" distR="0">
            <wp:extent cx="5334000" cy="1781175"/>
            <wp:effectExtent t="0" r="0" b="0" l="0"/>
            <wp:docPr id="1"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1781175"/>
                    </a:xfrm>
                    <a:prstGeom prst="rect">
                      <a:avLst/>
                    </a:prstGeom>
                  </pic:spPr>
                </pic:pic>
              </a:graphicData>
            </a:graphic>
          </wp:inline>
        </w:drawing>
      </w:r>
    </w:p>
    <w:p>
      <w:pPr>
        <w:spacing w:after="180"/>
        <w:jc w:val="center"/>
      </w:pPr>
      <w:r>
        <w:rPr>
          <w:b/>
          <w:bCs/>
          <w:color w:val="5B6670"/>
          <w:sz w:val="17"/>
          <w:szCs w:val="17"/>
        </w:rPr>
        <w:t xml:space="preserve">Figure 27. </w:t>
      </w:r>
      <w:r>
        <w:rPr>
          <w:i/>
          <w:iCs/>
          <w:color w:val="5B6670"/>
          <w:sz w:val="17"/>
          <w:szCs w:val="17"/>
        </w:rPr>
        <w:t xml:space="preserve">A draft profile: each fact needs at least one source.</w:t>
      </w:r>
    </w:p>
    <w:p>
      <w:pPr>
        <w:pStyle w:val="ListParagraph"/>
        <w:numPr>
          <w:ilvl w:val="0"/>
          <w:numId w:val="27"/>
        </w:numPr>
        <w:spacing w:after="80" w:line="276"/>
      </w:pPr>
      <w:r>
        <w:t xml:space="preserve">For each field, type the </w:t>
      </w:r>
      <w:r>
        <w:rPr>
          <w:b/>
          <w:bCs/>
        </w:rPr>
        <w:t xml:space="preserve">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 xml:space="preserve">Add source</w:t>
      </w:r>
      <w:r>
        <w:t xml:space="preserve">.</w:t>
      </w:r>
    </w:p>
    <w:p>
      <w:pPr>
        <w:pStyle w:val="ListParagraph"/>
        <w:numPr>
          <w:ilvl w:val="0"/>
          <w:numId w:val="27"/>
        </w:numPr>
        <w:spacing w:after="80" w:line="276"/>
      </w:pPr>
      <w:r>
        <w:t xml:space="preserve">Use </w:t>
      </w:r>
      <w:r>
        <w:rPr>
          <w:b/>
          <w:bCs/>
        </w:rPr>
        <w:t xml:space="preserve">Researcher review screen</w:t>
      </w:r>
      <w:r>
        <w:t xml:space="preserve"> to check the whole profile, including gaps and contradictions.</w:t>
      </w:r>
    </w:p>
    <w:p>
      <w:pPr>
        <w:pStyle w:val="ListParagraph"/>
        <w:numPr>
          <w:ilvl w:val="0"/>
          <w:numId w:val="27"/>
        </w:numPr>
        <w:spacing w:after="80" w:line="276"/>
      </w:pPr>
      <w:r>
        <w:t xml:space="preserve">A second researcher reviews it and selects </w:t>
      </w:r>
      <w:r>
        <w:rPr>
          <w:b/>
          <w:bCs/>
        </w:rPr>
        <w:t xml:space="preserve">Lock pre-profile</w:t>
      </w:r>
      <w:r>
        <w:t xml:space="preserve">. Only a locked profile is used with the respondent, who confirms, corrects, or says they don't know, prefer not to say, or it is not applicable. The public value, the respondent's answer and the reconciled value are kept separately.</w:t>
      </w:r>
    </w:p>
    <w:p>
      <w:pPr>
        <w:spacing w:after="80"/>
      </w:pPr>
    </w:p>
    <w:p>
      <w:pPr>
        <w:pStyle w:val="Heading3"/>
      </w:pPr>
      <w:r>
        <w:t xml:space="preserve">After the research: from profile to KoboToolbox</w:t>
      </w:r>
    </w:p>
    <w:p>
      <w:pPr>
        <w:spacing w:after="120" w:line="288"/>
      </w:pPr>
      <w:r>
        <w:t xml:space="preserve">Accepting the AI's proposals is the first of five steps. A profile only does its job once it has been through all of them: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1600"/>
        <w:gridCol w:w="2353"/>
        <w:gridCol w:w="2635"/>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Step</w:t>
            </w:r>
          </w:p>
        </w:tc>
        <w:tc>
          <w:tcPr>
            <w:tcW w:type="dxa" w:w="1600"/>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Where</w:t>
            </w:r>
          </w:p>
        </w:tc>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produces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1. Accept or reject each proposal, add any facts found by hand</w:t>
            </w:r>
          </w:p>
        </w:tc>
        <w:tc>
          <w:tcPr>
            <w:tcW w:type="dxa" w:w="1600"/>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tcMar>
              <w:top w:type="dxa" w:w="70"/>
              <w:left w:type="dxa" w:w="110"/>
              <w:bottom w:type="dxa" w:w="70"/>
              <w:right w:type="dxa" w:w="110"/>
            </w:tcMar>
            <w:vAlign w:val="top"/>
          </w:tcPr>
          <w:p>
            <w:pPr>
              <w:spacing w:after="40"/>
            </w:pPr>
            <w:r>
              <w:rPr>
                <w:b w:val="false"/>
                <w:bCs w:val="false"/>
                <w:sz w:val="19"/>
                <w:szCs w:val="19"/>
              </w:rPr>
              <w:t xml:space="preserve">PROIT panel on the case (or KII) page</w:t>
            </w:r>
          </w:p>
        </w:tc>
        <w:tc>
          <w:tcPr>
            <w:tcW w:type="dxa" w:w="2635"/>
            <w:tcMar>
              <w:top w:type="dxa" w:w="70"/>
              <w:left w:type="dxa" w:w="110"/>
              <w:bottom w:type="dxa" w:w="70"/>
              <w:right w:type="dxa" w:w="110"/>
            </w:tcMar>
            <w:vAlign w:val="top"/>
          </w:tcPr>
          <w:p>
            <w:pPr>
              <w:spacing w:after="40"/>
            </w:pPr>
            <w:r>
              <w:rPr>
                <w:b w:val="false"/>
                <w:bCs w:val="false"/>
                <w:sz w:val="19"/>
                <w:szCs w:val="19"/>
              </w:rPr>
              <w:t xml:space="preserve">A draft profile: every fact with a source and a named person who accepted it.</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2. Lock the profile</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A second researcher</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fixed version the interview is planned from. It cannot be locked while a fact has no source.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3. Verify with the respondent</w:t>
            </w:r>
          </w:p>
        </w:tc>
        <w:tc>
          <w:tcPr>
            <w:tcW w:type="dxa" w:w="1600"/>
            <w:tcMar>
              <w:top w:type="dxa" w:w="70"/>
              <w:left w:type="dxa" w:w="110"/>
              <w:bottom w:type="dxa" w:w="70"/>
              <w:right w:type="dxa" w:w="110"/>
            </w:tcMar>
            <w:vAlign w:val="top"/>
          </w:tcPr>
          <w:p>
            <w:pPr>
              <w:spacing w:after="40"/>
            </w:pPr>
            <w:r>
              <w:rPr>
                <w:b w:val="false"/>
                <w:bCs w:val="false"/>
                <w:sz w:val="19"/>
                <w:szCs w:val="19"/>
              </w:rPr>
              <w:t xml:space="preserve">Whoever runs the interview</w:t>
            </w:r>
          </w:p>
        </w:tc>
        <w:tc>
          <w:tcPr>
            <w:tcW w:type="dxa" w:w="2353"/>
            <w:tcMar>
              <w:top w:type="dxa" w:w="70"/>
              <w:left w:type="dxa" w:w="110"/>
              <w:bottom w:type="dxa" w:w="70"/>
              <w:right w:type="dxa" w:w="110"/>
            </w:tcMar>
            <w:vAlign w:val="top"/>
          </w:tcPr>
          <w:p>
            <w:pPr>
              <w:spacing w:after="40"/>
            </w:pPr>
            <w:r>
              <w:rPr>
                <w:b w:val="false"/>
                <w:bCs w:val="false"/>
                <w:sz w:val="19"/>
                <w:szCs w:val="19"/>
              </w:rPr>
              <w:t xml:space="preserve">Interview sheet</w:t>
            </w:r>
            <w:r>
              <w:rPr>
                <w:b w:val="false"/>
                <w:bCs w:val="false"/>
                <w:sz w:val="19"/>
                <w:szCs w:val="19"/>
              </w:rPr>
              <w:t xml:space="preserve"> (see “Verifying a profile with the respondent”)</w:t>
            </w:r>
          </w:p>
        </w:tc>
        <w:tc>
          <w:tcPr>
            <w:tcW w:type="dxa" w:w="2635"/>
            <w:tcMar>
              <w:top w:type="dxa" w:w="70"/>
              <w:left w:type="dxa" w:w="110"/>
              <w:bottom w:type="dxa" w:w="70"/>
              <w:right w:type="dxa" w:w="110"/>
            </w:tcMar>
            <w:vAlign w:val="top"/>
          </w:tcPr>
          <w:p>
            <w:pPr>
              <w:spacing w:after="40"/>
            </w:pPr>
            <w:r>
              <w:rPr>
                <w:b w:val="false"/>
                <w:bCs w:val="false"/>
                <w:sz w:val="19"/>
                <w:szCs w:val="19"/>
              </w:rPr>
              <w:t xml:space="preserve">The respondent's own answer to each fact, kept apart from the public value.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4. Reconcile the facts that differ</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Reconciled value (required)</w:t>
            </w:r>
            <w:r>
              <w:rPr>
                <w:b w:val="false"/>
                <w:bCs w:val="false"/>
                <w:sz w:val="19"/>
                <w:szCs w:val="19"/>
              </w:rPr>
              <w:t xml:space="preserve"> on the interview sheet</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value coded for analysis, wherever the respondent corrected or qualified a fact.</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5. Saved to KoboToolbox</w:t>
            </w:r>
          </w:p>
        </w:tc>
        <w:tc>
          <w:tcPr>
            <w:tcW w:type="dxa" w:w="1600"/>
            <w:tcMar>
              <w:top w:type="dxa" w:w="70"/>
              <w:left w:type="dxa" w:w="110"/>
              <w:bottom w:type="dxa" w:w="70"/>
              <w:right w:type="dxa" w:w="110"/>
            </w:tcMar>
            <w:vAlign w:val="top"/>
          </w:tcPr>
          <w:p>
            <w:pPr>
              <w:spacing w:after="40"/>
            </w:pPr>
            <w:r>
              <w:rPr>
                <w:b w:val="false"/>
                <w:bCs w:val="false"/>
                <w:sz w:val="19"/>
                <w:szCs w:val="19"/>
              </w:rPr>
              <w:t xml:space="preserve">Automatic</w:t>
            </w:r>
          </w:p>
        </w:tc>
        <w:tc>
          <w:tcPr>
            <w:tcW w:type="dxa" w:w="2353"/>
            <w:tcMar>
              <w:top w:type="dxa" w:w="70"/>
              <w:left w:type="dxa" w:w="110"/>
              <w:bottom w:type="dxa" w:w="70"/>
              <w:right w:type="dxa" w:w="110"/>
            </w:tcMar>
            <w:vAlign w:val="top"/>
          </w:tcPr>
          <w:p>
            <w:pPr>
              <w:spacing w:after="40"/>
            </w:pPr>
            <w:r>
              <w:rPr>
                <w:b w:val="false"/>
                <w:bCs w:val="false"/>
                <w:sz w:val="19"/>
                <w:szCs w:val="19"/>
              </w:rPr>
              <w:t xml:space="preserve">ABF-FST PROIT Interview Profile</w:t>
            </w:r>
            <w:r>
              <w:rPr>
                <w:b w:val="false"/>
                <w:bCs w:val="false"/>
                <w:sz w:val="19"/>
                <w:szCs w:val="19"/>
              </w:rPr>
              <w:t xml:space="preserve"> form</w:t>
            </w:r>
          </w:p>
        </w:tc>
        <w:tc>
          <w:tcPr>
            <w:tcW w:type="dxa" w:w="2635"/>
            <w:tcMar>
              <w:top w:type="dxa" w:w="70"/>
              <w:left w:type="dxa" w:w="110"/>
              <w:bottom w:type="dxa" w:w="70"/>
              <w:right w:type="dxa" w:w="110"/>
            </w:tcMar>
            <w:vAlign w:val="top"/>
          </w:tcPr>
          <w:p>
            <w:pPr>
              <w:spacing w:after="40"/>
            </w:pPr>
            <w:r>
              <w:rPr>
                <w:b w:val="false"/>
                <w:bCs w:val="false"/>
                <w:sz w:val="19"/>
                <w:szCs w:val="19"/>
              </w:rPr>
              <w:t xml:space="preserve">Sent by the portal the moment the last fact is settled; the sheet then shows </w:t>
            </w:r>
            <w:r>
              <w:rPr>
                <w:b w:val="false"/>
                <w:bCs w:val="false"/>
                <w:sz w:val="19"/>
                <w:szCs w:val="19"/>
              </w:rPr>
              <w:t xml:space="preserve">Saved to KoboToolbox</w:t>
            </w:r>
            <w:r>
              <w:rPr>
                <w:b w:val="false"/>
                <w:bCs w:val="false"/>
                <w:sz w:val="19"/>
                <w:szCs w:val="19"/>
              </w:rPr>
              <w:t xml:space="preserve">.</w:t>
            </w:r>
          </w:p>
        </w:tc>
      </w:tr>
    </w:tbl>
    <w:p>
      <w:pPr>
        <w:spacing w:after="120"/>
      </w:pPr>
    </w:p>
    <w:p>
      <w:pPr>
        <w:spacing w:after="120" w:line="288"/>
      </w:pPr>
      <w:r>
        <w:t xml:space="preserve">Until step 4 is finished, QA cannot accept that case's questionnaire and a KII's coding cannot become COMPLETE (see the warning under “Verifying a profile with the respondent”).</w:t>
      </w:r>
    </w:p>
    <w:p>
      <w:pPr>
        <w:pStyle w:val="Heading2"/>
      </w:pPr>
      <w:r>
        <w:t xml:space="preserve">4.21 Verifying a profile with the respondent, and reconciling it afterwards</w:t>
      </w:r>
    </w:p>
    <w:p>
      <w:pPr>
        <w:spacing w:after="120" w:line="288"/>
      </w:pPr>
      <w:r>
        <w:t xml:space="preserve">Once a profile is locked, the interview has two duties: confirm what is public, and ask what is not. The </w:t>
      </w:r>
      <w:r>
        <w:rPr>
          <w:b/>
          <w:bCs/>
        </w:rPr>
        <w:t xml:space="preserve">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pPr>
        <w:pStyle w:val="ListParagraph"/>
        <w:numPr>
          <w:ilvl w:val="0"/>
          <w:numId w:val="28"/>
        </w:numPr>
        <w:spacing w:after="80" w:line="276"/>
      </w:pPr>
      <w:r>
        <w:t xml:space="preserve">Open the case (or the KII record) and find </w:t>
      </w:r>
      <w:r>
        <w:rPr>
          <w:b/>
          <w:bCs/>
        </w:rPr>
        <w:t xml:space="preserve">Interview sheet: confirm what is public, ask what is not</w:t>
      </w:r>
      <w:r>
        <w:t xml:space="preserve">. Each row is one fact and is marked </w:t>
      </w:r>
      <w:r>
        <w:rPr>
          <w:b/>
          <w:bCs/>
        </w:rPr>
        <w:t xml:space="preserve">Confirm</w:t>
      </w:r>
      <w:r>
        <w:t xml:space="preserve">, </w:t>
      </w:r>
      <w:r>
        <w:rPr>
          <w:b/>
          <w:bCs/>
        </w:rPr>
        <w:t xml:space="preserve">Confirm, then probe</w:t>
      </w:r>
      <w:r>
        <w:t xml:space="preserve"> or </w:t>
      </w:r>
      <w:r>
        <w:rPr>
          <w:b/>
          <w:bCs/>
        </w:rPr>
        <w:t xml:space="preserve">Ask</w:t>
      </w:r>
      <w:r>
        <w:t xml:space="preserve">.</w:t>
      </w:r>
    </w:p>
    <w:p>
      <w:pPr>
        <w:keepNext/>
        <w:spacing w:after="40" w:before="80"/>
        <w:jc w:val="center"/>
      </w:pPr>
      <w:r>
        <w:drawing>
          <wp:inline distT="0" distB="0" distL="0" distR="0">
            <wp:extent cx="4752975" cy="4953000"/>
            <wp:effectExtent t="0" r="0" b="0" l="0"/>
            <wp:docPr id="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752975" cy="4953000"/>
                    </a:xfrm>
                    <a:prstGeom prst="rect">
                      <a:avLst/>
                    </a:prstGeom>
                  </pic:spPr>
                </pic:pic>
              </a:graphicData>
            </a:graphic>
          </wp:inline>
        </w:drawing>
      </w:r>
    </w:p>
    <w:p>
      <w:pPr>
        <w:spacing w:after="180"/>
        <w:jc w:val="center"/>
      </w:pPr>
      <w:r>
        <w:rPr>
          <w:b/>
          <w:bCs/>
          <w:color w:val="5B6670"/>
          <w:sz w:val="17"/>
          <w:szCs w:val="17"/>
        </w:rPr>
        <w:t xml:space="preserve">Figure 28. </w:t>
      </w:r>
      <w:r>
        <w:rPr>
          <w:i/>
          <w:iCs/>
          <w:color w:val="5B6670"/>
          <w:sz w:val="17"/>
          <w:szCs w:val="17"/>
        </w:rPr>
        <w:t xml:space="preserve">The interview sheet: confirm what is public, ask what is not.</w:t>
      </w:r>
    </w:p>
    <w:p>
      <w:pPr>
        <w:pStyle w:val="ListParagraph"/>
        <w:numPr>
          <w:ilvl w:val="0"/>
          <w:numId w:val="28"/>
        </w:numPr>
        <w:spacing w:after="80" w:line="276"/>
      </w:pPr>
      <w:r>
        <w:t xml:space="preserve">For a </w:t>
      </w:r>
      <w:r>
        <w:rPr>
          <w:b/>
          <w:bCs/>
        </w:rPr>
        <w:t xml:space="preserve">Confirm</w:t>
      </w:r>
      <w:r>
        <w:t xml:space="preserve"> row, read the public fact to the respondent, with its source shown under it, and ask whether it is right. Never state a fact on an </w:t>
      </w:r>
      <w:r>
        <w:rPr>
          <w:b/>
          <w:bCs/>
        </w:rPr>
        <w:t xml:space="preserve">Ask</w:t>
      </w:r>
      <w:r>
        <w:t xml:space="preserve"> row: it is a question, not something established. A weak source's value is deliberately hidden.</w:t>
      </w:r>
    </w:p>
    <w:p>
      <w:pPr>
        <w:pStyle w:val="ListParagraph"/>
        <w:numPr>
          <w:ilvl w:val="0"/>
          <w:numId w:val="28"/>
        </w:numPr>
        <w:spacing w:after="80" w:line="276"/>
      </w:pPr>
      <w:r>
        <w:t xml:space="preserve">In </w:t>
      </w:r>
      <w:r>
        <w:rPr>
          <w:b/>
          <w:bCs/>
        </w:rPr>
        <w:t xml:space="preserve">What the respondent said</w:t>
      </w:r>
      <w:r>
        <w:t xml:space="preserve">, choose the answer: confirmed, corrected, partly correct or out of date, does not know, prefers not to say, or does not apply. For a correction, type </w:t>
      </w:r>
      <w:r>
        <w:rPr>
          <w:b/>
          <w:bCs/>
        </w:rPr>
        <w:t xml:space="preserve">Their answer</w:t>
      </w:r>
      <w:r>
        <w:t xml:space="preserve">. Add a comment if useful, then select </w:t>
      </w:r>
      <w:r>
        <w:rPr>
          <w:b/>
          <w:bCs/>
        </w:rPr>
        <w:t xml:space="preserve">Save answer</w:t>
      </w:r>
      <w:r>
        <w:t xml:space="preserve">.</w:t>
      </w:r>
    </w:p>
    <w:p>
      <w:pPr>
        <w:pStyle w:val="ListParagraph"/>
        <w:numPr>
          <w:ilvl w:val="0"/>
          <w:numId w:val="28"/>
        </w:numPr>
        <w:spacing w:after="80" w:line="276"/>
      </w:pPr>
      <w:r>
        <w:t xml:space="preserve">For an </w:t>
      </w:r>
      <w:r>
        <w:rPr>
          <w:b/>
          <w:bCs/>
        </w:rPr>
        <w:t xml:space="preserve">Ask</w:t>
      </w:r>
      <w:r>
        <w:t xml:space="preserve"> row, choose </w:t>
      </w:r>
      <w:r>
        <w:rPr>
          <w:b/>
          <w:bCs/>
        </w:rPr>
        <w:t xml:space="preserve">They told us</w:t>
      </w:r>
      <w:r>
        <w:t xml:space="preserve"> and type what they said, or record that they do not know or would rather not say.</w:t>
      </w:r>
    </w:p>
    <w:p>
      <w:pPr>
        <w:pStyle w:val="ListParagraph"/>
        <w:numPr>
          <w:ilvl w:val="0"/>
          <w:numId w:val="28"/>
        </w:numPr>
        <w:spacing w:after="80" w:line="276"/>
      </w:pPr>
      <w:r>
        <w:t xml:space="preserve">When the interview is over, select </w:t>
      </w:r>
      <w:r>
        <w:rPr>
          <w:b/>
          <w:bCs/>
        </w:rPr>
        <w:t xml:space="preserve">Interview finished</w:t>
      </w:r>
      <w:r>
        <w:t xml:space="preserve">.</w:t>
      </w:r>
    </w:p>
    <w:p>
      <w:pPr>
        <w:spacing w:after="80"/>
      </w:pPr>
    </w:p>
    <w:p>
      <w:pPr>
        <w:pStyle w:val="Heading3"/>
      </w:pPr>
      <w:r>
        <w:t xml:space="preserve">After the interview: reconcile (coordinator and PI)</w:t>
      </w:r>
    </w:p>
    <w:p>
      <w:pPr>
        <w:pStyle w:val="ListParagraph"/>
        <w:numPr>
          <w:ilvl w:val="0"/>
          <w:numId w:val="29"/>
        </w:numPr>
        <w:spacing w:after="80" w:line="276"/>
      </w:pPr>
      <w:r>
        <w:t xml:space="preserve">Rows where the respondent corrected or qualified a fact show </w:t>
      </w:r>
      <w:r>
        <w:rPr>
          <w:b/>
          <w:bCs/>
        </w:rPr>
        <w:t xml:space="preserve">Differs from the public source</w:t>
      </w:r>
      <w:r>
        <w:t xml:space="preserve">. Under </w:t>
      </w:r>
      <w:r>
        <w:rPr>
          <w:b/>
          <w:bCs/>
        </w:rPr>
        <w:t xml:space="preserve">Reconciled value (required)</w:t>
      </w:r>
      <w:r>
        <w:t xml:space="preserve">, type the value you code for analysis, then select </w:t>
      </w:r>
      <w:r>
        <w:rPr>
          <w:b/>
          <w:bCs/>
        </w:rPr>
        <w:t xml:space="preserve">Save reconciled value</w:t>
      </w:r>
      <w:r>
        <w:t xml:space="preserve">. A plain confirmation or “does not apply” needs no reconciled value.</w:t>
      </w:r>
    </w:p>
    <w:p>
      <w:pPr>
        <w:keepNext/>
        <w:spacing w:after="40" w:before="80"/>
        <w:jc w:val="center"/>
      </w:pPr>
      <w:r>
        <w:drawing>
          <wp:inline distT="0" distB="0" distL="0" distR="0">
            <wp:extent cx="5334000" cy="1152525"/>
            <wp:effectExtent t="0" r="0" b="0" l="0"/>
            <wp:docPr id="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1152525"/>
                    </a:xfrm>
                    <a:prstGeom prst="rect">
                      <a:avLst/>
                    </a:prstGeom>
                  </pic:spPr>
                </pic:pic>
              </a:graphicData>
            </a:graphic>
          </wp:inline>
        </w:drawing>
      </w:r>
    </w:p>
    <w:p>
      <w:pPr>
        <w:spacing w:after="180"/>
        <w:jc w:val="center"/>
      </w:pPr>
      <w:r>
        <w:rPr>
          <w:b/>
          <w:bCs/>
          <w:color w:val="5B6670"/>
          <w:sz w:val="17"/>
          <w:szCs w:val="17"/>
        </w:rPr>
        <w:t xml:space="preserve">Figure 29. </w:t>
      </w:r>
      <w:r>
        <w:rPr>
          <w:i/>
          <w:iCs/>
          <w:color w:val="5B6670"/>
          <w:sz w:val="17"/>
          <w:szCs w:val="17"/>
        </w:rPr>
        <w:t xml:space="preserve">Reconciling a corrected fact: the three values stay separate.</w:t>
      </w:r>
    </w:p>
    <w:p>
      <w:pPr>
        <w:pStyle w:val="ListParagraph"/>
        <w:numPr>
          <w:ilvl w:val="0"/>
          <w:numId w:val="29"/>
        </w:numPr>
        <w:spacing w:after="80" w:line="276"/>
      </w:pPr>
      <w:r>
        <w:t xml:space="preserve">The status at the top of the sheet counts up: “Verified 6 of 8 · settled 5 of 8”, then </w:t>
      </w:r>
      <w:r>
        <w:rPr>
          <w:b/>
          <w:bCs/>
        </w:rPr>
        <w:t xml:space="preserve">Reconciled</w:t>
      </w:r>
      <w:r>
        <w:t xml:space="preserve"> when every fact is settled. At that moment the portal also sends the whole profile (what was known, what the respondent said, the reconciled value, and the sources) to KoboToolbox, in the </w:t>
      </w:r>
      <w:r>
        <w:rPr>
          <w:b/>
          <w:bCs/>
        </w:rPr>
        <w:t xml:space="preserve">ABF-FST PROIT Interview Profile</w:t>
      </w:r>
      <w:r>
        <w:t xml:space="preserve"> form, and the status shows </w:t>
      </w:r>
      <w:r>
        <w:rPr>
          <w:b/>
          <w:bCs/>
        </w:rPr>
        <w:t xml:space="preserve">Saved to KoboToolbox</w:t>
      </w:r>
      <w:r>
        <w:t xml:space="preserve">.</w:t>
      </w:r>
    </w:p>
    <w:p>
      <w:pPr>
        <w:pStyle w:val="ListParagraph"/>
        <w:numPr>
          <w:ilvl w:val="0"/>
          <w:numId w:val="29"/>
        </w:numPr>
        <w:spacing w:after="80" w:line="276"/>
      </w:pPr>
      <w:r>
        <w:t xml:space="preserve">If reconciliation truly cannot be finished (for example the respondent cannot be reached again), select </w:t>
      </w:r>
      <w:r>
        <w:rPr>
          <w:b/>
          <w:bCs/>
        </w:rPr>
        <w:t xml:space="preserve">Record a protocol deviation</w:t>
      </w:r>
      <w:r>
        <w:t xml:space="preserve"> and give the reason. The case is released but stays flagged.</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case is not complete until its profile is reconciled</w:t>
            </w:r>
          </w:p>
          <w:p>
            <w:pPr>
              <w:spacing w:after="40" w:line="264"/>
            </w:pPr>
            <w:r>
              <w:rPr>
                <w:sz w:val="19"/>
                <w:szCs w:val="19"/>
              </w:rPr>
              <w:t xml:space="preserve">QA cannot </w:t>
            </w:r>
            <w:r>
              <w:rPr>
                <w:b/>
                <w:bCs/>
                <w:sz w:val="19"/>
                <w:szCs w:val="19"/>
              </w:rPr>
              <w:t xml:space="preserve">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pPr>
              <w:spacing w:after="40" w:line="264"/>
            </w:pPr>
            <w:r>
              <w:rPr>
                <w:sz w:val="19"/>
                <w:szCs w:val="19"/>
              </w:rPr>
              <w:t xml:space="preserve">This applies only to a case that has a locked profile with facts on it. A case with no profile is not held up.</w:t>
            </w:r>
          </w:p>
        </w:tc>
      </w:tr>
    </w:tbl>
    <w:p>
      <w:pPr>
        <w:pStyle w:val="Heading2"/>
      </w:pPr>
      <w:r>
        <w:t xml:space="preserve">4.22 Reviewing questionnaires in the QA Queue</w:t>
      </w:r>
    </w:p>
    <w:p>
      <w:pPr>
        <w:pStyle w:val="ListParagraph"/>
        <w:numPr>
          <w:ilvl w:val="0"/>
          <w:numId w:val="30"/>
        </w:numPr>
        <w:spacing w:after="80" w:line="276"/>
      </w:pPr>
      <w:r>
        <w:t xml:space="preserve">Select </w:t>
      </w:r>
      <w:r>
        <w:rPr>
          <w:b/>
          <w:bCs/>
        </w:rPr>
        <w:t xml:space="preserve">QA Queue</w:t>
      </w:r>
      <w:r>
        <w:t xml:space="preserve">. Each submission shows the Sample ID, when it was submitted, the administration mode, the completion time in minutes and its QA status (PENDING or QUERY).</w:t>
      </w:r>
    </w:p>
    <w:p>
      <w:pPr>
        <w:keepNext/>
        <w:spacing w:after="40" w:before="80"/>
        <w:jc w:val="center"/>
      </w:pPr>
      <w:r>
        <w:drawing>
          <wp:inline distT="0" distB="0" distL="0" distR="0">
            <wp:extent cx="5334000" cy="3333750"/>
            <wp:effectExtent t="0" r="0" b="0" l="0"/>
            <wp:docPr id="1"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30. </w:t>
      </w:r>
      <w:r>
        <w:rPr>
          <w:i/>
          <w:iCs/>
          <w:color w:val="5B6670"/>
          <w:sz w:val="17"/>
          <w:szCs w:val="17"/>
        </w:rPr>
        <w:t xml:space="preserve">QUAN QA Queue with the KoboToolbox sync panel.</w:t>
      </w:r>
    </w:p>
    <w:p>
      <w:pPr>
        <w:pStyle w:val="ListParagraph"/>
        <w:numPr>
          <w:ilvl w:val="0"/>
          <w:numId w:val="30"/>
        </w:numPr>
        <w:spacing w:after="80" w:line="276"/>
      </w:pPr>
      <w:r>
        <w:t xml:space="preserve">Open the completed form to check the answers: </w:t>
      </w:r>
      <w:r>
        <w:rPr>
          <w:b/>
          <w:bCs/>
        </w:rPr>
        <w:t xml:space="preserve">Form PDFs → Download PDF</w:t>
      </w:r>
      <w:r>
        <w:t xml:space="preserve">, or the </w:t>
      </w:r>
      <w:r>
        <w:rPr>
          <w:b/>
          <w:bCs/>
        </w:rPr>
        <w:t xml:space="preserve">Completed questionnaire</w:t>
      </w:r>
      <w:r>
        <w:t xml:space="preserve"> panel on the case page.</w:t>
      </w:r>
    </w:p>
    <w:p>
      <w:pPr>
        <w:pStyle w:val="ListParagraph"/>
        <w:numPr>
          <w:ilvl w:val="0"/>
          <w:numId w:val="30"/>
        </w:numPr>
        <w:spacing w:after="80" w:line="276"/>
      </w:pPr>
      <w:r>
        <w:t xml:space="preserve">Check it against the QA rules (table below) and any open QA exception for that case.</w:t>
      </w:r>
    </w:p>
    <w:p>
      <w:pPr>
        <w:pStyle w:val="ListParagraph"/>
        <w:numPr>
          <w:ilvl w:val="0"/>
          <w:numId w:val="30"/>
        </w:numPr>
        <w:spacing w:after="80" w:line="276"/>
      </w:pPr>
      <w:r>
        <w:t xml:space="preserve">Write a </w:t>
      </w:r>
      <w:r>
        <w:rPr>
          <w:b/>
          <w:bCs/>
        </w:rPr>
        <w:t xml:space="preserve">Note (required)</w:t>
      </w:r>
      <w:r>
        <w:t xml:space="preserve"> explaining your decision.</w:t>
      </w:r>
    </w:p>
    <w:p>
      <w:pPr>
        <w:pStyle w:val="ListParagraph"/>
        <w:numPr>
          <w:ilvl w:val="0"/>
          <w:numId w:val="30"/>
        </w:numPr>
        <w:spacing w:after="80" w:line="276"/>
      </w:pPr>
      <w:r>
        <w:t xml:space="preserve">Select </w:t>
      </w:r>
      <w:r>
        <w:rPr>
          <w:b/>
          <w:bCs/>
        </w:rPr>
        <w:t xml:space="preserve">Accept</w:t>
      </w:r>
      <w:r>
        <w:t xml:space="preserve"> (moves the case to S10 QA passed), </w:t>
      </w:r>
      <w:r>
        <w:rPr>
          <w:b/>
          <w:bCs/>
        </w:rPr>
        <w:t xml:space="preserve">Re-query</w:t>
      </w:r>
      <w:r>
        <w:t xml:space="preserve"> (S09 QA query — follow up with the respondent or the RA who administered it) or </w:t>
      </w:r>
      <w:r>
        <w:rPr>
          <w:b/>
          <w:bCs/>
        </w:rPr>
        <w:t xml:space="preserve">Reject</w:t>
      </w:r>
      <w:r>
        <w:t xml:space="preserve"> (not usable).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3765"/>
        <w:gridCol w:w="3294"/>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Setting</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Effect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Required answers missing</w:t>
            </w:r>
          </w:p>
        </w:tc>
        <w:tc>
          <w:tcPr>
            <w:tcW w:type="dxa" w:w="3765"/>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Hard stop: raises an exception; cannot pass without a human decision and note.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Too quick</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in under 5 minutes (300 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Too slow</w:t>
            </w:r>
          </w:p>
        </w:tc>
        <w:tc>
          <w:tcPr>
            <w:tcW w:type="dxa" w:w="3765"/>
            <w:tcMar>
              <w:top w:type="dxa" w:w="70"/>
              <w:left w:type="dxa" w:w="110"/>
              <w:bottom w:type="dxa" w:w="70"/>
              <w:right w:type="dxa" w:w="110"/>
            </w:tcMar>
            <w:vAlign w:val="top"/>
          </w:tcPr>
          <w:p>
            <w:pPr>
              <w:spacing w:after="40"/>
            </w:pPr>
            <w:r>
              <w:rPr>
                <w:b w:val="false"/>
                <w:bCs w:val="false"/>
                <w:sz w:val="19"/>
                <w:szCs w:val="19"/>
              </w:rPr>
              <w:t xml:space="preserve">Completed in over 90 minutes (5400 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Possible duplicate</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passes automatically</w:t>
            </w:r>
          </w:p>
          <w:p>
            <w:pPr>
              <w:spacing w:after="40" w:line="264"/>
            </w:pPr>
            <w:r>
              <w:rPr>
                <w:sz w:val="19"/>
                <w:szCs w:val="19"/>
              </w:rPr>
              <w:t xml:space="preserve">Even a submission with no flags needs a person to select Accept. Every decision and its note is audited.</w:t>
            </w:r>
          </w:p>
        </w:tc>
      </w:tr>
    </w:tbl>
    <w:p>
      <w:pPr>
        <w:pStyle w:val="Heading3"/>
      </w:pPr>
      <w:r>
        <w:t xml:space="preserve">Pulling new submissions now</w:t>
      </w:r>
    </w:p>
    <w:p>
      <w:pPr>
        <w:spacing w:after="120" w:line="288"/>
      </w:pPr>
      <w:r>
        <w:t xml:space="preserve">Submissions arrive within seconds (KoboToolbox notifies the portal) and a full check runs every 15 minutes between 06:00 and 22:00 and hourly overnight. To check immediately, select </w:t>
      </w:r>
      <w:r>
        <w:rPr>
          <w:b/>
          <w:bCs/>
        </w:rPr>
        <w:t xml:space="preserve">Sync now</w:t>
      </w:r>
      <w:r>
        <w:t xml:space="preserve"> in </w:t>
      </w:r>
      <w:r>
        <w:rPr>
          <w:b/>
          <w:bCs/>
        </w:rPr>
        <w:t xml:space="preserve">KoboToolbox sync</w:t>
      </w:r>
      <w:r>
        <w:t xml:space="preserve">; the panel shows the last run, how many were pulled and how many were new or updated. An edited submission returns to the queue for review.</w:t>
      </w:r>
    </w:p>
    <w:p>
      <w:pPr>
        <w:pStyle w:val="Heading2"/>
      </w:pPr>
      <w:r>
        <w:t xml:space="preserve">4.23 Working QA exceptions</w:t>
      </w:r>
    </w:p>
    <w:p>
      <w:pPr>
        <w:pStyle w:val="ListParagraph"/>
        <w:numPr>
          <w:ilvl w:val="0"/>
          <w:numId w:val="31"/>
        </w:numPr>
        <w:spacing w:after="80" w:line="276"/>
      </w:pPr>
      <w:r>
        <w:t xml:space="preserve">Select </w:t>
      </w:r>
      <w:r>
        <w:rPr>
          <w:b/>
          <w:bCs/>
        </w:rPr>
        <w:t xml:space="preserve">QA Exceptions</w:t>
      </w:r>
      <w:r>
        <w:t xml:space="preserve">. Each card shows the rule that fired (for example </w:t>
      </w:r>
      <w:r>
        <w:rPr>
          <w:rFonts w:ascii="Consolas" w:cs="Consolas" w:eastAsia="Consolas" w:hAnsi="Consolas"/>
          <w:b w:val="false"/>
          <w:bCs w:val="false"/>
          <w:color w:val="122238"/>
          <w:sz w:val="19"/>
          <w:szCs w:val="19"/>
        </w:rPr>
        <w:t xml:space="preserve">hard_stop_missing_required_fields</w:t>
      </w:r>
      <w:r>
        <w:t xml:space="preserve"> or </w:t>
      </w:r>
      <w:r>
        <w:rPr>
          <w:rFonts w:ascii="Consolas" w:cs="Consolas" w:eastAsia="Consolas" w:hAnsi="Consolas"/>
          <w:b w:val="false"/>
          <w:bCs w:val="false"/>
          <w:color w:val="122238"/>
          <w:sz w:val="19"/>
          <w:szCs w:val="19"/>
        </w:rPr>
        <w:t xml:space="preserve">min_plausible_duration_seconds</w:t>
      </w:r>
      <w:r>
        <w:t xml:space="preserve">), the Sample ID, when it was raised and its status. Oldest first.</w:t>
      </w:r>
    </w:p>
    <w:p>
      <w:pPr>
        <w:keepNext/>
        <w:spacing w:after="40" w:before="80"/>
        <w:jc w:val="center"/>
      </w:pPr>
      <w:r>
        <w:drawing>
          <wp:inline distT="0" distB="0" distL="0" distR="0">
            <wp:extent cx="5334000" cy="3333750"/>
            <wp:effectExtent t="0" r="0" b="0" l="0"/>
            <wp:docPr id="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31. </w:t>
      </w:r>
      <w:r>
        <w:rPr>
          <w:i/>
          <w:iCs/>
          <w:color w:val="5B6670"/>
          <w:sz w:val="17"/>
          <w:szCs w:val="17"/>
        </w:rPr>
        <w:t xml:space="preserve">QA Exception Queue.</w:t>
      </w:r>
    </w:p>
    <w:p>
      <w:pPr>
        <w:pStyle w:val="ListParagraph"/>
        <w:numPr>
          <w:ilvl w:val="0"/>
          <w:numId w:val="31"/>
        </w:numPr>
        <w:spacing w:after="80" w:line="276"/>
      </w:pPr>
      <w:r>
        <w:t xml:space="preserve">Tick </w:t>
      </w:r>
      <w:r>
        <w:rPr>
          <w:b/>
          <w:bCs/>
        </w:rPr>
        <w:t xml:space="preserve">Only mine</w:t>
      </w:r>
      <w:r>
        <w:t xml:space="preserve"> to see exceptions assigned to you; tick </w:t>
      </w:r>
      <w:r>
        <w:rPr>
          <w:b/>
          <w:bCs/>
        </w:rPr>
        <w:t xml:space="preserve">Show closed</w:t>
      </w:r>
      <w:r>
        <w:t xml:space="preserve"> to include resolved ones.</w:t>
      </w:r>
    </w:p>
    <w:p>
      <w:pPr>
        <w:pStyle w:val="ListParagraph"/>
        <w:numPr>
          <w:ilvl w:val="0"/>
          <w:numId w:val="31"/>
        </w:numPr>
        <w:spacing w:after="80" w:line="276"/>
      </w:pPr>
      <w:r>
        <w:t xml:space="preserve">Use </w:t>
      </w:r>
      <w:r>
        <w:rPr>
          <w:b/>
          <w:bCs/>
        </w:rPr>
        <w:t xml:space="preserve">Assign to</w:t>
      </w:r>
      <w:r>
        <w:t xml:space="preserve"> to take ownership (or give it to a colleague). The status becomes </w:t>
      </w:r>
      <w:r>
        <w:rPr>
          <w:b/>
          <w:bCs/>
        </w:rPr>
        <w:t xml:space="preserve">In progress</w:t>
      </w:r>
      <w:r>
        <w:t xml:space="preserve">.</w:t>
      </w:r>
    </w:p>
    <w:p>
      <w:pPr>
        <w:pStyle w:val="ListParagraph"/>
        <w:numPr>
          <w:ilvl w:val="0"/>
          <w:numId w:val="31"/>
        </w:numPr>
        <w:spacing w:after="80" w:line="276"/>
      </w:pPr>
      <w:r>
        <w:t xml:space="preserve">Investigate: open the form PDF, check the case timeline, contact the respondent if needed.</w:t>
      </w:r>
    </w:p>
    <w:p>
      <w:pPr>
        <w:pStyle w:val="ListParagraph"/>
        <w:numPr>
          <w:ilvl w:val="0"/>
          <w:numId w:val="31"/>
        </w:numPr>
        <w:spacing w:after="80" w:line="276"/>
      </w:pPr>
      <w:r>
        <w:t xml:space="preserve">Type </w:t>
      </w:r>
      <w:r>
        <w:rPr>
          <w:b/>
          <w:bCs/>
        </w:rPr>
        <w:t xml:space="preserve">What was done about it?</w:t>
      </w:r>
      <w:r>
        <w:t xml:space="preserve"> and select </w:t>
      </w:r>
      <w:r>
        <w:rPr>
          <w:b/>
          <w:bCs/>
        </w:rPr>
        <w:t xml:space="preserve">Resolved</w:t>
      </w:r>
      <w:r>
        <w:t xml:space="preserve">, or </w:t>
      </w:r>
      <w:r>
        <w:rPr>
          <w:b/>
          <w:bCs/>
        </w:rPr>
        <w:t xml:space="preserve">Not a real problem</w:t>
      </w:r>
      <w:r>
        <w:t xml:space="preserve"> if the flag was a false alarm. A note is always required.</w:t>
      </w:r>
    </w:p>
    <w:p>
      <w:pPr>
        <w:spacing w:after="80"/>
      </w:pPr>
    </w:p>
    <w:p>
      <w:pPr>
        <w:pStyle w:val="Heading2"/>
      </w:pPr>
      <w:r>
        <w:t xml:space="preserve">4.24 Downloading or emailing completed forms (Form PDFs)</w:t>
      </w:r>
    </w:p>
    <w:p>
      <w:pPr>
        <w:pStyle w:val="ListParagraph"/>
        <w:numPr>
          <w:ilvl w:val="0"/>
          <w:numId w:val="32"/>
        </w:numPr>
        <w:spacing w:after="80" w:line="276"/>
      </w:pPr>
      <w:r>
        <w:t xml:space="preserve">Select </w:t>
      </w:r>
      <w:r>
        <w:rPr>
          <w:b/>
          <w:bCs/>
        </w:rPr>
        <w:t xml:space="preserve">Form PDFs</w:t>
      </w:r>
      <w:r>
        <w:t xml:space="preserve">. You see the completed questionnaire, KII Guide and document forms from KoboToolbox, newest first, 20 per page to begin with (choose more under </w:t>
      </w:r>
      <w:r>
        <w:rPr>
          <w:b/>
          <w:bCs/>
        </w:rPr>
        <w:t xml:space="preserve">Show</w:t>
      </w:r>
      <w:r>
        <w:t xml:space="preserve"> at the foot of the list).</w:t>
      </w:r>
    </w:p>
    <w:p>
      <w:pPr>
        <w:keepNext/>
        <w:spacing w:after="40" w:before="80"/>
        <w:jc w:val="center"/>
      </w:pPr>
      <w:r>
        <w:drawing>
          <wp:inline distT="0" distB="0" distL="0" distR="0">
            <wp:extent cx="5334000" cy="3333750"/>
            <wp:effectExtent t="0" r="0" b="0" l="0"/>
            <wp:docPr id="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32. </w:t>
      </w:r>
      <w:r>
        <w:rPr>
          <w:i/>
          <w:iCs/>
          <w:color w:val="5B6670"/>
          <w:sz w:val="17"/>
          <w:szCs w:val="17"/>
        </w:rPr>
        <w:t xml:space="preserve">Completed form PDFs.</w:t>
      </w:r>
    </w:p>
    <w:p>
      <w:pPr>
        <w:pStyle w:val="ListParagraph"/>
        <w:numPr>
          <w:ilvl w:val="0"/>
          <w:numId w:val="32"/>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32"/>
        </w:numPr>
        <w:spacing w:after="80" w:line="276"/>
      </w:pPr>
      <w:r>
        <w:t xml:space="preserve">Select </w:t>
      </w:r>
      <w:r>
        <w:rPr>
          <w:b/>
          <w:bCs/>
        </w:rPr>
        <w:t xml:space="preserve">Email to me</w:t>
      </w:r>
      <w:r>
        <w:t xml:space="preserve"> to send the PDF to the email address on your account.</w:t>
      </w:r>
    </w:p>
    <w:p>
      <w:pPr>
        <w:pStyle w:val="ListParagraph"/>
        <w:numPr>
          <w:ilvl w:val="0"/>
          <w:numId w:val="32"/>
        </w:numPr>
        <w:spacing w:after="80" w:line="276"/>
      </w:pPr>
      <w:r>
        <w:t xml:space="preserve">For the questionnaire only, select </w:t>
      </w:r>
      <w:r>
        <w:rPr>
          <w:b/>
          <w:bCs/>
        </w:rPr>
        <w:t xml:space="preserve">Email to respondent</w:t>
      </w:r>
      <w:r>
        <w:t xml:space="preserve"> to send the respondent a copy of their own answers at the email address recorded on the case (only while their consent stands). You are asked to confirm first. Every email is audited with the address masked.</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4.25 Logging fieldwork costs</w:t>
      </w:r>
    </w:p>
    <w:p>
      <w:pPr>
        <w:pStyle w:val="ListParagraph"/>
        <w:numPr>
          <w:ilvl w:val="0"/>
          <w:numId w:val="33"/>
        </w:numPr>
        <w:spacing w:after="80" w:line="276"/>
      </w:pPr>
      <w:r>
        <w:t xml:space="preserve">Select </w:t>
      </w:r>
      <w:r>
        <w:rPr>
          <w:b/>
          <w:bCs/>
        </w:rPr>
        <w:t xml:space="preserve">Cost</w:t>
      </w:r>
      <w:r>
        <w:t xml:space="preserve">. The top shows total spend, cost per QA-passed questionnaire and cost per completed KII, with spend by category.</w:t>
      </w:r>
    </w:p>
    <w:p>
      <w:pPr>
        <w:keepNext/>
        <w:spacing w:after="40" w:before="80"/>
        <w:jc w:val="center"/>
      </w:pPr>
      <w:r>
        <w:drawing>
          <wp:inline distT="0" distB="0" distL="0" distR="0">
            <wp:extent cx="5334000" cy="3752850"/>
            <wp:effectExtent t="0" r="0" b="0" l="0"/>
            <wp:docPr id="1"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33. </w:t>
      </w:r>
      <w:r>
        <w:rPr>
          <w:i/>
          <w:iCs/>
          <w:color w:val="5B6670"/>
          <w:sz w:val="17"/>
          <w:szCs w:val="17"/>
        </w:rPr>
        <w:t xml:space="preserve">Cost Dashboard and the Log a cost event form.</w:t>
      </w:r>
    </w:p>
    <w:p>
      <w:pPr>
        <w:pStyle w:val="ListParagraph"/>
        <w:numPr>
          <w:ilvl w:val="0"/>
          <w:numId w:val="33"/>
        </w:numPr>
        <w:spacing w:after="80" w:line="276"/>
      </w:pPr>
      <w:r>
        <w:t xml:space="preserve">In </w:t>
      </w:r>
      <w:r>
        <w:rPr>
          <w:b/>
          <w:bCs/>
        </w:rPr>
        <w:t xml:space="preserve">Log a cost event</w:t>
      </w:r>
      <w:r>
        <w:t xml:space="preserve">, enter the date, choose the category (RA_ALLOWANCE, AIRTIME_DATA, TRANSPORT, ACCOMMODATION, HOSTING, MESSAGING, OTHER) and the amount in USD.</w:t>
      </w:r>
    </w:p>
    <w:p>
      <w:pPr>
        <w:pStyle w:val="ListParagraph"/>
        <w:numPr>
          <w:ilvl w:val="0"/>
          <w:numId w:val="33"/>
        </w:numPr>
        <w:spacing w:after="80" w:line="276"/>
      </w:pPr>
      <w:r>
        <w:t xml:space="preserve">Select </w:t>
      </w:r>
      <w:r>
        <w:rPr>
          <w:b/>
          <w:bCs/>
        </w:rPr>
        <w:t xml:space="preserve">Log cost</w:t>
      </w:r>
      <w:r>
        <w:t xml:space="preserve">. Keep the receipt as the study's finance rules require.</w:t>
      </w:r>
    </w:p>
    <w:p>
      <w:pPr>
        <w:spacing w:after="80"/>
      </w:pPr>
    </w:p>
    <w:p>
      <w:pPr>
        <w:pStyle w:val="Heading2"/>
      </w:pPr>
      <w:r>
        <w:t xml:space="preserve">4.26 Downloading data</w:t>
      </w:r>
    </w:p>
    <w:p>
      <w:pPr>
        <w:keepNext/>
        <w:spacing w:after="40" w:before="80"/>
        <w:jc w:val="center"/>
      </w:pPr>
      <w:r>
        <w:drawing>
          <wp:inline distT="0" distB="0" distL="0" distR="0">
            <wp:extent cx="5715000" cy="3657600"/>
            <wp:effectExtent t="0" r="0" b="0" l="0"/>
            <wp:docPr id="1"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3657600"/>
                    </a:xfrm>
                    <a:prstGeom prst="rect">
                      <a:avLst/>
                    </a:prstGeom>
                  </pic:spPr>
                </pic:pic>
              </a:graphicData>
            </a:graphic>
          </wp:inline>
        </w:drawing>
      </w:r>
    </w:p>
    <w:p>
      <w:pPr>
        <w:spacing w:after="180"/>
        <w:jc w:val="center"/>
      </w:pPr>
      <w:r>
        <w:rPr>
          <w:b/>
          <w:bCs/>
          <w:color w:val="5B6670"/>
          <w:sz w:val="17"/>
          <w:szCs w:val="17"/>
        </w:rPr>
        <w:t xml:space="preserve">Figure 34. </w:t>
      </w:r>
      <w:r>
        <w:rPr>
          <w:i/>
          <w:iCs/>
          <w:color w:val="5B6670"/>
          <w:sz w:val="17"/>
          <w:szCs w:val="17"/>
        </w:rPr>
        <w:t xml:space="preserve">Data Export.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541"/>
        <w:gridCol w:w="4988"/>
        <w:gridCol w:w="1883"/>
      </w:tblGrid>
      <w:tr>
        <w:trPr>
          <w:tblHeader/>
        </w:trPr>
        <w:tc>
          <w:tcPr>
            <w:tcW w:type="dxa" w:w="2541"/>
            <w:shd w:fill="1B3350" w:color="auto" w:val="clear"/>
            <w:tcMar>
              <w:top w:type="dxa" w:w="70"/>
              <w:left w:type="dxa" w:w="110"/>
              <w:bottom w:type="dxa" w:w="70"/>
              <w:right w:type="dxa" w:w="110"/>
            </w:tcMar>
            <w:vAlign w:val="top"/>
          </w:tcPr>
          <w:p>
            <w:pPr>
              <w:spacing w:after="40"/>
            </w:pPr>
            <w:r>
              <w:rPr>
                <w:b/>
                <w:bCs/>
                <w:color w:val="FFFFFF"/>
                <w:sz w:val="19"/>
                <w:szCs w:val="19"/>
              </w:rPr>
              <w:t xml:space="preserve">Download</w:t>
            </w:r>
          </w:p>
        </w:tc>
        <w:tc>
          <w:tcPr>
            <w:tcW w:type="dxa" w:w="4988"/>
            <w:shd w:fill="1B3350" w:color="auto" w:val="clear"/>
            <w:tcMar>
              <w:top w:type="dxa" w:w="70"/>
              <w:left w:type="dxa" w:w="110"/>
              <w:bottom w:type="dxa" w:w="70"/>
              <w:right w:type="dxa" w:w="110"/>
            </w:tcMar>
            <w:vAlign w:val="top"/>
          </w:tcPr>
          <w:p>
            <w:pPr>
              <w:spacing w:after="40"/>
            </w:pPr>
            <w:r>
              <w:rPr>
                <w:b/>
                <w:bCs/>
                <w:color w:val="FFFFFF"/>
                <w:sz w:val="19"/>
                <w:szCs w:val="19"/>
              </w:rPr>
              <w:t xml:space="preserve">Contains</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De-identified analysis export (CSV)</w:t>
            </w:r>
          </w:p>
        </w:tc>
        <w:tc>
          <w:tcPr>
            <w:tcW w:type="dxa" w:w="4988"/>
            <w:tcMar>
              <w:top w:type="dxa" w:w="70"/>
              <w:left w:type="dxa" w:w="110"/>
              <w:bottom w:type="dxa" w:w="70"/>
              <w:right w:type="dxa" w:w="110"/>
            </w:tcMar>
            <w:vAlign w:val="top"/>
          </w:tcPr>
          <w:p>
            <w:pPr>
              <w:spacing w:after="40"/>
            </w:pPr>
            <w:r>
              <w:rPr>
                <w:b w:val="false"/>
                <w:bCs w:val="false"/>
                <w:sz w:val="19"/>
                <w:szCs w:val="19"/>
              </w:rPr>
              <w:t xml:space="preserve">One row per questionnaire: sample_id, master_id, province, actor_family, value_chain, size_class, administration_mode, qa_status, submitted_at, completion_seconds. No names or contact details. Participants who withdrew are left out.</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Field Coordinator, Analyst</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Full operational export (CSV)</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questionnaire, including withdrawn ones (consent_withdrawn), plus organisation name, respondent name, phone, email and gatekeeper details. Internal operations only.</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Respondents and outreach (Excel)</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 recorded when it is created; WhatsApp does not tell the portal whether it was delivered or read.</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data: Excel workbook</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submission's answers for one form: data_codes (codes for SPSS/Stata/R), data_labels, a sheet per repeat group, the questions dictionary, the choices lists, and for the questionnaire the matched case, QA status, withdrawal flag and workflow status.</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KoboToolbox data: All completed forms (PDF ZIP)</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 completed form as a PDF, with manifest.csv listing file, record, KoboToolbox id and submission time.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SmartPLS 4 and ATLAS.ti</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withdrew consent is left out.</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bl>
    <w:p>
      <w:pPr>
        <w:spacing w:after="120"/>
      </w:pPr>
    </w:p>
    <w:p>
      <w:pPr>
        <w:pStyle w:val="Heading1"/>
        <w:pageBreakBefore/>
      </w:pPr>
      <w:r>
        <w:t xml:space="preserve">5. Rules you must follow</w:t>
      </w:r>
    </w:p>
    <w:p>
      <w:pPr>
        <w:pStyle w:val="ListParagraph"/>
        <w:numPr>
          <w:ilvl w:val="0"/>
          <w:numId w:val="2"/>
        </w:numPr>
        <w:spacing w:after="60" w:line="276"/>
      </w:pPr>
      <w:r>
        <w:t xml:space="preserve">Record a withdrawal the same day you hear of it.</w:t>
      </w:r>
    </w:p>
    <w:p>
      <w:pPr>
        <w:pStyle w:val="ListParagraph"/>
        <w:numPr>
          <w:ilvl w:val="0"/>
          <w:numId w:val="2"/>
        </w:numPr>
        <w:spacing w:after="60" w:line="276"/>
      </w:pPr>
      <w:r>
        <w:t xml:space="preserve">Activate a Reserve only with an authorised reason and written evidence.</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"Move all" shows 0</w:t>
            </w:r>
          </w:p>
        </w:tc>
        <w:tc>
          <w:tcPr>
            <w:tcW w:type="dxa" w:w="3200"/>
            <w:tcMar>
              <w:top w:type="dxa" w:w="70"/>
              <w:left w:type="dxa" w:w="110"/>
              <w:bottom w:type="dxa" w:w="70"/>
              <w:right w:type="dxa" w:w="110"/>
            </w:tcMar>
            <w:vAlign w:val="top"/>
          </w:tcPr>
          <w:p>
            <w:pPr>
              <w:spacing w:after="40"/>
            </w:pPr>
            <w:r>
              <w:rPr>
                <w:b w:val="false"/>
                <w:bCs w:val="false"/>
                <w:sz w:val="19"/>
                <w:szCs w:val="19"/>
              </w:rPr>
              <w:t xml:space="preserve">No Main cases are at that step.</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the next step in the list.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gets no reminders</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was invited before reaching S03, or has no invitation.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it to S03 and issue a new invitation.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Bulk verification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Main-400 Register → Move cases through verification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Replacement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Reserve Activation → reason + evidence note</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Field / Digital Coordinator,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Executive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w:t>
      </w:r>
    </w:p>
    <w:p>
      <w:pPr>
        <w:spacing w:after="120" w:line="288"/>
      </w:pPr>
      <w:r>
        <w:t xml:space="preserve">The one-page picture of the study: how many cases are where in the funnel, response and quality headlines, and the weakest parts of the sample. Counts and rates only; never a name.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Tiles: QUAN completed, KII completed, Documents coded, Days to data lock, Fieldwork expenditure to date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the headline counts against their targets, the days left to the data lock (30 November 2026) and the spend so far. Read them; there is nothing to press.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Aggregates only, so the dashboards are safe to show to people who must not see respondent identities.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Numbers update whenever the screen is opened or refreshed.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Highest-risk coverage gaps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strata (province × organisation type × size) with the lowest fill so far.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coordinator where fieldwork effort is most needed to meet the sample design.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Use it to decide where to send Contact RAs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Links: Sampling, Contact, QA, KII / Documents, Cost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 the related dashboards.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hunting through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linked screen opens.</w:t>
            </w:r>
          </w:p>
        </w:tc>
      </w:tr>
    </w:tbl>
    <w:p>
      <w:pPr>
        <w:spacing w:after="120"/>
      </w:pPr>
    </w:p>
    <w:p>
      <w:pPr>
        <w:pStyle w:val="Heading2"/>
      </w:pPr>
      <w:r>
        <w:t xml:space="preserve">8.5 Sampling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/admin/dashboard/sampling</w:t>
      </w:r>
    </w:p>
    <w:p>
      <w:pPr>
        <w:spacing w:after="120" w:line="288"/>
      </w:pPr>
      <w:r>
        <w:t xml:space="preserve">How the Main-400 and Reserve-400 samples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Main-400 by province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Main cases each province holds and how many are verified.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design fixes how many organisations each province must contribute.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Verified / total by stratum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verification progress in each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stratum that cannot be verified may need a Reserve replacement.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Reserve activations by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Reserve cases activated, by the authorised reason.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replacement is controlled and audited; this shows how often and why it happens.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 reserve activations yet” until one is made.</w:t>
            </w:r>
          </w:p>
        </w:tc>
      </w:tr>
    </w:tbl>
    <w:p>
      <w:pPr>
        <w:spacing w:after="120"/>
      </w:pPr>
    </w:p>
    <w:p>
      <w:pPr>
        <w:pStyle w:val="Heading2"/>
      </w:pPr>
      <w:r>
        <w:t xml:space="preserve">8.6 Contact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/admin/dashboard/contact</w:t>
      </w:r>
    </w:p>
    <w:p>
      <w:pPr>
        <w:spacing w:after="120" w:line="288"/>
      </w:pPr>
      <w:r>
        <w:t xml:space="preserve">Contact activity: how many are invited, reminded, reached, and how appointments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figures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counts of contacts, reminders and appointments by status.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the coordinator see whether contact is on schedule without opening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8.7 QA Dashboard</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/admin/dashboard/qa</w:t>
      </w:r>
    </w:p>
    <w:p>
      <w:pPr>
        <w:spacing w:after="120" w:line="288"/>
      </w:pPr>
      <w:r>
        <w:t xml:space="preserve">Quality checking at a glance: how many questionnaires wait for a decision and how the completed ones were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Refresh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Re-reads the figures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page does not update by itself while you watch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numbers reload; the button says Refreshing… briefly.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questionnaires were completed by each mode (web, telephone, WhatsApp-assisted, face to face).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Mode balance is a quality and method question for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Open QA queue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Goes to the QA Queue.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Takes you from the overview to the work.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QA Queue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if the figures could not load; tries once more.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dropped connection should not leave a blank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figures load, or the message stays.</w:t>
            </w:r>
          </w:p>
        </w:tc>
      </w:tr>
    </w:tbl>
    <w:p>
      <w:pPr>
        <w:spacing w:after="120"/>
      </w:pPr>
    </w:p>
    <w:p>
      <w:pPr>
        <w:pStyle w:val="Heading2"/>
      </w:pPr>
      <w:r>
        <w:t xml:space="preserve">8.8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8.9 Reports</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/admin/reports</w:t>
      </w:r>
    </w:p>
    <w:p>
      <w:pPr>
        <w:spacing w:after="120" w:line="288"/>
      </w:pPr>
      <w:r>
        <w:t xml:space="preserve">Charts for supervision meetings and progress reports: funnel, submissions per day, coverage, time to complete, QA outcomes, modes and workflow. Counts and rates 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Last 7 days / Last 30 days / Last 90 days / All time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Sets the period the time-based charts cover.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Meetings usually ask “what happened this week or month”. Case progress is always cumulative.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Every time-based chart redraws for that period.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Province / Organisation type / Size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Changes what the coverage chart is broken down by.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matters along all three design dimensions.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coverage chart redraws.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table / Show chart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one chart between its picture and the numbers behind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chart is available as a table so numbers can be read out, copied or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chart is replaced by a table (and back).</w:t>
            </w:r>
          </w:p>
        </w:tc>
      </w:tr>
    </w:tbl>
    <w:p>
      <w:pPr>
        <w:spacing w:after="120"/>
      </w:pPr>
    </w:p>
    <w:p>
      <w:pPr>
        <w:pStyle w:val="Heading2"/>
      </w:pPr>
      <w:r>
        <w:t xml:space="preserve">8.10 Main-400 Register (and Reserve)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w:t>
      </w:r>
    </w:p>
    <w:p>
      <w:pPr>
        <w:spacing w:after="120" w:line="288"/>
      </w:pPr>
      <w:r>
        <w:t xml:space="preserve">The list of sample cases. A Contact RA sees only the cases assigned to them. From here you open a case, and the coordinator moves or reassigns cases in bulk.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 Reserve (sample type)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the list between the 400 Main cases and the 400 locked Reserve cases.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cases are locked replacements and are handled differently from Main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 organisation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case among hundreds should not need paging.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Register Organisation to add an organisation that is not yet in the sample.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Late additions must get a proper Master ID and a sample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Register Organisation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case page for that row.</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 case happens on its own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Move through verification: step, How many, Move all 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every Main case at one verification step (S00→S01, S01→S02, S02→S03) to the next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400 cases start at S00; verifying them one by one would take days, and a status should only advance when the checks behind it are 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asks first. Then “Moved N cases”, and the register updates.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Reassign cases: From, Province, How many, To, Move cases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Moves a chosen number of cases (in Sample ID order) from one Contact RA, or from Unassigned, to another RA (or to nobody).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Workload has to be balanced; moving in ID order lets you split a large province between RAs in two steps.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asks first, then the cases appear in the new RA's register.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Main-400 research pack and adds its contacts and PROIT facts as suggestions for review on each case.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Researching hundreds of small businesses and typing the results in by hand is slow; review stays one click per item.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Sample ID with links to each case. Nothing reaches a case until someone accepts it; locked Reserves and locked profiles are never touched.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How many cases, Find contacts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Starts an AI contact search for that many cases (up to 25, in Sample ID order) that are not yet invited and have no phone, WhatsApp or email. A case searched in the last 30 days is skipped.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with no contact details cannot be invited, and searching hundreds of organisations by hand would take weeks.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“Queued N searches” with the estimated cost, then a progress line (done, searching now, waiting) while the searches run one at a time. The button stays locked until the batch has finished. Nothing is saved by the batch.</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Findings to review → Review them all on one page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Hundreds of findings are quicker to judge side by side, with the quote in view, than one case page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Each decision is saved and audited as on the case page, and the finding leaves the list. Accept all is withheld when a case shows two phones, two emails or a named person.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case whose findings are waiting for a decision, and opens the chosen case.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a case at a time over half an hour;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 at its findings, to accept or reject.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invitations: Send by (Email, SMS, WhatsApp), Next in line, How many, Review and send, Send N invitations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invitation, with its own link and code, to that many verified cases (S03 or S04) with no open invitation, on every chosen way each case has a contact for. SMS and WhatsApp go through Twilio, to mobiles only. Up to 100 a batch; daily limits of 300 emails, 150 SMS and 250 WhatsApp.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Inviting cases one at a time is slow; only verified cases are included so no one is invited before the right person is confirmed. One invitation on every channel means every message carries the same working link.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appears in the panel first, with the SMS cost. Then progress, and the result: sent, failed and skipped, case by case. Each sent case moves to S05. A case where nothing got through is left as it was.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invitations (the queue)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verified cases (S03 or S04) with a WhatsApp or phone number and no open invitation. A Contact RA sees only their own cases.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Without a WhatsApp Business account the portal cannot send WhatsApp messages; the queue makes each one a single tap.</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The list shows masked numbers.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invitations → Prepare, Open WhatsApp, Copy message, Email the same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RA sends from the study phone so replies come back to the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Prepare moves the case to S05 at once, so send straight away. If you cannot, revoke the invitation on the case page.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 / Previous / Next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Chooses how many rows to see (10, 20, 50, 100 or 200) and moves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Different jobs need different views; your choice is remembered.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 at the chosen size.</w:t>
            </w:r>
          </w:p>
        </w:tc>
      </w:tr>
    </w:tbl>
    <w:p>
      <w:pPr>
        <w:spacing w:after="120"/>
      </w:pPr>
    </w:p>
    <w:p>
      <w:pPr>
        <w:pStyle w:val="Heading2"/>
      </w:pPr>
      <w:r>
        <w:t xml:space="preserve">8.11 Case page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/admin/sample/{Sample ID}</w:t>
      </w:r>
    </w:p>
    <w:p>
      <w:pPr>
        <w:spacing w:after="120" w:line="288"/>
      </w:pPr>
      <w:r>
        <w:t xml:space="preserve">Everything about one organisation's place in the sample: who to contact, the invitation, the questionnaire, the timeline and the case's status.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Advance workflow status (→ S0x buttons)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the case to the next valid status, for example from Eligible respondent identified to Invitation prepared.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workflow is a fixed sequence (S00–S16): a case cannot skip steps, and each move is recorded. Only statuses that are allowed next are shown.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the change is added to the audit log. “No further transitions” appears at a final status.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and contact details → Add a person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a person at the organisation: name, role, phone, WhatsApp, email, gatekeeper, and whether they are eligible.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reminders and phone-assisted interviews all need to know who to contact and whether they are the right (senior, knowledgeable) person.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form opens. After Save, the person is listed on the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Respondents panel → Edit / Save / Cancel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Corrects a person's details. Save keeps the change; Cancel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Contact details go stale, and a wrong number wastes a whole reminder sequence.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person's details update; Cancel leaves them unchanged.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Eligibility (Not yet screened / Eligible / Not eligible)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the outcome of your eligibility screening of that person.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Someone not eligible must never receive the questionnaire: the system will not hand out the questionnaire link without a passed eligibility check and the person's consent.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lets the questionnaire link work once consent is given. Not eligible sends the respondent to a referral instead.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Assigned Contact RA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Contact RA works this case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Contact RA sees only their assigned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RA's register now shows (or no longer shows) the case.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Matched Reserve case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Pairs this Main case with a locked Reserve case from the same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If the Main organisation drops out, its matched Reserve is the replacement, keeping the sample balanced.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pair is saved. Activating the Reserve later still needs an authorised reason and an evidence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study introduction (WhatsApp, or SMS with a WhatsApp reply link) asking whether the organisation will take part. Shown once Twilio's WhatsApp number is set up.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gentler first contact: the link only goes to those who agree, which is also what WhatsApp's rules expect.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and any replies show under Ask first. YES sends the invitation link automatically; NO moves the case to S12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 Issue invitation (Channel, Wave)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Creates a personal invitation link (valid 14 days) and an 8-character manual code, for the chosen channel and wave.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and code appear once, with a send button for every channel: send it on all the channels the organisation has. If the case cannot be invited (for example a locked Reserve case) you are told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via WhatsApp / Send by SMS / Open in email app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WhatsApp, your SMS app or your email program with the invitation message already written.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does not send messages itself: you send from the study's own account so replies come to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messaging app opens with the text. Send it, then log it on the Contact timeline.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email (from the portal) / Copy message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invitation email from the portal (if email is set up), or copies the text so you can paste it anywhere.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respondents prefer email; copying is the fallback for any other channel.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or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Revoke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Cancels an invitation so its link stops working.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Use if it went to the wrong person or the wrong address; it is also how a wrong send is undone.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 stops working at once and the invitation is shown as revoked.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contact attempt (Channel, Outcome, Notes, Log contact attempt)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an entry to the Contact timeline: how you tried, what happened (Reached, No answer, Wrong number, Refused, Rescheduled, Completed) and a note.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timeline is the study's record of effort. It shows why a case is nonresponsive and protects respondents from being contacted twice by mistake.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entry appears at the top of the timeline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a withdrawal (Reason, How they told us, Record withdrawal)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wants to withdraw. You give the reason and whether they told you by phone or in person, or in writing.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participant's right to withdraw must take effect at once and completely: their consent is recorded as withdrawn, every open invitation is revoked, reminders stop, and their phone, WhatsApp, email and gatekeeper contact are erased.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warns that it cannot be undone. The case moves to Refused (a case already submitted keeps its status). Any answers already submitted are kept but left out of the analysis export and flagged.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participant's completed questionnaire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is needed for QA notes and for the participant if they ask.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Searches public sources for this organisation's published phone, email, website and office location, and senior staff it names. Runs in the background for a minute or two.</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cannot be invited without a way to reach it; the organisation's own published details are the proper starting point.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Findings appear under “To review”, each with the page it came from and the passage that shows it. Only the organisation's name, province, district and value chain are sent to the AI provider.</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To review / Already decided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each finding with its confidence, the page it came from and the quoted passage, and the findings already accepted or rejected.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Anyone overseeing the case can see where every contact detail came from.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Select a page title to open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 (Role for a named person)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saves a finding: an organisation phone or email goes on “Organisation contact (to be identified)”, a named person becomes a new respondent (not yet screened), a website or office location is kept with the organisation.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 so a similar-named organisation's details never slip in.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 accept never overwrites a different phone or email already recorded.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Profile (PROIT) panel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Coordinator's tool for background research on the organisation before an interview. See the PROIT screen entry.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Public facts are found before contact so the respondent is asked to confirm them, not to repeat them.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See the PROIT entry.</w:t>
            </w:r>
          </w:p>
        </w:tc>
      </w:tr>
    </w:tbl>
    <w:p>
      <w:pPr>
        <w:spacing w:after="120"/>
      </w:pPr>
    </w:p>
    <w:p>
      <w:pPr>
        <w:pStyle w:val="Heading2"/>
      </w:pPr>
      <w:r>
        <w:t xml:space="preserve">8.12 Pre-Interview Profile (PROIT) and its review screen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(panel on the case page) · /admin/proit/{id}</w:t>
      </w:r>
    </w:p>
    <w:p>
      <w:pPr>
        <w:spacing w:after="120" w:line="288"/>
      </w:pPr>
      <w:r>
        <w:t xml:space="preserve">Records what is publicly known about an organisation and its respondent, each fact with a source, so the interview confirms facts instead of asking for them again. Never a private or inferred fact.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Start background research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pre-profile for this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 is recorded only when someone deliberately starts it for a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panel opens with an empty list of background fields.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with AI / Research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searches public sources for the organisation and the respondent's published professional role, and proposes background facts. It works in the background for a few minutes; you can leave the page.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what is already public is slow desk work; the AI does the searching so the interview can confirm facts instead of asking for them. It only proposes, never records.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list of proposals appears under “To review”, and a list of what was not found publicly. The organisation name, and the respondent's name and role, are sent to the AI provider's search; never contact details.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Proposed value (editable)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fact the AI found, in plain words. Edit it if the wording needs correcting.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researcher is responsible for what enters the profile, so the wording is theirs to fix.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changes until you select Accept.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Proposal sources (title, publisher, date, tier, quote)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source the AI used, each with a short exact quote. Select the title to open the page and check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pages the search actually returned can be cited, so there are no invented references. Checking the page is how you confirm it is the right organisation. An organisation's own social-media page may appear, always as Tier 4; personal profiles never do.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page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 (a proposal)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Puts the fact into the profile as a background field, with all its sources and your name as the person who accepted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needs a source and a person's decision before it can reach a respondent. If you edited the wording it is recorded as “accepted with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field appears in the profile with its sources; the proposal moves to “Already decided”. It still needs the lock.</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Reject (a proposal)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Discards the proposal, for example when it is a different organisation with a similar name.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wrong fact put to a respondent damages trust and the data.</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proposal is marked rejected; nothing enters the profile.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Not found publicly: ask the respondent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Lists the fields the AI could not find in any public source.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questions to ask in full at the interview, so the respondent is not asked what is already public.</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Add any you find yourself with “Add a background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a background field (Select a field, What was found, Add field)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one fact, for example a working capital facility, from a fixed catalogue of allowed fields.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listed, documented kinds of fact can be recorded; health, religion, ethnicity, politics and inferred finances are never collected.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field appears in the list, waiting for a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Add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Attaches the source that shows the fact (for example a registry entry).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with a documentary value needs at least one source so it can be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source is listed under the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 suggestion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Inserts a suggested probe question for the chosen role, using your evidence.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writing role-specific questions from scratch and keeps interviews consistent.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suggestion is added above for you to keep, edit or delete.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Gap-engine notes: Known, Unknown, Contradictions, Priority probe questions, Role-specific module, short form → Save gap-engine notes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what is already established, what is missing, where sources disagree, and what to ask first.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Focuses the interview on real gaps and reduces the burden on the respondent.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notes are saved; the panel shows how many background questions became verifications.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Finalises the profile.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locked profile is the version the interview is planned from; it cannot be quietly changed afterwards. It cannot be locked while a fact still has no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profile becomes read-only.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Researcher review screen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one-page summary: case, organisation, evidence, bankability context, gap summary and interview plan.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readable page for the researcher to read before the interview.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sensitive items to avoid are listed at the bottom.</w:t>
            </w:r>
          </w:p>
        </w:tc>
      </w:tr>
    </w:tbl>
    <w:p>
      <w:pPr>
        <w:spacing w:after="120"/>
      </w:pPr>
    </w:p>
    <w:p>
      <w:pPr>
        <w:pStyle w:val="Heading2"/>
      </w:pPr>
      <w:r>
        <w:t xml:space="preserve">8.13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the respondent said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answer: confirmed, corrected, partly correct or out of date, does not know, prefers not to say, or does not apply. For a gap, “They told 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answer is kept separately from the public value and never replaces it; that separation is what lets the analysis compare the two.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is saved until Save answer.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Their answer / Comment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what the respondent said when they corrected or supplied a value, and any comment.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exact answer is the research data; the comment explains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Kept with the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Save answer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answer for that fact.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Each answer is recorded as it is given, so nothing depends on memory after the interview.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updates; “Recorded: …” appears under the row. A correction shows “Differs from the public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Differs from the public source (label)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Marks a fact the respondent corrected or qualified.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Contradictions between public sources and respondents are findings, not errors to hide.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The coordinator reconciles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finished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interview and its verification are over, so reconciliation can begin.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Separates what was said in the interview from the researcher's later coding.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shows the time it was recorded.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Reconciled value (required) → Save reconciled value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coordinator or PI types the value that is coded for analysis, where the respondent corrected, qualified, did not know or declined. Not needed for a plain confirmation.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reconciled value is the researcher's coded position; it never overwrites the public value or the respondent's answer.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fact becomes settled. When all are, the status reads Reconciled.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a protocol deviation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Releases the case when reconciliation truly cannot be finished, after you give the reason.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lost respondent must not block a completed interview forever, but the exception has to be visible and explained.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released and stays flagged, with the reason kept.</w:t>
            </w:r>
          </w:p>
        </w:tc>
      </w:tr>
    </w:tbl>
    <w:p>
      <w:pPr>
        <w:spacing w:after="120"/>
      </w:pPr>
    </w:p>
    <w:p>
      <w:pPr>
        <w:pStyle w:val="Heading2"/>
      </w:pPr>
      <w:r>
        <w:t xml:space="preserve">8.14 Register Organisation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/admin/organisations</w:t>
      </w:r>
    </w:p>
    <w:p>
      <w:pPr>
        <w:spacing w:after="120" w:line="288"/>
      </w:pPr>
      <w:r>
        <w:t xml:space="preserve">Adds an organisation that is not already in the sample and gives it a Master ID and, if wanted, a sample case.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Name, District, Province, Entity type, Actor family, Value chain, Size class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Describe the organisation. Name is required.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sample's design dimensions (province × organisation type × size) so the new organisation lands in the right stratum.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Register organisation.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organisation.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Master ID is generated automatically from the province, so IDs are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“{name} registered — {Master ID}” appears with the option to create its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Sample type (Main / Reserve) and Create sample case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organisation's case as a Main or a Reserve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an organisation with a case can be worked; Reserve cases start locked.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 with a Sample ID; a link to the Main-400 Register appears.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name, Master ID or district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of registered organisations.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Avoids registering the same organisation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organisations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Create sample case (per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a case later for an organisation registered without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Registering and creating the case are separate steps so neither is forced.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w:t>
            </w:r>
          </w:p>
        </w:tc>
      </w:tr>
    </w:tbl>
    <w:p>
      <w:pPr>
        <w:spacing w:after="120"/>
      </w:pPr>
    </w:p>
    <w:p>
      <w:pPr>
        <w:pStyle w:val="Heading2"/>
      </w:pPr>
      <w:r>
        <w:t xml:space="preserve">8.15 Appointment Queue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/admin/appointments</w:t>
      </w:r>
    </w:p>
    <w:p>
      <w:pPr>
        <w:spacing w:after="120" w:line="288"/>
      </w:pPr>
      <w:r>
        <w:t xml:space="preserve">Calls that respondents have asked for, and their progress.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Filter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all appointments, or only Requested, Confirmed, Completed, Missed or Cancelled.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Coordinators mostly need the ones still to be acted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CONFIRMED / CANCELLED (on a Requested appointment)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the time with the respondent and select CONFIRMED, or CANCELLED if it will not happen.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respondent's request is only a request until a person confirms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appointment's status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 MISSED / CANCELLED (on a Confirmed appointment)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what happened at the appointment time.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Missed calls need to be rescheduled and counted; completed ones move the case forward.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finished appointments show no more buttons.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8.16 Follow-ups due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/admin/follow-ups</w:t>
      </w:r>
    </w:p>
    <w:p>
      <w:pPr>
        <w:spacing w:after="120" w:line="288"/>
      </w:pPr>
      <w:r>
        <w:t xml:space="preserve">Approved reminders (on day 2 and day 7 after an invitation) for invited cases that have not responded, and below them the invitations that have run out and need a new 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Case link (Sample ID)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the reminder is for.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check the case before you send.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Open in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WhatsApp with the reminder text already written for that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Reminders are sent by a person from the study's WhatsApp account: nothing is sent automatically, so a person always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opens with the message. If the button says “Open WhatsApp (choose contact)”, there is no mobile number on file (WhatsApp can't reach a landline): phone them, or pick the contact in WhatsApp and add the mobile on the case afterwards.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Invitations that have run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Cases still waiting whose link has expired, or whose last invitation was revoked or replaced.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reminder would point at a link that no longer works.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and send a new invitation from the case page; the case leaves the list and the reminders start again.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as 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portal you sent the reminder.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Otherwise the same reminder stays due and could be sent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recorded as sent by you and leaves the list.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yet: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Organisations sent the introduction and its reminder with no answer, or whose introduction could not be delivered.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Automatic messages have done all they can; a call is next.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if they agree on the phone, send the invitation from the case page.</w:t>
            </w:r>
          </w:p>
        </w:tc>
      </w:tr>
    </w:tbl>
    <w:p>
      <w:pPr>
        <w:spacing w:after="120"/>
      </w:pPr>
    </w:p>
    <w:p>
      <w:pPr>
        <w:pStyle w:val="Heading2"/>
      </w:pPr>
      <w:r>
        <w:t xml:space="preserve">8.17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 Email / SMS (writing)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to them on a channel and select Send.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Answer from the screen itself; the study's WhatsApp number is on no phone.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and recorded under your name. WhatsApp only within 24 hours of their own last WhatsApp message (otherwise send the introduction or an invitation); SMS once a sender is registered; email to an address on the record. Words like “approved” or “guarantee” are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handled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what they wrote has been dealt with.</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colleagues don't answer it twice. Replying does this for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leaves Waiting,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Numbers not on any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WhatsApp messages from numbers on no case or KII record (PI, Field Coordinator, Supervisor).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Someone may have a new phone; add the number to their case and later messages join their conversation.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Reply within 24 hours, or mark handled.</w:t>
            </w:r>
          </w:p>
        </w:tc>
      </w:tr>
    </w:tbl>
    <w:p>
      <w:pPr>
        <w:spacing w:after="120"/>
      </w:pPr>
    </w:p>
    <w:p>
      <w:pPr>
        <w:pStyle w:val="Heading2"/>
      </w:pPr>
      <w:r>
        <w:t xml:space="preserve">8.18 Reserve Activation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/admin/reserve</w:t>
      </w:r>
    </w:p>
    <w:p>
      <w:pPr>
        <w:spacing w:after="120" w:line="288"/>
      </w:pPr>
      <w:r>
        <w:t xml:space="preserve">Where a locked Reserve case is activated to replace a Main case that has dropped out: automatically every morning once the PI switches it on, or by hand.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Automatic replacement: outcomes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which outcomes replace a Main case: Refused, Nonresponse exhausted, No reply to the introduction, Ineligible, Duplicate/inactive.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authorised reasons; nothing else ever activates a Reserve.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Shows how many Main cases those outcomes would replace at the next 08:00 run. Only the PI can change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Switch on automatic replacement (PI)</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morning at 08:00 each such Main case has its own paired Reserve activated and introduced on WhatsApp; a YES sends the invitation link.</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Replaces drop-outs without waiting for someone to do it by hand, while every activation is still recorded under the PI's standing authorisation, with its reason and what happened.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panel shows On and who switched it on. At most the daily limit (20 unless changed) are activated a day. Switch off stops it at once.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Replaced automatically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Each replacement: when, the Main case, the reason, the Reserve, and how contact stands.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can see which Reserves said yes, said no, did not reply, or need contact details found.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a Sample ID to open the case. “Needs contact details” means no mobile was on record: add one, then send the introduction or an invitation.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 organisation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Finds a locked Reserve case.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There are 400 locked cases.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Select authorised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why: Ineligible, Inactive, Duplicate, Refusal or Nonresponse exhausted.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Reserve case is a scarce, matched replacement. Only these reasons are allowed so replacement cannot be used to swap in a friendlier organisation.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an evidence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Evidence 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shows the reason is true.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activation must be defensible later, in the dissertation or an audit.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Activate.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Activate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Unlocks the Reserve case so it can be invited.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one controlled way a Reserve case becomes usable. The reason, note and your name are kept.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leaves the locked list and can be invited; the activation is audited.</w:t>
            </w:r>
          </w:p>
        </w:tc>
      </w:tr>
    </w:tbl>
    <w:p>
      <w:pPr>
        <w:spacing w:after="120"/>
      </w:pPr>
    </w:p>
    <w:p>
      <w:pPr>
        <w:pStyle w:val="Heading2"/>
      </w:pPr>
      <w:r>
        <w:t xml:space="preserve">8.19 QA Queue (with the KoboToolbox sync panel)</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w:t>
      </w:r>
    </w:p>
    <w:p>
      <w:pPr>
        <w:spacing w:after="120" w:line="288"/>
      </w:pPr>
      <w:r>
        <w:t xml:space="preserve">Every completed questionnaire waits here for a human quality decision. Nothing is ever passed automatically.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sync → 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completed questionnaires from KoboToolbox right now, instead of waiting for the automatic check (every 15 minutes).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KoboToolbox is where the questionnaire is answered; the portal has to fetch what was submitted. A new or edited submission enters the queue when it is fetched.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summary shows how many were new or changed. “Not connected” or “Last sync failed” explains a problem; the automatic check keeps trying.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checked and found (for example “duration 28 min plausible, no duplicate”).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decision nobody explained looks the same as one nobody made; the note is what a later reviewer relies 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decision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passed quality checking.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QA passed, the case moves on, and the decision is audited. If the profile is not reconciled you are told how many facts are outstanding, and nothing changes.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Re-query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submission back with a question about what needs confirming or fixing.</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problems (an odd answer, a very short time) need the respondent or interviewer to clarify before a decision.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submission is marked as queried and the case moves to “QA query”. If the answers are edited in KoboToolbox, the next sync puts it back in the queue.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fails and will not be used.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Fabricated, duplicate or unusable data must be kept out of the analysis, but never silently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rejected. It is kept and the decision and your note are audited.</w:t>
            </w:r>
          </w:p>
        </w:tc>
      </w:tr>
    </w:tbl>
    <w:p>
      <w:pPr>
        <w:spacing w:after="120"/>
      </w:pPr>
    </w:p>
    <w:p>
      <w:pPr>
        <w:pStyle w:val="Heading2"/>
      </w:pPr>
      <w:r>
        <w:t xml:space="preserve">8.20 QA Exceptions</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/admin/qa/exceptions</w:t>
      </w:r>
    </w:p>
    <w:p>
      <w:pPr>
        <w:spacing w:after="120" w:line="288"/>
      </w:pPr>
      <w:r>
        <w:t xml:space="preserve">Flags the automatic quality rules raised (for example a very short completion time). Each waits for someone to deal with it and explain what was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Only mine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just the exceptions assigned to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each QA person work their own list.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narrows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resolved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Also shows exceptions that were already closed.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Useful for checking what was done before, or how similar flags were handled.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Closed exceptions appear with who closed them, when and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 to</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who deals with the exception,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each flag has an owner and none is left for “someone”.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appears in that person's “Only mine” list.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was done about it? (required to close)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did (what you checked, who you contacted).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closure nobody explained looks the same as one nobody looked at.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two closing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Resolved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Closes the exception because you dealt with a real problem.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Distinguishes “there was a problem and it was fixed” from a false alarm, so rules can be tuned.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is closed with your name, the time and your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 a real problem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Closes the exception because the flag was a false alarm.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False alarms are information too: many of them means a rule threshold may be wrong.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exception is closed as dismissed, with your note.</w:t>
            </w:r>
          </w:p>
        </w:tc>
      </w:tr>
    </w:tbl>
    <w:p>
      <w:pPr>
        <w:spacing w:after="120"/>
      </w:pPr>
    </w:p>
    <w:p>
      <w:pPr>
        <w:pStyle w:val="Heading2"/>
      </w:pPr>
      <w:r>
        <w:t xml:space="preserve">8.21 KII Register</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w:t>
      </w:r>
    </w:p>
    <w:p>
      <w:pPr>
        <w:spacing w:after="120" w:line="288"/>
      </w:pPr>
      <w:r>
        <w:t xml:space="preserve">All Key Informant Interview records. Each record identifies a real person, so nothing here leaves the study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KII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form to create a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interview gets its own record and KII ID from the start of contact.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KII Record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KII ID, name or role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participant among dozens.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records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KII invitations: From (Core-60, Reserve-30, Additional organisations, Named informants only), Send by (Email, SMS, WhatsApp), Next in line, How many, Review and send, Send N invitations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self-service link, with its own code, to that many KII records never invited (PROSPECT) with a contact and no open link, Core-60 first, on every chosen way each has a contact for. Up to 100 a batch, inside the same daily limits as Main-400 invitations.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Sending links record by record is slow, and an organisation can be missed. Every link goes through the same sending path as the record's own buttons, so the wording and audit trail are the same.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 Each sent record moves to INVITED; one where nothing got through is left as it was. WhatsApp is refused while Meta has not approved the KII template.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Needs reconciling</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informants who finished the KII Guide but corrected a background fact, answered an open question, or skipped the fact check. Shown only when there are some.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Everything else an informant does with their own link is recorded by itself (invited, consent, declined, completed, coding); this list is the only place a person is needed.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record's Interview sheet and record the final value for each, or a protocol deviation if it can't be settled. Coding completes by itself once they are all done.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How many records, Find contacts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an AI contact search for that many KII records (up to 25, in KII ID order) that are not yet interviewed or declined and have no phone, WhatsApp or email. A record searched in the last 30 days is skipped.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Most KII records start with no contact details; searching each organisation by hand is slow.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“Queued N searches”, then a progress line while they run one at a time. The button stays locked until the batch has finished. Nothing is saved by the batch.</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KII record whose findings are waiting for a decision, and opens the chosen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one record at a time;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 at its findings.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KII research pack and adds its contacts and PROIT facts as suggestions for review on each record, and its interview notes to the PROIT gap engine.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Typing about 30 researched facts per organisation for 90 organisations by hand is slow and error-prone; review stays one click per fact.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KII ID with links to each record. Nothing reaches a record until someone accepts it; locked profiles are never 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KII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an interview happens on its own record.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8.22 New KII Record</w:t>
      </w:r>
    </w:p>
    <w:p>
      <w:pPr>
        <w:spacing w:after="120" w:line="288"/>
      </w:pPr>
      <w:r>
        <w:rPr>
          <w:b/>
          <w:bCs/>
        </w:rPr>
        <w:t xml:space="preserve">Who can open it:</w:t>
      </w:r>
      <w:r>
        <w:t xml:space="preserve"> PI / System Admin, Field / Digital Coordinator, KII RA.  </w:t>
      </w:r>
      <w:r>
        <w:rPr>
          <w:b/>
          <w:bCs/>
        </w:rPr>
        <w:t xml:space="preserve">Where:</w:t>
      </w:r>
      <w:r>
        <w:t xml:space="preserve"> </w:t>
      </w:r>
      <w:r>
        <w:rPr>
          <w:rFonts w:ascii="Consolas" w:cs="Consolas" w:eastAsia="Consolas" w:hAnsi="Consolas"/>
          <w:b w:val="false"/>
          <w:bCs w:val="false"/>
          <w:color w:val="122238"/>
          <w:sz w:val="19"/>
          <w:szCs w:val="19"/>
        </w:rPr>
        <w:t xml:space="preserve">/admin/kii/new</w:t>
      </w:r>
    </w:p>
    <w:p>
      <w:pPr>
        <w:spacing w:after="120" w:line="288"/>
      </w:pPr>
      <w:r>
        <w:t xml:space="preserve">Starts the record for one interview.</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Stakeholder category, Participant name, Participant role, Preferred mode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 who the participant is and how they prefer to be interviewed.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category places the interview in the KII design; the name and role are needed to arrange it. They stay in the portal and are never put into web addresses.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Create KII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 KII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ID (for example KII-0026) is generated by the system so it is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opens at its starting status, with no consent recorded yet.</w:t>
            </w:r>
          </w:p>
        </w:tc>
      </w:tr>
    </w:tbl>
    <w:p>
      <w:pPr>
        <w:spacing w:after="120"/>
      </w:pPr>
    </w:p>
    <w:p>
      <w:pPr>
        <w:pStyle w:val="Heading2"/>
      </w:pPr>
      <w:r>
        <w:t xml:space="preserve">8.23 KII record</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/admin/kii/{id}</w:t>
      </w:r>
    </w:p>
    <w:p>
      <w:pPr>
        <w:spacing w:after="120" w:line="288"/>
      </w:pPr>
      <w:r>
        <w:t xml:space="preserve">The whole life of one interview: status, consent, the interview itself, transcript and coding.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Searches public sources for the organisation's published phone, email and website and the informant's work contact where their organisation publishes it; for an unidentified record, who holds the role.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needs a phone or email before the informant can be sent a link.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Findings appear under “To review”, each with its page and quoted passage. Only the organisation's name and type and the informant's name and role are sent to the AI provider.</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Accept puts the finding on the record: a phone or email fills Phone or Email (never over a different one); a person found for an unidentified record replaces its name and role; a website is kept with the record. Reject discards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finding moves to “Already decided”, and Record details shows the new values.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buttons (INVITED, SCHEDULED, COMPLETED, DECLINED, NO_SHOW)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 the interview to the next status as things happen. Only valid next statuses are shown: a prospect can be invited or decline; an invited person scheduled or decline; a scheduled interview completed, no-show or decline; a no-show can be rescheduled.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status should only follow what really happened, and COMPLETED, DECLINED are final.</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is audited. A final status shows no more buttons.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Recording made (tick box, when marking COMPLETED)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Tick it only if the interview was audio-recorded.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recorded interview needs the participant's separate recording consent; the portal refuses to complete it as recorded without that.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If recording consent is missing you are told, and the status does not change.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participation consent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agreed to take part, after you read or summarised the information sheet.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Nobody is interviewed without consent. The interview link stays hidden until this is recorded.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consent is recorded (with the information sheet version). Continue this interview appears.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recording consent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participant agreed to be audio-recorded.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Recording consent is always a separate decision; it is never assumed from taking part.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Recording consent is recorded and a recorded interview can be completed.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Continue this interview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KoboToolbox KII Guide in a new tab with this record's KII ID already filled 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the completed form always matches this record and the ID can never be mistyped. Only the ID and your username are sent, never the participant's name.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KoboToolbox form opens. When submitted, the completed form appears under Completed KII form.</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Transcript status (NOT_STARTED, IN_PROGRESS, VERIFIED, ANONYMISED)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how far the transcript has got.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transcript must be verified and anonymised before it can be analysed or quoted.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cannot go backwards.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Coding status (NOT_STARTED, IN_PROGRESS, COMPLETE)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how far the coding has got. It moves to COMPLETE by itself when the completed KII Guide is synced for this KII ID.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what has and has not been analysed. If the interview had a locked pre-interview profile, COMPLETE is refused until it is reconciled; a synced KII Guide then completes it at the next sync.</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cannot go backwards. If the profile is not reconciled you are told what is outstanding.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KII form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completed KII Guide for this record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without opening KoboToolbox.</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bl>
    <w:p>
      <w:pPr>
        <w:spacing w:after="120"/>
      </w:pPr>
    </w:p>
    <w:p>
      <w:pPr>
        <w:pStyle w:val="Heading2"/>
      </w:pPr>
      <w:r>
        <w:t xml:space="preserve">8.24 Documents (the corpus)</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w:t>
      </w:r>
    </w:p>
    <w:p>
      <w:pPr>
        <w:spacing w:after="120" w:line="288"/>
      </w:pPr>
      <w:r>
        <w:t xml:space="preserve">The register of documentary evidence (target 50–75 coded, included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New Documentary Evidence Record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source needs a record with a document ID before it can be coded.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document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title, ID or author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document in 100 or more.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documents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document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document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8.25 New Documentary Evidence Record</w:t>
      </w:r>
    </w:p>
    <w:p>
      <w:pPr>
        <w:spacing w:after="120" w:line="288"/>
      </w:pPr>
      <w:r>
        <w:rPr>
          <w:b/>
          <w:bCs/>
        </w:rPr>
        <w:t xml:space="preserve">Who can open it:</w:t>
      </w:r>
      <w:r>
        <w:t xml:space="preserve"> PI / System Admin, Field / Digital Coordinator, Documentary RA.  </w:t>
      </w:r>
      <w:r>
        <w:rPr>
          <w:b/>
          <w:bCs/>
        </w:rPr>
        <w:t xml:space="preserve">Where:</w:t>
      </w:r>
      <w:r>
        <w:t xml:space="preserve"> </w:t>
      </w:r>
      <w:r>
        <w:rPr>
          <w:rFonts w:ascii="Consolas" w:cs="Consolas" w:eastAsia="Consolas" w:hAnsi="Consolas"/>
          <w:b w:val="false"/>
          <w:bCs w:val="false"/>
          <w:color w:val="122238"/>
          <w:sz w:val="19"/>
          <w:szCs w:val="19"/>
        </w:rPr>
        <w:t xml:space="preserve">/admin/documents/new</w:t>
      </w:r>
    </w:p>
    <w:p>
      <w:pPr>
        <w:spacing w:after="120" w:line="288"/>
      </w:pPr>
      <w:r>
        <w:t xml:space="preserve">Creates a document record. The fastest way is to upload the file and let the AI fill in the record and draft the coding form.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Choose file (Fastest: upload the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the document: PDF, Word, Excel, text or CSV, or a JPG/PNG scan or photo (up to 20 MB).</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can read all of these, so you do not retype details that are already on the first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sent until you select Upload and auto-fill.</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Title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a title of your 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may want a specific name, for example for one chapter of a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typed title is kept; the AI does not replace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Optional: 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Enter the pages of a long PDF that make up this evidence unit, for example 290-340.</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 and a long report holds several evidence units.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read. With no title, the AI names the part.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Ticks the option to read a PDF longer than 100 pages in parts of about 80 pages, then combine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document you want coded as one unit; slower and dearer, and the ratings need extra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shows how many parts and asks you to confirm before it starts.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Upload and 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record, uploads the file, and starts the AI: first it fills in the record's details, then it drafts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typing every detail and every answer; a person still reviews and submits.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review screen opens and shows “Step 1 of 2… Step 2 of 2”. If the file cannot be used, nothing is created.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Title, Author / speaker, Source URL / reference, Document type, Geographic scope, Evidence extract → Create document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manual way: type the details yourself and save.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source with no file yet, or when AI drafting is switched off.</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created with a document ID (for example DOC-0025) and opens.</w:t>
            </w:r>
          </w:p>
        </w:tc>
      </w:tr>
    </w:tbl>
    <w:p>
      <w:pPr>
        <w:spacing w:after="120"/>
      </w:pPr>
    </w:p>
    <w:p>
      <w:pPr>
        <w:pStyle w:val="Heading2"/>
      </w:pPr>
      <w:r>
        <w:t xml:space="preserve">8.26 Document record</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w:t>
      </w:r>
    </w:p>
    <w:p>
      <w:pPr>
        <w:spacing w:after="120" w:line="288"/>
      </w:pPr>
      <w:r>
        <w:t xml:space="preserve">Everything about one document: authenticity, the decision to include it, its file, its details, its coding and its memo.</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Mark verified / Mark disputed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your judgement of whether the document is what it claims to be: the right author, date and content.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Documents are evidence; a forged or doubtful one must not enter the corpus unnoticed. Disputed documents are kept and explained, not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authenticity changes and is audited. Include becomes available once assessed.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 Exclude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Decides whether the document counts in the corpus.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cannot be Included until authenticity has been assessed, so unassessed evidence never counts.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QA status changes; Include stays greyed out while authenticity is Unverified.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Source file → Choose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Uploads or replaces the source (up to 20 MB). Replacing removes the old file and any unsubmitted draft made from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keeps one current source. A draft of the wrong document must never be submitted for the right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bar shows progress, then the file name appears. With Start Auto-fill ticked, the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 Auto-fill as soon as the file is uploaded (tick 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When ticked, uploading immediately starts the AI draft.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a step for the common case.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 the upload, the review screen opens and the AI starts reading.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Remove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Deletes the source file from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For a wrong upload. It also discards the unsubmitted AI draft made from it; a draft already submitted is kept as the record of what was filed.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names what goes. The record says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Copy for another chapter (Chapter title, Pages to read, Copy and auto-fill)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Makes another record for a different part of the same source: same author, date, source and type, and its own copy of the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long report holds several evidence units, each of which should be coded, judged and exported on its own.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new record is created (and, with AI on, drafted) and opens. Authenticity and inclusion are not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details → Save details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Edits the title, author, date, source, scope, value chain and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feed Section A of the coding form; if the AI filled them in from the document, this is where you check and correct them.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“Details saved.” The draft and the submission use the corrected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document ID and details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coding by hand, or when the AI cannot read the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screen for the AI draft of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fast first draft that a person then checks.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Auto-fill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Interpretive memo → Save memo</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Writes down your reasoning: why authenticity was disputed, how you read the document.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memo is the audit trail of your judgement, needed for the dissertation.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“saved” message; the memo stays on the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coding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coding form for this document.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of what was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(only if a form was submitted with this document ID).</w:t>
            </w:r>
          </w:p>
        </w:tc>
      </w:tr>
    </w:tbl>
    <w:p>
      <w:pPr>
        <w:spacing w:after="120"/>
      </w:pPr>
    </w:p>
    <w:p>
      <w:pPr>
        <w:pStyle w:val="Heading2"/>
      </w:pPr>
      <w:r>
        <w:t xml:space="preserve">8.27 Auto-fill review screen</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/admin/documents/{id}/ai-draft</w:t>
      </w:r>
    </w:p>
    <w:p>
      <w:pPr>
        <w:spacing w:after="120" w:line="288"/>
      </w:pPr>
      <w:r>
        <w:t xml:space="preserve">Where you review the AI's draft of the KoboToolbox coding form, edit it and submit it. Nothing reaches KoboToolbox until you select Submit.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For a PDF over 100 pages, enter the pages that make up this evidence unit.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drafted; locators keep the original page numbers.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Reads the whole PDF (or a long range) in parts of about 80 pages and combines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one coding of a long document; costs about the number of parts plus one times an ordinary draft.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 are asked to confirm. Progress shows “Read part 3 of 8”, then “Combining the parts”.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Generate AI draft / Regenerate draft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the AI reading the source. Regenerate replaces the current draft and any unsaved edits.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draft is a paid request, so it starts only when you ask; regenerating asks first because it discards your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AI works in the background (usually one to five minutes) and you can leave the page. The draft appears here when ready.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The draft fields (sections A to 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 of the form, with the AI's answer. Edit any grey-free field: text, choices, tick boxes, dates.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drafts; you are responsible for the judgements (strength ratings, hypothesis codes) that are the study's documentary analysis.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Edits are kept in the browser until you select Save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Section A grey fields (DOC ID, author, title, date,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Come from the record and cannot be edited here; use “edit the record details”.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draft must agree with the record it is attached to.</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Corrections on the record show here at once and are the values submitted.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metric / Remove this metric (Section J)</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or deletes a row of the quantitative metrics table.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Numbers in the source (percentages, amounts, targets) are recorded one per row with a locator.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row is added or removed in the draft.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Save changes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Saves your edits to the draft on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stop and finish later without submitting.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“Changes saved.” The button is unavailable after submission.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 to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reviewed draft to KoboToolbox as a completed record, after you confirm. It saves your edits first.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one place the portal writes to KoboToolbox, and only on this deliberate click: a person, not the AI, submits the study's documentary analysis. Once only, so no duplicate.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“Submitted to KoboToolbox, and a copy is now held in the portal.” The answers lock and the screen says “Already submitted”. A second click is refused.</w:t>
            </w:r>
          </w:p>
        </w:tc>
      </w:tr>
    </w:tbl>
    <w:p>
      <w:pPr>
        <w:spacing w:after="120"/>
      </w:pPr>
    </w:p>
    <w:p>
      <w:pPr>
        <w:pStyle w:val="Heading2"/>
      </w:pPr>
      <w:r>
        <w:t xml:space="preserve">8.28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Form (drop-down)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form to list. Shown only to roles that may see more than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role sees only its own form, because raw answers can identify organisations and people.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and the sync panel change to that form.</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respondent (questionnaire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the respondent a copy of their own answers, at the address on their case,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Respondents may ask for their answers; the copy goes only to the address on file and only while their consent stands.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first; then “Sent to …”. Refused if consent was withdrawn or no email is on file.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8.29 Cost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/admin/cost</w:t>
      </w:r>
    </w:p>
    <w:p>
      <w:pPr>
        <w:spacing w:after="120" w:line="288"/>
      </w:pPr>
      <w:r>
        <w:t xml:space="preserve">What the fieldwork has cost, by category, so cost per completed case can be reported.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Spend by category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spend for RA allowance, airtime/data, transport, accommodation, hosting, messaging and other.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Funders and the dissertation need the real cost of each completed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cost event: Date, Category, Amount → Log cost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one expense.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Costs are logged as they happen so the total stays true, and each event records who approved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event is added and the total increases by that amount.</w:t>
            </w:r>
          </w:p>
        </w:tc>
      </w:tr>
    </w:tbl>
    <w:p>
      <w:pPr>
        <w:spacing w:after="120"/>
      </w:pPr>
    </w:p>
    <w:p>
      <w:pPr>
        <w:pStyle w:val="Heading2"/>
      </w:pPr>
      <w:r>
        <w:t xml:space="preserve">8.30 Export</w:t>
      </w:r>
    </w:p>
    <w:p>
      <w:pPr>
        <w:spacing w:after="120" w:line="288"/>
      </w:pPr>
      <w:r>
        <w:rPr>
          <w:b/>
          <w:bCs/>
        </w:rPr>
        <w:t xml:space="preserve">Who can open it:</w:t>
      </w:r>
      <w:r>
        <w:t xml:space="preserve"> PI / System Admin, Field / Digital Coordinator, Data Analyst.  </w:t>
      </w:r>
      <w:r>
        <w:rPr>
          <w:b/>
          <w:bCs/>
        </w:rPr>
        <w:t xml:space="preserve">Where:</w:t>
      </w:r>
      <w:r>
        <w:t xml:space="preserve"> </w:t>
      </w:r>
      <w:r>
        <w:rPr>
          <w:rFonts w:ascii="Consolas" w:cs="Consolas" w:eastAsia="Consolas" w:hAnsi="Consolas"/>
          <w:b w:val="false"/>
          <w:bCs w:val="false"/>
          <w:color w:val="122238"/>
          <w:sz w:val="19"/>
          <w:szCs w:val="19"/>
        </w:rPr>
        <w:t xml:space="preserve">/admin/export</w:t>
      </w:r>
    </w:p>
    <w:p>
      <w:pPr>
        <w:spacing w:after="120" w:line="288"/>
      </w:pPr>
      <w:r>
        <w:t xml:space="preserve">Downloads of data for analysis and for the data lock. Every download is audited, and the disclaimer at the foot applies to everything exported.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analysis export (CSV)</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case-level data with no contact-identifying fields (no names, phone numbers or emails). Withdrawn participants' answers are left out.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version that is safe for analysis and for sharing with the wider research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CSV downloads.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1.37 · 13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2 · Field / Digital Coordinator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abstractNum w:abstractNumId="17" w15:restartNumberingAfterBreak="0">
    <w:multiLevelType w:val="hybridMultilevel"/>
    <w:lvl w:ilvl="0" w15:tentative="1">
      <w:start w:val="1"/>
      <w:numFmt w:val="decimal"/>
      <w:lvlText w:val="%1."/>
      <w:lvlJc w:val="left"/>
      <w:pPr>
        <w:ind w:left="460" w:hanging="360"/>
      </w:pPr>
      <w:rPr>
        <w:b/>
        <w:bCs/>
        <w:color w:val="A67C27"/>
      </w:rPr>
    </w:lvl>
  </w:abstractNum>
  <w:abstractNum w:abstractNumId="18" w15:restartNumberingAfterBreak="0">
    <w:multiLevelType w:val="hybridMultilevel"/>
    <w:lvl w:ilvl="0" w15:tentative="1">
      <w:start w:val="1"/>
      <w:numFmt w:val="decimal"/>
      <w:lvlText w:val="%1."/>
      <w:lvlJc w:val="left"/>
      <w:pPr>
        <w:ind w:left="460" w:hanging="360"/>
      </w:pPr>
      <w:rPr>
        <w:b/>
        <w:bCs/>
        <w:color w:val="A67C27"/>
      </w:rPr>
    </w:lvl>
  </w:abstractNum>
  <w:abstractNum w:abstractNumId="19" w15:restartNumberingAfterBreak="0">
    <w:multiLevelType w:val="hybridMultilevel"/>
    <w:lvl w:ilvl="0" w15:tentative="1">
      <w:start w:val="1"/>
      <w:numFmt w:val="decimal"/>
      <w:lvlText w:val="%1."/>
      <w:lvlJc w:val="left"/>
      <w:pPr>
        <w:ind w:left="460" w:hanging="360"/>
      </w:pPr>
      <w:rPr>
        <w:b/>
        <w:bCs/>
        <w:color w:val="A67C27"/>
      </w:rPr>
    </w:lvl>
  </w:abstractNum>
  <w:abstractNum w:abstractNumId="20" w15:restartNumberingAfterBreak="0">
    <w:multiLevelType w:val="hybridMultilevel"/>
    <w:lvl w:ilvl="0" w15:tentative="1">
      <w:start w:val="1"/>
      <w:numFmt w:val="decimal"/>
      <w:lvlText w:val="%1."/>
      <w:lvlJc w:val="left"/>
      <w:pPr>
        <w:ind w:left="460" w:hanging="360"/>
      </w:pPr>
      <w:rPr>
        <w:b/>
        <w:bCs/>
        <w:color w:val="A67C27"/>
      </w:rPr>
    </w:lvl>
  </w:abstractNum>
  <w:abstractNum w:abstractNumId="21" w15:restartNumberingAfterBreak="0">
    <w:multiLevelType w:val="hybridMultilevel"/>
    <w:lvl w:ilvl="0" w15:tentative="1">
      <w:start w:val="1"/>
      <w:numFmt w:val="decimal"/>
      <w:lvlText w:val="%1."/>
      <w:lvlJc w:val="left"/>
      <w:pPr>
        <w:ind w:left="460" w:hanging="360"/>
      </w:pPr>
      <w:rPr>
        <w:b/>
        <w:bCs/>
        <w:color w:val="A67C27"/>
      </w:rPr>
    </w:lvl>
  </w:abstractNum>
  <w:abstractNum w:abstractNumId="22" w15:restartNumberingAfterBreak="0">
    <w:multiLevelType w:val="hybridMultilevel"/>
    <w:lvl w:ilvl="0" w15:tentative="1">
      <w:start w:val="1"/>
      <w:numFmt w:val="decimal"/>
      <w:lvlText w:val="%1."/>
      <w:lvlJc w:val="left"/>
      <w:pPr>
        <w:ind w:left="460" w:hanging="360"/>
      </w:pPr>
      <w:rPr>
        <w:b/>
        <w:bCs/>
        <w:color w:val="A67C27"/>
      </w:rPr>
    </w:lvl>
  </w:abstractNum>
  <w:abstractNum w:abstractNumId="23" w15:restartNumberingAfterBreak="0">
    <w:multiLevelType w:val="hybridMultilevel"/>
    <w:lvl w:ilvl="0" w15:tentative="1">
      <w:start w:val="1"/>
      <w:numFmt w:val="decimal"/>
      <w:lvlText w:val="%1."/>
      <w:lvlJc w:val="left"/>
      <w:pPr>
        <w:ind w:left="460" w:hanging="360"/>
      </w:pPr>
      <w:rPr>
        <w:b/>
        <w:bCs/>
        <w:color w:val="A67C27"/>
      </w:rPr>
    </w:lvl>
  </w:abstractNum>
  <w:abstractNum w:abstractNumId="24" w15:restartNumberingAfterBreak="0">
    <w:multiLevelType w:val="hybridMultilevel"/>
    <w:lvl w:ilvl="0" w15:tentative="1">
      <w:start w:val="1"/>
      <w:numFmt w:val="decimal"/>
      <w:lvlText w:val="%1."/>
      <w:lvlJc w:val="left"/>
      <w:pPr>
        <w:ind w:left="460" w:hanging="360"/>
      </w:pPr>
      <w:rPr>
        <w:b/>
        <w:bCs/>
        <w:color w:val="A67C27"/>
      </w:rPr>
    </w:lvl>
  </w:abstractNum>
  <w:abstractNum w:abstractNumId="25" w15:restartNumberingAfterBreak="0">
    <w:multiLevelType w:val="hybridMultilevel"/>
    <w:lvl w:ilvl="0" w15:tentative="1">
      <w:start w:val="1"/>
      <w:numFmt w:val="decimal"/>
      <w:lvlText w:val="%1."/>
      <w:lvlJc w:val="left"/>
      <w:pPr>
        <w:ind w:left="460" w:hanging="360"/>
      </w:pPr>
      <w:rPr>
        <w:b/>
        <w:bCs/>
        <w:color w:val="A67C27"/>
      </w:rPr>
    </w:lvl>
  </w:abstractNum>
  <w:abstractNum w:abstractNumId="26" w15:restartNumberingAfterBreak="0">
    <w:multiLevelType w:val="hybridMultilevel"/>
    <w:lvl w:ilvl="0" w15:tentative="1">
      <w:start w:val="1"/>
      <w:numFmt w:val="decimal"/>
      <w:lvlText w:val="%1."/>
      <w:lvlJc w:val="left"/>
      <w:pPr>
        <w:ind w:left="460" w:hanging="360"/>
      </w:pPr>
      <w:rPr>
        <w:b/>
        <w:bCs/>
        <w:color w:val="A67C27"/>
      </w:rPr>
    </w:lvl>
  </w:abstractNum>
  <w:abstractNum w:abstractNumId="27" w15:restartNumberingAfterBreak="0">
    <w:multiLevelType w:val="hybridMultilevel"/>
    <w:lvl w:ilvl="0" w15:tentative="1">
      <w:start w:val="1"/>
      <w:numFmt w:val="decimal"/>
      <w:lvlText w:val="%1."/>
      <w:lvlJc w:val="left"/>
      <w:pPr>
        <w:ind w:left="460" w:hanging="360"/>
      </w:pPr>
      <w:rPr>
        <w:b/>
        <w:bCs/>
        <w:color w:val="A67C27"/>
      </w:rPr>
    </w:lvl>
  </w:abstractNum>
  <w:abstractNum w:abstractNumId="28" w15:restartNumberingAfterBreak="0">
    <w:multiLevelType w:val="hybridMultilevel"/>
    <w:lvl w:ilvl="0" w15:tentative="1">
      <w:start w:val="1"/>
      <w:numFmt w:val="decimal"/>
      <w:lvlText w:val="%1."/>
      <w:lvlJc w:val="left"/>
      <w:pPr>
        <w:ind w:left="460" w:hanging="360"/>
      </w:pPr>
      <w:rPr>
        <w:b/>
        <w:bCs/>
        <w:color w:val="A67C27"/>
      </w:rPr>
    </w:lvl>
  </w:abstractNum>
  <w:abstractNum w:abstractNumId="29" w15:restartNumberingAfterBreak="0">
    <w:multiLevelType w:val="hybridMultilevel"/>
    <w:lvl w:ilvl="0" w15:tentative="1">
      <w:start w:val="1"/>
      <w:numFmt w:val="decimal"/>
      <w:lvlText w:val="%1."/>
      <w:lvlJc w:val="left"/>
      <w:pPr>
        <w:ind w:left="460" w:hanging="360"/>
      </w:pPr>
      <w:rPr>
        <w:b/>
        <w:bCs/>
        <w:color w:val="A67C27"/>
      </w:rPr>
    </w:lvl>
  </w:abstractNum>
  <w:abstractNum w:abstractNumId="30" w15:restartNumberingAfterBreak="0">
    <w:multiLevelType w:val="hybridMultilevel"/>
    <w:lvl w:ilvl="0" w15:tentative="1">
      <w:start w:val="1"/>
      <w:numFmt w:val="decimal"/>
      <w:lvlText w:val="%1."/>
      <w:lvlJc w:val="left"/>
      <w:pPr>
        <w:ind w:left="460" w:hanging="360"/>
      </w:pPr>
      <w:rPr>
        <w:b/>
        <w:bCs/>
        <w:color w:val="A67C27"/>
      </w:rPr>
    </w:lvl>
  </w:abstractNum>
  <w:abstractNum w:abstractNumId="31" w15:restartNumberingAfterBreak="0">
    <w:multiLevelType w:val="hybridMultilevel"/>
    <w:lvl w:ilvl="0" w15:tentative="1">
      <w:start w:val="1"/>
      <w:numFmt w:val="decimal"/>
      <w:lvlText w:val="%1."/>
      <w:lvlJc w:val="left"/>
      <w:pPr>
        <w:ind w:left="460" w:hanging="360"/>
      </w:pPr>
      <w:rPr>
        <w:b/>
        <w:bCs/>
        <w:color w:val="A67C27"/>
      </w:rPr>
    </w:lvl>
  </w:abstractNum>
  <w:abstractNum w:abstractNumId="32" w15:restartNumberingAfterBreak="0">
    <w:multiLevelType w:val="hybridMultilevel"/>
    <w:lvl w:ilvl="0" w15:tentative="1">
      <w:start w:val="1"/>
      <w:numFmt w:val="decimal"/>
      <w:lvlText w:val="%1."/>
      <w:lvlJc w:val="left"/>
      <w:pPr>
        <w:ind w:left="460" w:hanging="360"/>
      </w:pPr>
      <w:rPr>
        <w:b/>
        <w:bCs/>
        <w:color w:val="A67C27"/>
      </w:rPr>
    </w:lvl>
  </w:abstractNum>
  <w:abstractNum w:abstractNumId="33"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67a3b41ad31830d0a6d35510b8466d1c6a8ade6.jpg"/><Relationship Id="rId15" Type="http://schemas.openxmlformats.org/officeDocument/2006/relationships/image" Target="media/0df8b87650df43f0163d04ca0d1666befd254073.jpg"/><Relationship Id="rId16" Type="http://schemas.openxmlformats.org/officeDocument/2006/relationships/image" Target="media/fc1bb911a479d206fae15d1be7de3779d6382f25.jpg"/><Relationship Id="rId17" Type="http://schemas.openxmlformats.org/officeDocument/2006/relationships/image" Target="media/51e08ceb12e27bba247b8e91a517c26439f11061.jpg"/><Relationship Id="rId18" Type="http://schemas.openxmlformats.org/officeDocument/2006/relationships/image" Target="media/4edb0e7f342465c561eec1cbce99a1e92cd50760.jpg"/><Relationship Id="rId19" Type="http://schemas.openxmlformats.org/officeDocument/2006/relationships/image" Target="media/aeb03538f4861c1892a516c49524165a7d2e0dd1.jpg"/><Relationship Id="rId20" Type="http://schemas.openxmlformats.org/officeDocument/2006/relationships/image" Target="media/78a5edc81e1f24d57d716107ff9f9a4db861f9d3.jpg"/><Relationship Id="rId21" Type="http://schemas.openxmlformats.org/officeDocument/2006/relationships/image" Target="media/ba7ded731a830891ee5d7053c82840256c629d31.jpg"/><Relationship Id="rId22" Type="http://schemas.openxmlformats.org/officeDocument/2006/relationships/image" Target="media/abd698a42cb600c19ebf8c14d929fd10bccd1e65.jpg"/><Relationship Id="rId23" Type="http://schemas.openxmlformats.org/officeDocument/2006/relationships/image" Target="media/8caf4112704b66abfaea1431ba0f43469d6019a6.jpg"/><Relationship Id="rId24" Type="http://schemas.openxmlformats.org/officeDocument/2006/relationships/image" Target="media/44135e913076e42573f8cb3dbbc650339cf92059.jpg"/><Relationship Id="rId25" Type="http://schemas.openxmlformats.org/officeDocument/2006/relationships/image" Target="media/816d7ad2d5b879fedcc912a2c642dcc739548ce2.jpg"/><Relationship Id="rId26" Type="http://schemas.openxmlformats.org/officeDocument/2006/relationships/image" Target="media/fbfc0e781ee459839812ba26eeffa28c72909d8b.jpg"/><Relationship Id="rId27" Type="http://schemas.openxmlformats.org/officeDocument/2006/relationships/image" Target="media/ccdf3c194b050a419e374412bcccdbbc06c9a88f.jpg"/><Relationship Id="rId28" Type="http://schemas.openxmlformats.org/officeDocument/2006/relationships/image" Target="media/70b49bc59d9bf7ad3b4e53d4874146c337734b47.jpg"/><Relationship Id="rId29" Type="http://schemas.openxmlformats.org/officeDocument/2006/relationships/image" Target="media/b6bd74a0c6c46380ca20c3d5e4837ab0ba645637.jpg"/><Relationship Id="rId30" Type="http://schemas.openxmlformats.org/officeDocument/2006/relationships/image" Target="media/b99c12b06b55cd851aae0d72ba6eec5b76f41581.jpg"/><Relationship Id="rId31" Type="http://schemas.openxmlformats.org/officeDocument/2006/relationships/image" Target="media/e4d974a67db3e7f34189d62a45292995969e1ab3.jpg"/><Relationship Id="rId32" Type="http://schemas.openxmlformats.org/officeDocument/2006/relationships/image" Target="media/0475537fe47564c7f4e5e6ab09d93e3ef13744b0.jpg"/><Relationship Id="rId33" Type="http://schemas.openxmlformats.org/officeDocument/2006/relationships/image" Target="media/4153b66a524c5fc63b23a4188595d69892202180.jpg"/><Relationship Id="rId34" Type="http://schemas.openxmlformats.org/officeDocument/2006/relationships/image" Target="media/7d2b62dfb7d7ff0d968e867e143e33403eee4643.jpg"/><Relationship Id="rId35" Type="http://schemas.openxmlformats.org/officeDocument/2006/relationships/image" Target="media/c4bb85699a0d1f1fe471180319695306303b5d41.jpg"/><Relationship Id="rId36" Type="http://schemas.openxmlformats.org/officeDocument/2006/relationships/image" Target="media/434b8ca61bff15756b23206524afaa732c523185.jpg"/><Relationship Id="rId37" Type="http://schemas.openxmlformats.org/officeDocument/2006/relationships/image" Target="media/09a95d847065b787734447195facdccaccd2a420.jpg"/><Relationship Id="rId38" Type="http://schemas.openxmlformats.org/officeDocument/2006/relationships/image" Target="media/c8916af0be83084805424ac034aa85f8a981e79c.jpg"/><Relationship Id="rId39" Type="http://schemas.openxmlformats.org/officeDocument/2006/relationships/image" Target="media/dc3b655000895ab866aae9e373014bcfcca20bb0.jpg"/><Relationship Id="rId40" Type="http://schemas.openxmlformats.org/officeDocument/2006/relationships/image" Target="media/cfaa4e7f90ac6b68932c8dd19deadffa5cf88a8c.jpg"/><Relationship Id="rId41" Type="http://schemas.openxmlformats.org/officeDocument/2006/relationships/image" Target="media/6bd9e8c8bd62a31ad686a6877a5005139c50ea7c.jpg"/><Relationship Id="rId42" Type="http://schemas.openxmlformats.org/officeDocument/2006/relationships/image" Target="media/fbbd8f14067a91a3e2a925fa8c2afe3fc35740a2.jpg"/><Relationship Id="rId43" Type="http://schemas.openxmlformats.org/officeDocument/2006/relationships/image" Target="media/9c26bd58060c7f7a5f0866e7b06f32b963a91215.jp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2: Field / Digital Coordinator</dc:title>
  <dc:creator>ABF-FST research team</dc:creator>
  <dc:description>Step-by-step instructions for the Field / Digital Coordinator role in the ABF-FST Digital Respondent Portal.</dc:description>
  <cp:lastModifiedBy>Un-named</cp:lastModifiedBy>
  <cp:revision>1</cp:revision>
  <dcterms:created xsi:type="dcterms:W3CDTF">2026-10-13T12:21:53.974Z</dcterms:created>
  <dcterms:modified xsi:type="dcterms:W3CDTF">2026-10-13T12:21:53.974Z</dcterms:modified>
</cp:coreProperties>
</file>

<file path=docProps/custom.xml><?xml version="1.0" encoding="utf-8"?>
<Properties xmlns="http://schemas.openxmlformats.org/officeDocument/2006/custom-properties" xmlns:vt="http://schemas.openxmlformats.org/officeDocument/2006/docPropsVTypes"/>
</file>