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647700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704850"/>
                    </a:xfrm>
                    <a:prstGeom prst="rect">
                      <a:avLst/>
                    </a:prstGeom>
                  </pic:spPr>
                </pic:pic>
              </a:graphicData>
            </a:graphic>
          </wp:inline>
        </w:drawing>
      </w:r>
    </w:p>
    <w:p>
      <w:pPr>
        <w:spacing w:after="20"/>
        <w:jc w:val="center"/>
      </w:pPr>
      <w:r>
        <w:rPr>
          <w:b/>
          <w:bCs/>
          <w:color w:val="063D2B"/>
          <w:sz w:val="30"/>
          <w:szCs w:val="30"/>
        </w:rPr>
        <w:t xml:space="preserve">ABF-FST DIGITAL RESPONDENT PORTAL</w:t>
      </w:r>
    </w:p>
    <w:p>
      <w:pPr>
        <w:spacing w:after="20"/>
        <w:jc w:val="center"/>
      </w:pPr>
      <w:r>
        <w:rPr>
          <w:b/>
          <w:bCs/>
          <w:color w:val="042A1E"/>
          <w:sz w:val="22"/>
          <w:szCs w:val="22"/>
        </w:rPr>
        <w:t xml:space="preserve">Architecture and Implementation Blueprint</w:t>
      </w:r>
    </w:p>
    <w:p>
      <w:pPr>
        <w:spacing w:after="160"/>
        <w:jc w:val="center"/>
      </w:pPr>
      <w:r>
        <w:rPr>
          <w:i/>
          <w:iCs/>
          <w:color w:val="5A5A5A"/>
          <w:sz w:val="17"/>
          <w:szCs w:val="17"/>
        </w:rPr>
        <w:t xml:space="preserve">Version 2.0  |  11 September 2026  —  supersedes v1.0 (9 September 2026)</w:t>
      </w:r>
    </w:p>
    <w:p>
      <w:pPr>
        <w:spacing w:after="8"/>
        <w:jc w:val="center"/>
      </w:pPr>
      <w:r>
        <w:rPr>
          <w:color w:val="5A5A5A"/>
          <w:sz w:val="16"/>
          <w:szCs w:val="16"/>
        </w:rPr>
        <w:t xml:space="preserve">Supporting the Agribusiness Bankability Index (ABI) and Agribusiness Bankability Framework</w:t>
      </w:r>
    </w:p>
    <w:p>
      <w:pPr>
        <w:spacing w:after="8"/>
        <w:jc w:val="center"/>
      </w:pPr>
      <w:r>
        <w:rPr>
          <w:color w:val="5A5A5A"/>
          <w:sz w:val="16"/>
          <w:szCs w:val="16"/>
        </w:rPr>
        <w:t xml:space="preserve">for Food Systems Transformation (ABF-FST) Study</w:t>
      </w:r>
    </w:p>
    <w:p>
      <w:pPr>
        <w:spacing w:after="8"/>
        <w:jc w:val="center"/>
      </w:pPr>
      <w:r>
        <w:rPr>
          <w:color w:val="5A5A5A"/>
          <w:sz w:val="16"/>
          <w:szCs w:val="16"/>
        </w:rPr>
        <w:t xml:space="preserve">Principal Researcher: Happyson Saina  |  Doctor of Strategic Management, Chinhoyi University of Technology</w:t>
      </w:r>
    </w:p>
    <w:p>
      <w:pPr>
        <w:spacing w:after="180"/>
        <w:jc w:val="center"/>
      </w:pPr>
      <w:r>
        <w:rPr>
          <w:color w:val="5A5A5A"/>
          <w:sz w:val="16"/>
          <w:szCs w:val="16"/>
        </w:rPr>
        <w:t xml:space="preserve">Supervisors: Dr L. Chikazhe and Dr J. Kanyepe  |  Development sponsor: GigaFood Africa</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50"/>
        <w:gridCol w:w="2650"/>
        <w:gridCol w:w="2650"/>
        <w:gridCol w:w="2650"/>
      </w:tblGrid>
      <w:tr>
        <w:tc>
          <w:tcPr>
            <w:tcW w:type="dxa" w:w="2650"/>
            <w:shd w:fill="063D2B" w:val="clear"/>
            <w:tcMar>
              <w:top w:type="dxa" w:w="140"/>
              <w:left w:type="dxa" w:w="80"/>
              <w:bottom w:type="dxa" w:w="140"/>
              <w:right w:type="dxa" w:w="80"/>
            </w:tcMar>
            <w:vAlign w:val="center"/>
          </w:tcPr>
          <w:p>
            <w:pPr>
              <w:spacing w:after="30"/>
              <w:jc w:val="center"/>
            </w:pPr>
            <w:r>
              <w:rPr>
                <w:b/>
                <w:bCs/>
                <w:color w:val="D5A72E"/>
                <w:sz w:val="28"/>
                <w:szCs w:val="28"/>
              </w:rPr>
              <w:t xml:space="preserve">9 / 9</w:t>
            </w:r>
          </w:p>
          <w:p>
            <w:pPr>
              <w:jc w:val="center"/>
            </w:pPr>
            <w:r>
              <w:rPr>
                <w:color w:val="FFFFFF"/>
                <w:sz w:val="15"/>
                <w:szCs w:val="15"/>
              </w:rPr>
              <w:t xml:space="preserve">Review gaps closed</w:t>
            </w:r>
          </w:p>
        </w:tc>
        <w:tc>
          <w:tcPr>
            <w:tcW w:type="dxa" w:w="2650"/>
            <w:shd w:fill="063D2B" w:val="clear"/>
            <w:tcMar>
              <w:top w:type="dxa" w:w="140"/>
              <w:left w:type="dxa" w:w="80"/>
              <w:bottom w:type="dxa" w:w="140"/>
              <w:right w:type="dxa" w:w="80"/>
            </w:tcMar>
            <w:vAlign w:val="center"/>
          </w:tcPr>
          <w:p>
            <w:pPr>
              <w:spacing w:after="30"/>
              <w:jc w:val="center"/>
            </w:pPr>
            <w:r>
              <w:rPr>
                <w:b/>
                <w:bCs/>
                <w:color w:val="D5A72E"/>
                <w:sz w:val="28"/>
                <w:szCs w:val="28"/>
              </w:rPr>
              <w:t xml:space="preserve">2</w:t>
            </w:r>
          </w:p>
          <w:p>
            <w:pPr>
              <w:jc w:val="center"/>
            </w:pPr>
            <w:r>
              <w:rPr>
                <w:color w:val="FFFFFF"/>
                <w:sz w:val="15"/>
                <w:szCs w:val="15"/>
              </w:rPr>
              <w:t xml:space="preserve">New stack decision</w:t>
            </w:r>
          </w:p>
        </w:tc>
        <w:tc>
          <w:tcPr>
            <w:tcW w:type="dxa" w:w="2650"/>
            <w:shd w:fill="063D2B" w:val="clear"/>
            <w:tcMar>
              <w:top w:type="dxa" w:w="140"/>
              <w:left w:type="dxa" w:w="80"/>
              <w:bottom w:type="dxa" w:w="140"/>
              <w:right w:type="dxa" w:w="80"/>
            </w:tcMar>
            <w:vAlign w:val="center"/>
          </w:tcPr>
          <w:p>
            <w:pPr>
              <w:spacing w:after="30"/>
              <w:jc w:val="center"/>
            </w:pPr>
            <w:r>
              <w:rPr>
                <w:b/>
                <w:bCs/>
                <w:color w:val="D5A72E"/>
                <w:sz w:val="28"/>
                <w:szCs w:val="28"/>
              </w:rPr>
              <w:t xml:space="preserve">1</w:t>
            </w:r>
          </w:p>
          <w:p>
            <w:pPr>
              <w:jc w:val="center"/>
            </w:pPr>
            <w:r>
              <w:rPr>
                <w:color w:val="FFFFFF"/>
                <w:sz w:val="15"/>
                <w:szCs w:val="15"/>
              </w:rPr>
              <w:t xml:space="preserve">Subdomain, not merged</w:t>
            </w:r>
          </w:p>
        </w:tc>
        <w:tc>
          <w:tcPr>
            <w:tcW w:type="dxa" w:w="2650"/>
            <w:shd w:fill="063D2B" w:val="clear"/>
            <w:tcMar>
              <w:top w:type="dxa" w:w="140"/>
              <w:left w:type="dxa" w:w="80"/>
              <w:bottom w:type="dxa" w:w="140"/>
              <w:right w:type="dxa" w:w="80"/>
            </w:tcMar>
            <w:vAlign w:val="center"/>
          </w:tcPr>
          <w:p>
            <w:pPr>
              <w:spacing w:after="30"/>
              <w:jc w:val="center"/>
            </w:pPr>
            <w:r>
              <w:rPr>
                <w:b/>
                <w:bCs/>
                <w:color w:val="D5A72E"/>
                <w:sz w:val="28"/>
                <w:szCs w:val="28"/>
              </w:rPr>
              <w:t xml:space="preserve">81 days</w:t>
            </w:r>
          </w:p>
          <w:p>
            <w:pPr>
              <w:jc w:val="center"/>
            </w:pPr>
            <w:r>
              <w:rPr>
                <w:color w:val="FFFFFF"/>
                <w:sz w:val="15"/>
                <w:szCs w:val="15"/>
              </w:rPr>
              <w:t xml:space="preserve">To 30 Nov data lock</w:t>
            </w:r>
          </w:p>
        </w:tc>
      </w:tr>
    </w:tbl>
    <w:p>
      <w:pPr>
        <w:spacing w:after="140"/>
      </w:pP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332"/>
        <w:gridCol w:w="8268"/>
      </w:tblGrid>
      <w:tr>
        <w:trPr>
          <w:tblHeader/>
        </w:trPr>
        <w:tc>
          <w:tcPr>
            <w:tcW w:type="dxa" w:w="2332"/>
            <w:shd w:fill="063D2B" w:val="clear"/>
            <w:tcMar>
              <w:top w:type="dxa" w:w="40"/>
              <w:left w:type="dxa" w:w="90"/>
              <w:bottom w:type="dxa" w:w="40"/>
              <w:right w:type="dxa" w:w="90"/>
            </w:tcMar>
            <w:vAlign w:val="center"/>
          </w:tcPr>
          <w:p>
            <w:r>
              <w:rPr>
                <w:b/>
                <w:bCs/>
                <w:color w:val="FFFFFF"/>
                <w:sz w:val="15"/>
                <w:szCs w:val="15"/>
              </w:rPr>
              <w:t xml:space="preserve"/>
            </w:r>
          </w:p>
        </w:tc>
        <w:tc>
          <w:tcPr>
            <w:tcW w:type="dxa" w:w="8268"/>
            <w:shd w:fill="063D2B" w:val="clear"/>
            <w:tcMar>
              <w:top w:type="dxa" w:w="40"/>
              <w:left w:type="dxa" w:w="90"/>
              <w:bottom w:type="dxa" w:w="40"/>
              <w:right w:type="dxa" w:w="90"/>
            </w:tcMar>
            <w:vAlign w:val="center"/>
          </w:tcPr>
          <w:p>
            <w:r>
              <w:rPr>
                <w:b/>
                <w:bCs/>
                <w:color w:val="FFFFFF"/>
                <w:sz w:val="15"/>
                <w:szCs w:val="15"/>
              </w:rPr>
              <w:t xml:space="preserve"/>
            </w:r>
          </w:p>
        </w:tc>
      </w:tr>
      <w:tr>
        <w:tc>
          <w:tcPr>
            <w:tcW w:type="dxa" w:w="2332"/>
            <w:shd w:fill="FFFFFF" w:val="clear"/>
            <w:tcMar>
              <w:top w:type="dxa" w:w="40"/>
              <w:left w:type="dxa" w:w="90"/>
              <w:bottom w:type="dxa" w:w="40"/>
              <w:right w:type="dxa" w:w="90"/>
            </w:tcMar>
            <w:vAlign w:val="center"/>
          </w:tcPr>
          <w:p>
            <w:r>
              <w:rPr>
                <w:sz w:val="15"/>
                <w:szCs w:val="15"/>
              </w:rPr>
              <w:t xml:space="preserve">Prepared for</w:t>
            </w:r>
          </w:p>
        </w:tc>
        <w:tc>
          <w:tcPr>
            <w:tcW w:type="dxa" w:w="8268"/>
            <w:shd w:fill="FFFFFF" w:val="clear"/>
            <w:tcMar>
              <w:top w:type="dxa" w:w="40"/>
              <w:left w:type="dxa" w:w="90"/>
              <w:bottom w:type="dxa" w:w="40"/>
              <w:right w:type="dxa" w:w="90"/>
            </w:tcMar>
            <w:vAlign w:val="center"/>
          </w:tcPr>
          <w:p>
            <w:r>
              <w:rPr>
                <w:sz w:val="15"/>
                <w:szCs w:val="15"/>
              </w:rPr>
              <w:t xml:space="preserve">Happyson Saina, Principal Researcher — Chinhoyi University of Technology</w:t>
            </w:r>
          </w:p>
        </w:tc>
      </w:tr>
      <w:tr>
        <w:tc>
          <w:tcPr>
            <w:tcW w:type="dxa" w:w="2332"/>
            <w:shd w:fill="EAF3EE" w:val="clear"/>
            <w:tcMar>
              <w:top w:type="dxa" w:w="40"/>
              <w:left w:type="dxa" w:w="90"/>
              <w:bottom w:type="dxa" w:w="40"/>
              <w:right w:type="dxa" w:w="90"/>
            </w:tcMar>
            <w:vAlign w:val="center"/>
          </w:tcPr>
          <w:p>
            <w:r>
              <w:rPr>
                <w:sz w:val="15"/>
                <w:szCs w:val="15"/>
              </w:rPr>
              <w:t xml:space="preserve">Prepared by</w:t>
            </w:r>
          </w:p>
        </w:tc>
        <w:tc>
          <w:tcPr>
            <w:tcW w:type="dxa" w:w="8268"/>
            <w:shd w:fill="EAF3EE" w:val="clear"/>
            <w:tcMar>
              <w:top w:type="dxa" w:w="40"/>
              <w:left w:type="dxa" w:w="90"/>
              <w:bottom w:type="dxa" w:w="40"/>
              <w:right w:type="dxa" w:w="90"/>
            </w:tcMar>
            <w:vAlign w:val="center"/>
          </w:tcPr>
          <w:p>
            <w:r>
              <w:rPr>
                <w:sz w:val="15"/>
                <w:szCs w:val="15"/>
              </w:rPr>
              <w:t xml:space="preserve">GigaFood Africa — Quality Control, on the Principal Researcher's instruction</w:t>
            </w:r>
          </w:p>
        </w:tc>
      </w:tr>
      <w:tr>
        <w:tc>
          <w:tcPr>
            <w:tcW w:type="dxa" w:w="2332"/>
            <w:shd w:fill="FFFFFF" w:val="clear"/>
            <w:tcMar>
              <w:top w:type="dxa" w:w="40"/>
              <w:left w:type="dxa" w:w="90"/>
              <w:bottom w:type="dxa" w:w="40"/>
              <w:right w:type="dxa" w:w="90"/>
            </w:tcMar>
            <w:vAlign w:val="center"/>
          </w:tcPr>
          <w:p>
            <w:r>
              <w:rPr>
                <w:sz w:val="15"/>
                <w:szCs w:val="15"/>
              </w:rPr>
              <w:t xml:space="preserve">Supersedes</w:t>
            </w:r>
          </w:p>
        </w:tc>
        <w:tc>
          <w:tcPr>
            <w:tcW w:type="dxa" w:w="8268"/>
            <w:shd w:fill="FFFFFF" w:val="clear"/>
            <w:tcMar>
              <w:top w:type="dxa" w:w="40"/>
              <w:left w:type="dxa" w:w="90"/>
              <w:bottom w:type="dxa" w:w="40"/>
              <w:right w:type="dxa" w:w="90"/>
            </w:tcMar>
            <w:vAlign w:val="center"/>
          </w:tcPr>
          <w:p>
            <w:r>
              <w:rPr>
                <w:sz w:val="15"/>
                <w:szCs w:val="15"/>
              </w:rPr>
              <w:t xml:space="preserve">ABF-FST Digital Respondent Portal — Architecture and Implementation Blueprint, v1.0, 9 September 2026</w:t>
            </w:r>
          </w:p>
        </w:tc>
      </w:tr>
      <w:tr>
        <w:tc>
          <w:tcPr>
            <w:tcW w:type="dxa" w:w="2332"/>
            <w:shd w:fill="EAF3EE" w:val="clear"/>
            <w:tcMar>
              <w:top w:type="dxa" w:w="40"/>
              <w:left w:type="dxa" w:w="90"/>
              <w:bottom w:type="dxa" w:w="40"/>
              <w:right w:type="dxa" w:w="90"/>
            </w:tcMar>
            <w:vAlign w:val="center"/>
          </w:tcPr>
          <w:p>
            <w:r>
              <w:rPr>
                <w:sz w:val="15"/>
                <w:szCs w:val="15"/>
              </w:rPr>
              <w:t xml:space="preserve">What changed</w:t>
            </w:r>
          </w:p>
        </w:tc>
        <w:tc>
          <w:tcPr>
            <w:tcW w:type="dxa" w:w="8268"/>
            <w:shd w:fill="EAF3EE" w:val="clear"/>
            <w:tcMar>
              <w:top w:type="dxa" w:w="40"/>
              <w:left w:type="dxa" w:w="90"/>
              <w:bottom w:type="dxa" w:w="40"/>
              <w:right w:type="dxa" w:w="90"/>
            </w:tcMar>
            <w:vAlign w:val="center"/>
          </w:tcPr>
          <w:p>
            <w:r>
              <w:rPr>
                <w:sz w:val="15"/>
                <w:szCs w:val="15"/>
              </w:rPr>
              <w:t xml:space="preserve">All nine gaps identified in the September 2026 QC review are closed inline (see the table below); the technology stack is now explicitly Next.js/TypeScript + Django/PostgreSQL, matching the sibling ABI project so the two can share infrastructure; a new section formalises how this portal is embedded with ABI (shared hosting, separate codebase, separate subdomain, no cross-links).</w:t>
            </w:r>
          </w:p>
        </w:tc>
      </w:tr>
      <w:tr>
        <w:tc>
          <w:tcPr>
            <w:tcW w:type="dxa" w:w="2332"/>
            <w:shd w:fill="FFFFFF" w:val="clear"/>
            <w:tcMar>
              <w:top w:type="dxa" w:w="40"/>
              <w:left w:type="dxa" w:w="90"/>
              <w:bottom w:type="dxa" w:w="40"/>
              <w:right w:type="dxa" w:w="90"/>
            </w:tcMar>
            <w:vAlign w:val="center"/>
          </w:tcPr>
          <w:p>
            <w:r>
              <w:rPr>
                <w:sz w:val="15"/>
                <w:szCs w:val="15"/>
              </w:rPr>
              <w:t xml:space="preserve">Status</w:t>
            </w:r>
          </w:p>
        </w:tc>
        <w:tc>
          <w:tcPr>
            <w:tcW w:type="dxa" w:w="8268"/>
            <w:shd w:fill="FFFFFF" w:val="clear"/>
            <w:tcMar>
              <w:top w:type="dxa" w:w="40"/>
              <w:left w:type="dxa" w:w="90"/>
              <w:bottom w:type="dxa" w:w="40"/>
              <w:right w:type="dxa" w:w="90"/>
            </w:tcMar>
            <w:vAlign w:val="center"/>
          </w:tcPr>
          <w:p>
            <w:r>
              <w:rPr>
                <w:sz w:val="15"/>
                <w:szCs w:val="15"/>
              </w:rPr>
              <w:t xml:space="preserve">Planning document for Principal Researcher approval. No code has been written. A parallel numbered documentation set (docs/00–28, plus AGENTS.md and README.md), mirroring the conventions of the existing ABI project's own documentation, has been produced alongside this blueprint and is the detailed technical reference an implementing developer will work from once approved.</w:t>
            </w:r>
          </w:p>
        </w:tc>
      </w:tr>
    </w:tbl>
    <w:p>
      <w:r>
        <w:br w:type="page"/>
      </w:r>
    </w:p>
    <w:p>
      <w:pPr>
        <w:pBdr>
          <w:bottom w:val="single" w:color="063D2B" w:sz="6" w:space="3"/>
        </w:pBdr>
        <w:spacing w:after="100" w:before="260"/>
      </w:pPr>
      <w:r>
        <w:rPr>
          <w:b/>
          <w:bCs/>
          <w:color w:val="063D2B"/>
          <w:sz w:val="25"/>
          <w:szCs w:val="25"/>
        </w:rPr>
        <w:t xml:space="preserve">Gap Closure Summary</w:t>
      </w:r>
    </w:p>
    <w:p>
      <w:pPr>
        <w:spacing w:after="110"/>
        <w:jc w:val="both"/>
      </w:pPr>
      <w:r>
        <w:rPr>
          <w:sz w:val="19"/>
          <w:szCs w:val="19"/>
        </w:rPr>
        <w:t xml:space="preserve">Every gap identified in the GigaFood Africa QC review of v1.0 (ABFFST_Digital_Portal_Review_and_Development_Plan.docx, September 2026) is closed in this revision. This table is a traceability index — each row points to the section that closes it.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848"/>
        <w:gridCol w:w="5512"/>
        <w:gridCol w:w="1696"/>
        <w:gridCol w:w="2544"/>
      </w:tblGrid>
      <w:tr>
        <w:trPr>
          <w:tblHeader/>
        </w:trPr>
        <w:tc>
          <w:tcPr>
            <w:tcW w:type="dxa" w:w="848"/>
            <w:shd w:fill="063D2B" w:val="clear"/>
            <w:tcMar>
              <w:top w:type="dxa" w:w="45"/>
              <w:left w:type="dxa" w:w="90"/>
              <w:bottom w:type="dxa" w:w="45"/>
              <w:right w:type="dxa" w:w="90"/>
            </w:tcMar>
            <w:vAlign w:val="center"/>
          </w:tcPr>
          <w:p>
            <w:r>
              <w:rPr>
                <w:b/>
                <w:bCs/>
                <w:color w:val="FFFFFF"/>
                <w:sz w:val="15"/>
                <w:szCs w:val="15"/>
              </w:rPr>
              <w:t xml:space="preserve">#</w:t>
            </w:r>
          </w:p>
        </w:tc>
        <w:tc>
          <w:tcPr>
            <w:tcW w:type="dxa" w:w="5512"/>
            <w:shd w:fill="063D2B" w:val="clear"/>
            <w:tcMar>
              <w:top w:type="dxa" w:w="45"/>
              <w:left w:type="dxa" w:w="90"/>
              <w:bottom w:type="dxa" w:w="45"/>
              <w:right w:type="dxa" w:w="90"/>
            </w:tcMar>
            <w:vAlign w:val="center"/>
          </w:tcPr>
          <w:p>
            <w:r>
              <w:rPr>
                <w:b/>
                <w:bCs/>
                <w:color w:val="FFFFFF"/>
                <w:sz w:val="15"/>
                <w:szCs w:val="15"/>
              </w:rPr>
              <w:t xml:space="preserve">Gap (v1.0)</w:t>
            </w:r>
          </w:p>
        </w:tc>
        <w:tc>
          <w:tcPr>
            <w:tcW w:type="dxa" w:w="1696"/>
            <w:shd w:fill="063D2B" w:val="clear"/>
            <w:tcMar>
              <w:top w:type="dxa" w:w="45"/>
              <w:left w:type="dxa" w:w="90"/>
              <w:bottom w:type="dxa" w:w="45"/>
              <w:right w:type="dxa" w:w="90"/>
            </w:tcMar>
            <w:vAlign w:val="center"/>
          </w:tcPr>
          <w:p>
            <w:r>
              <w:rPr>
                <w:b/>
                <w:bCs/>
                <w:color w:val="FFFFFF"/>
                <w:sz w:val="15"/>
                <w:szCs w:val="15"/>
              </w:rPr>
              <w:t xml:space="preserve">Priority</w:t>
            </w:r>
          </w:p>
        </w:tc>
        <w:tc>
          <w:tcPr>
            <w:tcW w:type="dxa" w:w="2544"/>
            <w:shd w:fill="063D2B" w:val="clear"/>
            <w:tcMar>
              <w:top w:type="dxa" w:w="45"/>
              <w:left w:type="dxa" w:w="90"/>
              <w:bottom w:type="dxa" w:w="45"/>
              <w:right w:type="dxa" w:w="90"/>
            </w:tcMar>
            <w:vAlign w:val="center"/>
          </w:tcPr>
          <w:p>
            <w:r>
              <w:rPr>
                <w:b/>
                <w:bCs/>
                <w:color w:val="FFFFFF"/>
                <w:sz w:val="15"/>
                <w:szCs w:val="15"/>
              </w:rPr>
              <w:t xml:space="preserve">Closed in</w:t>
            </w:r>
          </w:p>
        </w:tc>
      </w:tr>
      <w:tr>
        <w:tc>
          <w:tcPr>
            <w:tcW w:type="dxa" w:w="848"/>
            <w:shd w:fill="FFFFFF" w:val="clear"/>
            <w:tcMar>
              <w:top w:type="dxa" w:w="45"/>
              <w:left w:type="dxa" w:w="90"/>
              <w:bottom w:type="dxa" w:w="45"/>
              <w:right w:type="dxa" w:w="90"/>
            </w:tcMar>
            <w:vAlign w:val="center"/>
          </w:tcPr>
          <w:p>
            <w:r>
              <w:rPr>
                <w:sz w:val="15"/>
                <w:szCs w:val="15"/>
              </w:rPr>
              <w:t xml:space="preserve">1</w:t>
            </w:r>
          </w:p>
        </w:tc>
        <w:tc>
          <w:tcPr>
            <w:tcW w:type="dxa" w:w="5512"/>
            <w:shd w:fill="FFFFFF" w:val="clear"/>
            <w:tcMar>
              <w:top w:type="dxa" w:w="45"/>
              <w:left w:type="dxa" w:w="90"/>
              <w:bottom w:type="dxa" w:w="45"/>
              <w:right w:type="dxa" w:w="90"/>
            </w:tcMar>
            <w:vAlign w:val="center"/>
          </w:tcPr>
          <w:p>
            <w:r>
              <w:rPr>
                <w:sz w:val="15"/>
                <w:szCs w:val="15"/>
              </w:rPr>
              <w:t xml:space="preserve">Zimbabwe POTRAZ / Cyber and Data Protection Act licensing</w:t>
            </w:r>
          </w:p>
        </w:tc>
        <w:tc>
          <w:tcPr>
            <w:tcW w:type="dxa" w:w="1696"/>
            <w:shd w:fill="FFFFFF" w:val="clear"/>
            <w:tcMar>
              <w:top w:type="dxa" w:w="45"/>
              <w:left w:type="dxa" w:w="90"/>
              <w:bottom w:type="dxa" w:w="45"/>
              <w:right w:type="dxa" w:w="90"/>
            </w:tcMar>
            <w:vAlign w:val="center"/>
          </w:tcPr>
          <w:p>
            <w:r>
              <w:rPr>
                <w:sz w:val="15"/>
                <w:szCs w:val="15"/>
              </w:rPr>
              <w:t xml:space="preserve">Critical</w:t>
            </w:r>
          </w:p>
        </w:tc>
        <w:tc>
          <w:tcPr>
            <w:tcW w:type="dxa" w:w="2544"/>
            <w:shd w:fill="FFFFFF" w:val="clear"/>
            <w:tcMar>
              <w:top w:type="dxa" w:w="45"/>
              <w:left w:type="dxa" w:w="90"/>
              <w:bottom w:type="dxa" w:w="45"/>
              <w:right w:type="dxa" w:w="90"/>
            </w:tcMar>
            <w:vAlign w:val="center"/>
          </w:tcPr>
          <w:p>
            <w:r>
              <w:rPr>
                <w:sz w:val="15"/>
                <w:szCs w:val="15"/>
              </w:rPr>
              <w:t xml:space="preserve">§15.1 (new)</w:t>
            </w:r>
          </w:p>
        </w:tc>
      </w:tr>
      <w:tr>
        <w:tc>
          <w:tcPr>
            <w:tcW w:type="dxa" w:w="848"/>
            <w:shd w:fill="EAF3EE" w:val="clear"/>
            <w:tcMar>
              <w:top w:type="dxa" w:w="45"/>
              <w:left w:type="dxa" w:w="90"/>
              <w:bottom w:type="dxa" w:w="45"/>
              <w:right w:type="dxa" w:w="90"/>
            </w:tcMar>
            <w:vAlign w:val="center"/>
          </w:tcPr>
          <w:p>
            <w:r>
              <w:rPr>
                <w:sz w:val="15"/>
                <w:szCs w:val="15"/>
              </w:rPr>
              <w:t xml:space="preserve">2</w:t>
            </w:r>
          </w:p>
        </w:tc>
        <w:tc>
          <w:tcPr>
            <w:tcW w:type="dxa" w:w="5512"/>
            <w:shd w:fill="EAF3EE" w:val="clear"/>
            <w:tcMar>
              <w:top w:type="dxa" w:w="45"/>
              <w:left w:type="dxa" w:w="90"/>
              <w:bottom w:type="dxa" w:w="45"/>
              <w:right w:type="dxa" w:w="90"/>
            </w:tcMar>
            <w:vAlign w:val="center"/>
          </w:tcPr>
          <w:p>
            <w:r>
              <w:rPr>
                <w:sz w:val="15"/>
                <w:szCs w:val="15"/>
              </w:rPr>
              <w:t xml:space="preserve">Master_ID / Sample_ID format never specified</w:t>
            </w:r>
          </w:p>
        </w:tc>
        <w:tc>
          <w:tcPr>
            <w:tcW w:type="dxa" w:w="1696"/>
            <w:shd w:fill="EAF3EE" w:val="clear"/>
            <w:tcMar>
              <w:top w:type="dxa" w:w="45"/>
              <w:left w:type="dxa" w:w="90"/>
              <w:bottom w:type="dxa" w:w="45"/>
              <w:right w:type="dxa" w:w="90"/>
            </w:tcMar>
            <w:vAlign w:val="center"/>
          </w:tcPr>
          <w:p>
            <w:r>
              <w:rPr>
                <w:sz w:val="15"/>
                <w:szCs w:val="15"/>
              </w:rPr>
              <w:t xml:space="preserve">High</w:t>
            </w:r>
          </w:p>
        </w:tc>
        <w:tc>
          <w:tcPr>
            <w:tcW w:type="dxa" w:w="2544"/>
            <w:shd w:fill="EAF3EE" w:val="clear"/>
            <w:tcMar>
              <w:top w:type="dxa" w:w="45"/>
              <w:left w:type="dxa" w:w="90"/>
              <w:bottom w:type="dxa" w:w="45"/>
              <w:right w:type="dxa" w:w="90"/>
            </w:tcMar>
            <w:vAlign w:val="center"/>
          </w:tcPr>
          <w:p>
            <w:r>
              <w:rPr>
                <w:sz w:val="15"/>
                <w:szCs w:val="15"/>
              </w:rPr>
              <w:t xml:space="preserve">§25 (new)</w:t>
            </w:r>
          </w:p>
        </w:tc>
      </w:tr>
      <w:tr>
        <w:tc>
          <w:tcPr>
            <w:tcW w:type="dxa" w:w="848"/>
            <w:shd w:fill="FFFFFF" w:val="clear"/>
            <w:tcMar>
              <w:top w:type="dxa" w:w="45"/>
              <w:left w:type="dxa" w:w="90"/>
              <w:bottom w:type="dxa" w:w="45"/>
              <w:right w:type="dxa" w:w="90"/>
            </w:tcMar>
            <w:vAlign w:val="center"/>
          </w:tcPr>
          <w:p>
            <w:r>
              <w:rPr>
                <w:sz w:val="15"/>
                <w:szCs w:val="15"/>
              </w:rPr>
              <w:t xml:space="preserve">3</w:t>
            </w:r>
          </w:p>
        </w:tc>
        <w:tc>
          <w:tcPr>
            <w:tcW w:type="dxa" w:w="5512"/>
            <w:shd w:fill="FFFFFF" w:val="clear"/>
            <w:tcMar>
              <w:top w:type="dxa" w:w="45"/>
              <w:left w:type="dxa" w:w="90"/>
              <w:bottom w:type="dxa" w:w="45"/>
              <w:right w:type="dxa" w:w="90"/>
            </w:tcMar>
            <w:vAlign w:val="center"/>
          </w:tcPr>
          <w:p>
            <w:r>
              <w:rPr>
                <w:sz w:val="15"/>
                <w:szCs w:val="15"/>
              </w:rPr>
              <w:t xml:space="preserve">Kobo webhook-edit limitation not stated as design rationale</w:t>
            </w:r>
          </w:p>
        </w:tc>
        <w:tc>
          <w:tcPr>
            <w:tcW w:type="dxa" w:w="1696"/>
            <w:shd w:fill="FFFFFF" w:val="clear"/>
            <w:tcMar>
              <w:top w:type="dxa" w:w="45"/>
              <w:left w:type="dxa" w:w="90"/>
              <w:bottom w:type="dxa" w:w="45"/>
              <w:right w:type="dxa" w:w="90"/>
            </w:tcMar>
            <w:vAlign w:val="center"/>
          </w:tcPr>
          <w:p>
            <w:r>
              <w:rPr>
                <w:sz w:val="15"/>
                <w:szCs w:val="15"/>
              </w:rPr>
              <w:t xml:space="preserve">High</w:t>
            </w:r>
          </w:p>
        </w:tc>
        <w:tc>
          <w:tcPr>
            <w:tcW w:type="dxa" w:w="2544"/>
            <w:shd w:fill="FFFFFF" w:val="clear"/>
            <w:tcMar>
              <w:top w:type="dxa" w:w="45"/>
              <w:left w:type="dxa" w:w="90"/>
              <w:bottom w:type="dxa" w:w="45"/>
              <w:right w:type="dxa" w:w="90"/>
            </w:tcMar>
            <w:vAlign w:val="center"/>
          </w:tcPr>
          <w:p>
            <w:r>
              <w:rPr>
                <w:sz w:val="15"/>
                <w:szCs w:val="15"/>
              </w:rPr>
              <w:t xml:space="preserve">§6.4 (new)</w:t>
            </w:r>
          </w:p>
        </w:tc>
      </w:tr>
      <w:tr>
        <w:tc>
          <w:tcPr>
            <w:tcW w:type="dxa" w:w="848"/>
            <w:shd w:fill="EAF3EE" w:val="clear"/>
            <w:tcMar>
              <w:top w:type="dxa" w:w="45"/>
              <w:left w:type="dxa" w:w="90"/>
              <w:bottom w:type="dxa" w:w="45"/>
              <w:right w:type="dxa" w:w="90"/>
            </w:tcMar>
            <w:vAlign w:val="center"/>
          </w:tcPr>
          <w:p>
            <w:r>
              <w:rPr>
                <w:sz w:val="15"/>
                <w:szCs w:val="15"/>
              </w:rPr>
              <w:t xml:space="preserve">4</w:t>
            </w:r>
          </w:p>
        </w:tc>
        <w:tc>
          <w:tcPr>
            <w:tcW w:type="dxa" w:w="5512"/>
            <w:shd w:fill="EAF3EE" w:val="clear"/>
            <w:tcMar>
              <w:top w:type="dxa" w:w="45"/>
              <w:left w:type="dxa" w:w="90"/>
              <w:bottom w:type="dxa" w:w="45"/>
              <w:right w:type="dxa" w:w="90"/>
            </w:tcMar>
            <w:vAlign w:val="center"/>
          </w:tcPr>
          <w:p>
            <w:r>
              <w:rPr>
                <w:sz w:val="15"/>
                <w:szCs w:val="15"/>
              </w:rPr>
              <w:t xml:space="preserve">Invitation token design left abstract</w:t>
            </w:r>
          </w:p>
        </w:tc>
        <w:tc>
          <w:tcPr>
            <w:tcW w:type="dxa" w:w="1696"/>
            <w:shd w:fill="EAF3EE" w:val="clear"/>
            <w:tcMar>
              <w:top w:type="dxa" w:w="45"/>
              <w:left w:type="dxa" w:w="90"/>
              <w:bottom w:type="dxa" w:w="45"/>
              <w:right w:type="dxa" w:w="90"/>
            </w:tcMar>
            <w:vAlign w:val="center"/>
          </w:tcPr>
          <w:p>
            <w:r>
              <w:rPr>
                <w:sz w:val="15"/>
                <w:szCs w:val="15"/>
              </w:rPr>
              <w:t xml:space="preserve">Medium</w:t>
            </w:r>
          </w:p>
        </w:tc>
        <w:tc>
          <w:tcPr>
            <w:tcW w:type="dxa" w:w="2544"/>
            <w:shd w:fill="EAF3EE" w:val="clear"/>
            <w:tcMar>
              <w:top w:type="dxa" w:w="45"/>
              <w:left w:type="dxa" w:w="90"/>
              <w:bottom w:type="dxa" w:w="45"/>
              <w:right w:type="dxa" w:w="90"/>
            </w:tcMar>
            <w:vAlign w:val="center"/>
          </w:tcPr>
          <w:p>
            <w:r>
              <w:rPr>
                <w:sz w:val="15"/>
                <w:szCs w:val="15"/>
              </w:rPr>
              <w:t xml:space="preserve">§26 (new)</w:t>
            </w:r>
          </w:p>
        </w:tc>
      </w:tr>
      <w:tr>
        <w:tc>
          <w:tcPr>
            <w:tcW w:type="dxa" w:w="848"/>
            <w:shd w:fill="FFFFFF" w:val="clear"/>
            <w:tcMar>
              <w:top w:type="dxa" w:w="45"/>
              <w:left w:type="dxa" w:w="90"/>
              <w:bottom w:type="dxa" w:w="45"/>
              <w:right w:type="dxa" w:w="90"/>
            </w:tcMar>
            <w:vAlign w:val="center"/>
          </w:tcPr>
          <w:p>
            <w:r>
              <w:rPr>
                <w:sz w:val="15"/>
                <w:szCs w:val="15"/>
              </w:rPr>
              <w:t xml:space="preserve">5</w:t>
            </w:r>
          </w:p>
        </w:tc>
        <w:tc>
          <w:tcPr>
            <w:tcW w:type="dxa" w:w="5512"/>
            <w:shd w:fill="FFFFFF" w:val="clear"/>
            <w:tcMar>
              <w:top w:type="dxa" w:w="45"/>
              <w:left w:type="dxa" w:w="90"/>
              <w:bottom w:type="dxa" w:w="45"/>
              <w:right w:type="dxa" w:w="90"/>
            </w:tcMar>
            <w:vAlign w:val="center"/>
          </w:tcPr>
          <w:p>
            <w:r>
              <w:rPr>
                <w:sz w:val="15"/>
                <w:szCs w:val="15"/>
              </w:rPr>
              <w:t xml:space="preserve">WhatsApp Business Platform account/template lead time</w:t>
            </w:r>
          </w:p>
        </w:tc>
        <w:tc>
          <w:tcPr>
            <w:tcW w:type="dxa" w:w="1696"/>
            <w:shd w:fill="FFFFFF" w:val="clear"/>
            <w:tcMar>
              <w:top w:type="dxa" w:w="45"/>
              <w:left w:type="dxa" w:w="90"/>
              <w:bottom w:type="dxa" w:w="45"/>
              <w:right w:type="dxa" w:w="90"/>
            </w:tcMar>
            <w:vAlign w:val="center"/>
          </w:tcPr>
          <w:p>
            <w:r>
              <w:rPr>
                <w:sz w:val="15"/>
                <w:szCs w:val="15"/>
              </w:rPr>
              <w:t xml:space="preserve">Medium</w:t>
            </w:r>
          </w:p>
        </w:tc>
        <w:tc>
          <w:tcPr>
            <w:tcW w:type="dxa" w:w="2544"/>
            <w:shd w:fill="FFFFFF" w:val="clear"/>
            <w:tcMar>
              <w:top w:type="dxa" w:w="45"/>
              <w:left w:type="dxa" w:w="90"/>
              <w:bottom w:type="dxa" w:w="45"/>
              <w:right w:type="dxa" w:w="90"/>
            </w:tcMar>
            <w:vAlign w:val="center"/>
          </w:tcPr>
          <w:p>
            <w:r>
              <w:rPr>
                <w:sz w:val="15"/>
                <w:szCs w:val="15"/>
              </w:rPr>
              <w:t xml:space="preserve">§9.3 (new)</w:t>
            </w:r>
          </w:p>
        </w:tc>
      </w:tr>
      <w:tr>
        <w:tc>
          <w:tcPr>
            <w:tcW w:type="dxa" w:w="848"/>
            <w:shd w:fill="EAF3EE" w:val="clear"/>
            <w:tcMar>
              <w:top w:type="dxa" w:w="45"/>
              <w:left w:type="dxa" w:w="90"/>
              <w:bottom w:type="dxa" w:w="45"/>
              <w:right w:type="dxa" w:w="90"/>
            </w:tcMar>
            <w:vAlign w:val="center"/>
          </w:tcPr>
          <w:p>
            <w:r>
              <w:rPr>
                <w:sz w:val="15"/>
                <w:szCs w:val="15"/>
              </w:rPr>
              <w:t xml:space="preserve">6</w:t>
            </w:r>
          </w:p>
        </w:tc>
        <w:tc>
          <w:tcPr>
            <w:tcW w:type="dxa" w:w="5512"/>
            <w:shd w:fill="EAF3EE" w:val="clear"/>
            <w:tcMar>
              <w:top w:type="dxa" w:w="45"/>
              <w:left w:type="dxa" w:w="90"/>
              <w:bottom w:type="dxa" w:w="45"/>
              <w:right w:type="dxa" w:w="90"/>
            </w:tcMar>
            <w:vAlign w:val="center"/>
          </w:tcPr>
          <w:p>
            <w:r>
              <w:rPr>
                <w:sz w:val="15"/>
                <w:szCs w:val="15"/>
              </w:rPr>
              <w:t xml:space="preserve">QA rule thresholds named but not numerically defined</w:t>
            </w:r>
          </w:p>
        </w:tc>
        <w:tc>
          <w:tcPr>
            <w:tcW w:type="dxa" w:w="1696"/>
            <w:shd w:fill="EAF3EE" w:val="clear"/>
            <w:tcMar>
              <w:top w:type="dxa" w:w="45"/>
              <w:left w:type="dxa" w:w="90"/>
              <w:bottom w:type="dxa" w:w="45"/>
              <w:right w:type="dxa" w:w="90"/>
            </w:tcMar>
            <w:vAlign w:val="center"/>
          </w:tcPr>
          <w:p>
            <w:r>
              <w:rPr>
                <w:sz w:val="15"/>
                <w:szCs w:val="15"/>
              </w:rPr>
              <w:t xml:space="preserve">Medium</w:t>
            </w:r>
          </w:p>
        </w:tc>
        <w:tc>
          <w:tcPr>
            <w:tcW w:type="dxa" w:w="2544"/>
            <w:shd w:fill="EAF3EE" w:val="clear"/>
            <w:tcMar>
              <w:top w:type="dxa" w:w="45"/>
              <w:left w:type="dxa" w:w="90"/>
              <w:bottom w:type="dxa" w:w="45"/>
              <w:right w:type="dxa" w:w="90"/>
            </w:tcMar>
            <w:vAlign w:val="center"/>
          </w:tcPr>
          <w:p>
            <w:r>
              <w:rPr>
                <w:sz w:val="15"/>
                <w:szCs w:val="15"/>
              </w:rPr>
              <w:t xml:space="preserve">§27 (new)</w:t>
            </w:r>
          </w:p>
        </w:tc>
      </w:tr>
      <w:tr>
        <w:tc>
          <w:tcPr>
            <w:tcW w:type="dxa" w:w="848"/>
            <w:shd w:fill="FFFFFF" w:val="clear"/>
            <w:tcMar>
              <w:top w:type="dxa" w:w="45"/>
              <w:left w:type="dxa" w:w="90"/>
              <w:bottom w:type="dxa" w:w="45"/>
              <w:right w:type="dxa" w:w="90"/>
            </w:tcMar>
            <w:vAlign w:val="center"/>
          </w:tcPr>
          <w:p>
            <w:r>
              <w:rPr>
                <w:sz w:val="15"/>
                <w:szCs w:val="15"/>
              </w:rPr>
              <w:t xml:space="preserve">7</w:t>
            </w:r>
          </w:p>
        </w:tc>
        <w:tc>
          <w:tcPr>
            <w:tcW w:type="dxa" w:w="5512"/>
            <w:shd w:fill="FFFFFF" w:val="clear"/>
            <w:tcMar>
              <w:top w:type="dxa" w:w="45"/>
              <w:left w:type="dxa" w:w="90"/>
              <w:bottom w:type="dxa" w:w="45"/>
              <w:right w:type="dxa" w:w="90"/>
            </w:tcMar>
            <w:vAlign w:val="center"/>
          </w:tcPr>
          <w:p>
            <w:r>
              <w:rPr>
                <w:sz w:val="15"/>
                <w:szCs w:val="15"/>
              </w:rPr>
              <w:t xml:space="preserve">Language of respondent-facing screens not decided</w:t>
            </w:r>
          </w:p>
        </w:tc>
        <w:tc>
          <w:tcPr>
            <w:tcW w:type="dxa" w:w="1696"/>
            <w:shd w:fill="FFFFFF" w:val="clear"/>
            <w:tcMar>
              <w:top w:type="dxa" w:w="45"/>
              <w:left w:type="dxa" w:w="90"/>
              <w:bottom w:type="dxa" w:w="45"/>
              <w:right w:type="dxa" w:w="90"/>
            </w:tcMar>
            <w:vAlign w:val="center"/>
          </w:tcPr>
          <w:p>
            <w:r>
              <w:rPr>
                <w:sz w:val="15"/>
                <w:szCs w:val="15"/>
              </w:rPr>
              <w:t xml:space="preserve">Medium</w:t>
            </w:r>
          </w:p>
        </w:tc>
        <w:tc>
          <w:tcPr>
            <w:tcW w:type="dxa" w:w="2544"/>
            <w:shd w:fill="FFFFFF" w:val="clear"/>
            <w:tcMar>
              <w:top w:type="dxa" w:w="45"/>
              <w:left w:type="dxa" w:w="90"/>
              <w:bottom w:type="dxa" w:w="45"/>
              <w:right w:type="dxa" w:w="90"/>
            </w:tcMar>
            <w:vAlign w:val="center"/>
          </w:tcPr>
          <w:p>
            <w:r>
              <w:rPr>
                <w:sz w:val="15"/>
                <w:szCs w:val="15"/>
              </w:rPr>
              <w:t xml:space="preserve">§28 (new)</w:t>
            </w:r>
          </w:p>
        </w:tc>
      </w:tr>
      <w:tr>
        <w:tc>
          <w:tcPr>
            <w:tcW w:type="dxa" w:w="848"/>
            <w:shd w:fill="EAF3EE" w:val="clear"/>
            <w:tcMar>
              <w:top w:type="dxa" w:w="45"/>
              <w:left w:type="dxa" w:w="90"/>
              <w:bottom w:type="dxa" w:w="45"/>
              <w:right w:type="dxa" w:w="90"/>
            </w:tcMar>
            <w:vAlign w:val="center"/>
          </w:tcPr>
          <w:p>
            <w:r>
              <w:rPr>
                <w:sz w:val="15"/>
                <w:szCs w:val="15"/>
              </w:rPr>
              <w:t xml:space="preserve">8</w:t>
            </w:r>
          </w:p>
        </w:tc>
        <w:tc>
          <w:tcPr>
            <w:tcW w:type="dxa" w:w="5512"/>
            <w:shd w:fill="EAF3EE" w:val="clear"/>
            <w:tcMar>
              <w:top w:type="dxa" w:w="45"/>
              <w:left w:type="dxa" w:w="90"/>
              <w:bottom w:type="dxa" w:w="45"/>
              <w:right w:type="dxa" w:w="90"/>
            </w:tcMar>
            <w:vAlign w:val="center"/>
          </w:tcPr>
          <w:p>
            <w:r>
              <w:rPr>
                <w:sz w:val="15"/>
                <w:szCs w:val="15"/>
              </w:rPr>
              <w:t xml:space="preserve">No dev/staging/prod or CI strategy named</w:t>
            </w:r>
          </w:p>
        </w:tc>
        <w:tc>
          <w:tcPr>
            <w:tcW w:type="dxa" w:w="1696"/>
            <w:shd w:fill="EAF3EE" w:val="clear"/>
            <w:tcMar>
              <w:top w:type="dxa" w:w="45"/>
              <w:left w:type="dxa" w:w="90"/>
              <w:bottom w:type="dxa" w:w="45"/>
              <w:right w:type="dxa" w:w="90"/>
            </w:tcMar>
            <w:vAlign w:val="center"/>
          </w:tcPr>
          <w:p>
            <w:r>
              <w:rPr>
                <w:sz w:val="15"/>
                <w:szCs w:val="15"/>
              </w:rPr>
              <w:t xml:space="preserve">Medium</w:t>
            </w:r>
          </w:p>
        </w:tc>
        <w:tc>
          <w:tcPr>
            <w:tcW w:type="dxa" w:w="2544"/>
            <w:shd w:fill="EAF3EE" w:val="clear"/>
            <w:tcMar>
              <w:top w:type="dxa" w:w="45"/>
              <w:left w:type="dxa" w:w="90"/>
              <w:bottom w:type="dxa" w:w="45"/>
              <w:right w:type="dxa" w:w="90"/>
            </w:tcMar>
            <w:vAlign w:val="center"/>
          </w:tcPr>
          <w:p>
            <w:r>
              <w:rPr>
                <w:sz w:val="15"/>
                <w:szCs w:val="15"/>
              </w:rPr>
              <w:t xml:space="preserve">§29 (new)</w:t>
            </w:r>
          </w:p>
        </w:tc>
      </w:tr>
      <w:tr>
        <w:tc>
          <w:tcPr>
            <w:tcW w:type="dxa" w:w="848"/>
            <w:shd w:fill="FFFFFF" w:val="clear"/>
            <w:tcMar>
              <w:top w:type="dxa" w:w="45"/>
              <w:left w:type="dxa" w:w="90"/>
              <w:bottom w:type="dxa" w:w="45"/>
              <w:right w:type="dxa" w:w="90"/>
            </w:tcMar>
            <w:vAlign w:val="center"/>
          </w:tcPr>
          <w:p>
            <w:r>
              <w:rPr>
                <w:sz w:val="15"/>
                <w:szCs w:val="15"/>
              </w:rPr>
              <w:t xml:space="preserve">9</w:t>
            </w:r>
          </w:p>
        </w:tc>
        <w:tc>
          <w:tcPr>
            <w:tcW w:type="dxa" w:w="5512"/>
            <w:shd w:fill="FFFFFF" w:val="clear"/>
            <w:tcMar>
              <w:top w:type="dxa" w:w="45"/>
              <w:left w:type="dxa" w:w="90"/>
              <w:bottom w:type="dxa" w:w="45"/>
              <w:right w:type="dxa" w:w="90"/>
            </w:tcMar>
            <w:vAlign w:val="center"/>
          </w:tcPr>
          <w:p>
            <w:r>
              <w:rPr>
                <w:sz w:val="15"/>
                <w:szCs w:val="15"/>
              </w:rPr>
              <w:t xml:space="preserve">No backup RPO/RTO targets defined</w:t>
            </w:r>
          </w:p>
        </w:tc>
        <w:tc>
          <w:tcPr>
            <w:tcW w:type="dxa" w:w="1696"/>
            <w:shd w:fill="FFFFFF" w:val="clear"/>
            <w:tcMar>
              <w:top w:type="dxa" w:w="45"/>
              <w:left w:type="dxa" w:w="90"/>
              <w:bottom w:type="dxa" w:w="45"/>
              <w:right w:type="dxa" w:w="90"/>
            </w:tcMar>
            <w:vAlign w:val="center"/>
          </w:tcPr>
          <w:p>
            <w:r>
              <w:rPr>
                <w:sz w:val="15"/>
                <w:szCs w:val="15"/>
              </w:rPr>
              <w:t xml:space="preserve">Low</w:t>
            </w:r>
          </w:p>
        </w:tc>
        <w:tc>
          <w:tcPr>
            <w:tcW w:type="dxa" w:w="2544"/>
            <w:shd w:fill="FFFFFF" w:val="clear"/>
            <w:tcMar>
              <w:top w:type="dxa" w:w="45"/>
              <w:left w:type="dxa" w:w="90"/>
              <w:bottom w:type="dxa" w:w="45"/>
              <w:right w:type="dxa" w:w="90"/>
            </w:tcMar>
            <w:vAlign w:val="center"/>
          </w:tcPr>
          <w:p>
            <w:r>
              <w:rPr>
                <w:sz w:val="15"/>
                <w:szCs w:val="15"/>
              </w:rPr>
              <w:t xml:space="preserve">§29 (new)</w:t>
            </w:r>
          </w:p>
        </w:tc>
      </w:tr>
    </w:tbl>
    <w:p>
      <w:pPr>
        <w:pBdr>
          <w:bottom w:val="single" w:color="063D2B" w:sz="6" w:space="3"/>
        </w:pBdr>
        <w:spacing w:after="100" w:before="260"/>
      </w:pPr>
      <w:r>
        <w:rPr>
          <w:b/>
          <w:bCs/>
          <w:color w:val="063D2B"/>
          <w:sz w:val="25"/>
          <w:szCs w:val="25"/>
        </w:rPr>
        <w:t xml:space="preserve">1. Executive Architecture Decision</w:t>
      </w:r>
    </w:p>
    <w:p>
      <w:pPr>
        <w:spacing w:after="110"/>
        <w:jc w:val="both"/>
      </w:pPr>
      <w:r>
        <w:rPr>
          <w:sz w:val="19"/>
          <w:szCs w:val="19"/>
        </w:rPr>
        <w:t xml:space="preserve">The ABF-FST Digital Respondent Portal is implemented as the respondent-facing module of a broader ABF-FST Digital Research &amp; Bankability Platform. It is not a public survey website and does not replace the approved sampling frame. Its purpose is to reduce the cost of national data collection while strengthening respondent authentication, consent, contact management, appointment scheduling, auditability, quality assurance and real-time fieldwork control.</w:t>
      </w:r>
    </w:p>
    <w:p>
      <w:pPr>
        <w:spacing w:after="110"/>
        <w:jc w:val="both"/>
      </w:pPr>
      <w:r>
        <w:rPr>
          <w:sz w:val="19"/>
          <w:szCs w:val="19"/>
        </w:rPr>
        <w:t xml:space="preserve">The architecture is a lightweight mobile-first web application layered over KoboToolbox. The portal controls invitation tokens, Sample_ID/Master_ID, eligibility, consent, respondent routing and operational status. KoboToolbox captures the structured quantitative questionnaire. The portal synchronises status and data for QA, KII operations, documentary evidence, budget monitoring and eventual data lock.</w:t>
      </w:r>
    </w:p>
    <w:p>
      <w:pPr>
        <w:pBdr>
          <w:left w:val="single" w:color="0B3B66" w:sz="16" w:space="6"/>
        </w:pBdr>
        <w:shd w:fill="E8F1FA" w:val="clear"/>
        <w:spacing w:after="100" w:before="40"/>
        <w:ind w:left="100"/>
      </w:pPr>
      <w:r>
        <w:rPr>
          <w:color w:val="0B2E4F"/>
          <w:sz w:val="17"/>
          <w:szCs w:val="17"/>
        </w:rPr>
        <w:t xml:space="preserve">v2.0 decision: implemented with a Next.js/TypeScript frontend and a Django/PostgreSQL backend — the same stack as the existing ABI research-demonstration application — so the two can share development patterns and, in production, hosting infrastructure. See §16 (Technology Stack) and §30 (Embedding with the ABI Project) for the full rationale and what is and is not shared between the two applications.</w:t>
      </w:r>
    </w:p>
    <w:p>
      <w:pPr>
        <w:spacing w:after="110"/>
        <w:jc w:val="both"/>
      </w:pPr>
      <w:r>
        <w:rPr>
          <w:sz w:val="19"/>
          <w:szCs w:val="19"/>
        </w:rPr>
        <w:t xml:space="preserve">Architecture rule (unchanged from v1.0): do not build a costly native mobile application during the 2026 data-collection window. Build a responsive web application that works well on low-cost smartphones and computers.</w:t>
      </w:r>
    </w:p>
    <w:p>
      <w:pPr>
        <w:pBdr>
          <w:bottom w:val="single" w:color="063D2B" w:sz="6" w:space="3"/>
        </w:pBdr>
        <w:spacing w:after="100" w:before="260"/>
      </w:pPr>
      <w:r>
        <w:rPr>
          <w:b/>
          <w:bCs/>
          <w:color w:val="063D2B"/>
          <w:sz w:val="25"/>
          <w:szCs w:val="25"/>
        </w:rPr>
        <w:t xml:space="preserve">2. Research and Methodological Requirements</w:t>
      </w:r>
    </w:p>
    <w:p>
      <w:pPr>
        <w:spacing w:after="110"/>
        <w:jc w:val="both"/>
      </w:pPr>
      <w:r>
        <w:rPr>
          <w:sz w:val="19"/>
          <w:szCs w:val="19"/>
        </w:rPr>
        <w:t xml:space="preserve">The portal implements the field digital-first protocol without changing the scientific design. The following requirements are non-negotiable:</w:t>
      </w:r>
    </w:p>
    <w:p>
      <w:pPr>
        <w:spacing w:after="50"/>
        <w:ind w:left="220" w:hanging="160"/>
      </w:pPr>
      <w:r>
        <w:rPr>
          <w:b/>
          <w:bCs/>
          <w:sz w:val="18"/>
          <w:szCs w:val="18"/>
        </w:rPr>
        <w:t xml:space="preserve">•  </w:t>
      </w:r>
      <w:r>
        <w:rPr>
          <w:sz w:val="18"/>
          <w:szCs w:val="18"/>
        </w:rPr>
        <w:t xml:space="preserve">Only selected Main-400 organisations may enter the inferential QUAN workflow; the portal must not become an open convenience survey.</w:t>
      </w:r>
    </w:p>
    <w:p>
      <w:pPr>
        <w:spacing w:after="50"/>
        <w:ind w:left="220" w:hanging="160"/>
      </w:pPr>
      <w:r>
        <w:rPr>
          <w:b/>
          <w:bCs/>
          <w:sz w:val="18"/>
          <w:szCs w:val="18"/>
        </w:rPr>
        <w:t xml:space="preserve">•  </w:t>
      </w:r>
      <w:r>
        <w:rPr>
          <w:sz w:val="18"/>
          <w:szCs w:val="18"/>
        </w:rPr>
        <w:t xml:space="preserve">Every selected organisation retains its Master_ID and Sample_ID throughout contact, consent, data capture, QA and analysis — see §25 for the frozen identifier specification.</w:t>
      </w:r>
    </w:p>
    <w:p>
      <w:pPr>
        <w:spacing w:after="50"/>
        <w:ind w:left="220" w:hanging="160"/>
      </w:pPr>
      <w:r>
        <w:rPr>
          <w:b/>
          <w:bCs/>
          <w:sz w:val="18"/>
          <w:szCs w:val="18"/>
        </w:rPr>
        <w:t xml:space="preserve">•  </w:t>
      </w:r>
      <w:r>
        <w:rPr>
          <w:sz w:val="18"/>
          <w:szCs w:val="18"/>
        </w:rPr>
        <w:t xml:space="preserve">One knowledgeable organisational respondent is used unless a clearly separable enterprise unit is intentionally sampled.</w:t>
      </w:r>
    </w:p>
    <w:p>
      <w:pPr>
        <w:spacing w:after="50"/>
        <w:ind w:left="220" w:hanging="160"/>
      </w:pPr>
      <w:r>
        <w:rPr>
          <w:b/>
          <w:bCs/>
          <w:sz w:val="18"/>
          <w:szCs w:val="18"/>
        </w:rPr>
        <w:t xml:space="preserve">•  </w:t>
      </w:r>
      <w:r>
        <w:rPr>
          <w:sz w:val="18"/>
          <w:szCs w:val="18"/>
        </w:rPr>
        <w:t xml:space="preserve">Respondent eligibility is confirmed before questionnaire administration.</w:t>
      </w:r>
    </w:p>
    <w:p>
      <w:pPr>
        <w:spacing w:after="50"/>
        <w:ind w:left="220" w:hanging="160"/>
      </w:pPr>
      <w:r>
        <w:rPr>
          <w:b/>
          <w:bCs/>
          <w:sz w:val="18"/>
          <w:szCs w:val="18"/>
        </w:rPr>
        <w:t xml:space="preserve">•  </w:t>
      </w:r>
      <w:r>
        <w:rPr>
          <w:sz w:val="18"/>
          <w:szCs w:val="18"/>
        </w:rPr>
        <w:t xml:space="preserve">Electronic consent is captured and versioned; KII recording consent is captured separately.</w:t>
      </w:r>
    </w:p>
    <w:p>
      <w:pPr>
        <w:spacing w:after="50"/>
        <w:ind w:left="220" w:hanging="160"/>
      </w:pPr>
      <w:r>
        <w:rPr>
          <w:b/>
          <w:bCs/>
          <w:sz w:val="18"/>
          <w:szCs w:val="18"/>
        </w:rPr>
        <w:t xml:space="preserve">•  </w:t>
      </w:r>
      <w:r>
        <w:rPr>
          <w:sz w:val="18"/>
          <w:szCs w:val="18"/>
        </w:rPr>
        <w:t xml:space="preserve">Administration mode is recorded for every response so that potential mode effects can be assessed.</w:t>
      </w:r>
    </w:p>
    <w:p>
      <w:pPr>
        <w:spacing w:after="50"/>
        <w:ind w:left="220" w:hanging="160"/>
      </w:pPr>
      <w:r>
        <w:rPr>
          <w:b/>
          <w:bCs/>
          <w:sz w:val="18"/>
          <w:szCs w:val="18"/>
        </w:rPr>
        <w:t xml:space="preserve">•  </w:t>
      </w:r>
      <w:r>
        <w:rPr>
          <w:sz w:val="18"/>
          <w:szCs w:val="18"/>
        </w:rPr>
        <w:t xml:space="preserve">Reserve-400 records remain system-locked until the corresponding Main case meets the approved replacement rule.</w:t>
      </w:r>
    </w:p>
    <w:p>
      <w:pPr>
        <w:spacing w:after="50"/>
        <w:ind w:left="220" w:hanging="160"/>
      </w:pPr>
      <w:r>
        <w:rPr>
          <w:b/>
          <w:bCs/>
          <w:sz w:val="18"/>
          <w:szCs w:val="18"/>
        </w:rPr>
        <w:t xml:space="preserve">•  </w:t>
      </w:r>
      <w:r>
        <w:rPr>
          <w:sz w:val="18"/>
          <w:szCs w:val="18"/>
        </w:rPr>
        <w:t xml:space="preserve">QUAN, KII and documentary evidence remain distinct evidence streams and are integrated analytically, not merged administratively.</w:t>
      </w:r>
    </w:p>
    <w:p>
      <w:pPr>
        <w:spacing w:after="50"/>
        <w:ind w:left="220" w:hanging="160"/>
      </w:pPr>
      <w:r>
        <w:rPr>
          <w:b/>
          <w:bCs/>
          <w:sz w:val="18"/>
          <w:szCs w:val="18"/>
        </w:rPr>
        <w:t xml:space="preserve">•  </w:t>
      </w:r>
      <w:r>
        <w:rPr>
          <w:sz w:val="18"/>
          <w:szCs w:val="18"/>
        </w:rPr>
        <w:t xml:space="preserve">Contact identifiers are separated from de-identified analytical data wherever feasible.</w:t>
      </w:r>
    </w:p>
    <w:p>
      <w:pPr>
        <w:spacing w:after="50"/>
        <w:ind w:left="220" w:hanging="160"/>
      </w:pPr>
      <w:r>
        <w:rPr>
          <w:b/>
          <w:bCs/>
          <w:sz w:val="18"/>
          <w:szCs w:val="18"/>
        </w:rPr>
        <w:t xml:space="preserve">•  </w:t>
      </w:r>
      <w:r>
        <w:rPr>
          <w:sz w:val="18"/>
          <w:szCs w:val="18"/>
        </w:rPr>
        <w:t xml:space="preserve">All actions affecting sampling, consent, response acceptance, reserve activation and data lock are auditable.</w:t>
      </w:r>
    </w:p>
    <w:p>
      <w:pPr>
        <w:pBdr>
          <w:bottom w:val="single" w:color="063D2B" w:sz="6" w:space="3"/>
        </w:pBdr>
        <w:spacing w:after="100" w:before="260"/>
      </w:pPr>
      <w:r>
        <w:rPr>
          <w:b/>
          <w:bCs/>
          <w:color w:val="063D2B"/>
          <w:sz w:val="25"/>
          <w:szCs w:val="25"/>
        </w:rPr>
        <w:t xml:space="preserve">3. Platform Conceptual Architecture</w:t>
      </w:r>
    </w:p>
    <w:p>
      <w:pPr>
        <w:spacing w:after="70" w:before="160"/>
      </w:pPr>
      <w:r>
        <w:rPr>
          <w:b/>
          <w:bCs/>
          <w:color w:val="042A1E"/>
          <w:sz w:val="20"/>
          <w:szCs w:val="20"/>
        </w:rPr>
        <w:t xml:space="preserve">3.1 User-facing layers</w:t>
      </w:r>
    </w:p>
    <w:p>
      <w:pPr>
        <w:spacing w:after="110"/>
        <w:jc w:val="both"/>
      </w:pPr>
      <w:r>
        <w:rPr>
          <w:sz w:val="19"/>
          <w:szCs w:val="19"/>
        </w:rPr>
        <w:t xml:space="preserve">A. Respondent Portal — mobile-first interface for invitation validation, participant information, eligibility screening, consent, questionnaire access, appointment requests and completion confirmation.</w:t>
      </w:r>
    </w:p>
    <w:p>
      <w:pPr>
        <w:spacing w:after="110"/>
        <w:jc w:val="both"/>
      </w:pPr>
      <w:r>
        <w:rPr>
          <w:sz w:val="19"/>
          <w:szCs w:val="19"/>
        </w:rPr>
        <w:t xml:space="preserve">B. Research Operations Portal — secure researcher interface for Main-400 control, contacts, appointments, KII management, documentary evidence, Kobo synchronisation, QA, nonresponse, reserves, costs and fieldwork dashboards.</w:t>
      </w:r>
    </w:p>
    <w:p>
      <w:pPr>
        <w:spacing w:after="110"/>
        <w:jc w:val="both"/>
      </w:pPr>
      <w:r>
        <w:rPr>
          <w:sz w:val="19"/>
          <w:szCs w:val="19"/>
        </w:rPr>
        <w:t xml:space="preserve">C. Future ABI Portal — post-validation enterprise assessment and bankability decision-support module. This is a separate application (the existing ABI project), not a module of this codebase — see §18 and §30. It must never expose provisional ABI scores during primary data collection.</w:t>
      </w:r>
    </w:p>
    <w:p>
      <w:pPr>
        <w:spacing w:after="70" w:before="160"/>
      </w:pPr>
      <w:r>
        <w:rPr>
          <w:b/>
          <w:bCs/>
          <w:color w:val="042A1E"/>
          <w:sz w:val="20"/>
          <w:szCs w:val="20"/>
        </w:rPr>
        <w:t xml:space="preserve">3.2 Core data services</w:t>
      </w:r>
    </w:p>
    <w:p>
      <w:pPr>
        <w:spacing w:after="50"/>
        <w:ind w:left="220" w:hanging="160"/>
      </w:pPr>
      <w:r>
        <w:rPr>
          <w:b/>
          <w:bCs/>
          <w:sz w:val="18"/>
          <w:szCs w:val="18"/>
        </w:rPr>
        <w:t xml:space="preserve">•  </w:t>
      </w:r>
      <w:r>
        <w:rPr>
          <w:sz w:val="18"/>
          <w:szCs w:val="18"/>
        </w:rPr>
        <w:t xml:space="preserve">Sampling Service — Main-400, Reserve-400, strata, organisation verification and selection audit.</w:t>
      </w:r>
    </w:p>
    <w:p>
      <w:pPr>
        <w:spacing w:after="50"/>
        <w:ind w:left="220" w:hanging="160"/>
      </w:pPr>
      <w:r>
        <w:rPr>
          <w:b/>
          <w:bCs/>
          <w:sz w:val="18"/>
          <w:szCs w:val="18"/>
        </w:rPr>
        <w:t xml:space="preserve">•  </w:t>
      </w:r>
      <w:r>
        <w:rPr>
          <w:sz w:val="18"/>
          <w:szCs w:val="18"/>
        </w:rPr>
        <w:t xml:space="preserve">Identity &amp; Contact Service — respondents, gatekeepers, professional contacts and communication history.</w:t>
      </w:r>
    </w:p>
    <w:p>
      <w:pPr>
        <w:spacing w:after="50"/>
        <w:ind w:left="220" w:hanging="160"/>
      </w:pPr>
      <w:r>
        <w:rPr>
          <w:b/>
          <w:bCs/>
          <w:sz w:val="18"/>
          <w:szCs w:val="18"/>
        </w:rPr>
        <w:t xml:space="preserve">•  </w:t>
      </w:r>
      <w:r>
        <w:rPr>
          <w:sz w:val="18"/>
          <w:szCs w:val="18"/>
        </w:rPr>
        <w:t xml:space="preserve">Consent &amp; Ethics Service — participant information version, consent event, recording consent and withdrawal status.</w:t>
      </w:r>
    </w:p>
    <w:p>
      <w:pPr>
        <w:spacing w:after="50"/>
        <w:ind w:left="220" w:hanging="160"/>
      </w:pPr>
      <w:r>
        <w:rPr>
          <w:b/>
          <w:bCs/>
          <w:sz w:val="18"/>
          <w:szCs w:val="18"/>
        </w:rPr>
        <w:t xml:space="preserve">•  </w:t>
      </w:r>
      <w:r>
        <w:rPr>
          <w:sz w:val="18"/>
          <w:szCs w:val="18"/>
        </w:rPr>
        <w:t xml:space="preserve">Research Data Service — Kobo QUAN submissions, KII metadata/transcripts and documentary evidence metadata/coding.</w:t>
      </w:r>
    </w:p>
    <w:p>
      <w:pPr>
        <w:spacing w:after="50"/>
        <w:ind w:left="220" w:hanging="160"/>
      </w:pPr>
      <w:r>
        <w:rPr>
          <w:b/>
          <w:bCs/>
          <w:sz w:val="18"/>
          <w:szCs w:val="18"/>
        </w:rPr>
        <w:t xml:space="preserve">•  </w:t>
      </w:r>
      <w:r>
        <w:rPr>
          <w:sz w:val="18"/>
          <w:szCs w:val="18"/>
        </w:rPr>
        <w:t xml:space="preserve">Audit &amp; Operations Service — workflow events, QA decisions, reserve activation, costs, user actions and data-lock history.</w:t>
      </w:r>
    </w:p>
    <w:p>
      <w:pPr>
        <w:pBdr>
          <w:bottom w:val="single" w:color="063D2B" w:sz="6" w:space="3"/>
        </w:pBdr>
        <w:spacing w:after="100" w:before="260"/>
      </w:pPr>
      <w:r>
        <w:rPr>
          <w:b/>
          <w:bCs/>
          <w:color w:val="063D2B"/>
          <w:sz w:val="25"/>
          <w:szCs w:val="25"/>
        </w:rPr>
        <w:t xml:space="preserve">4. High-Level System Flow</w:t>
      </w:r>
    </w:p>
    <w:p>
      <w:pPr>
        <w:spacing w:after="50"/>
        <w:ind w:left="260" w:hanging="220"/>
      </w:pPr>
      <w:r>
        <w:rPr>
          <w:b/>
          <w:bCs/>
          <w:sz w:val="18"/>
          <w:szCs w:val="18"/>
        </w:rPr>
        <w:t xml:space="preserve">1.  </w:t>
      </w:r>
      <w:r>
        <w:rPr>
          <w:sz w:val="18"/>
          <w:szCs w:val="18"/>
        </w:rPr>
        <w:t xml:space="preserve">Selected Main-400 organisation is loaded from the approved sampling register, receiving a system-generated Master_ID and Sample_ID (§25).</w:t>
      </w:r>
    </w:p>
    <w:p>
      <w:pPr>
        <w:spacing w:after="50"/>
        <w:ind w:left="260" w:hanging="220"/>
      </w:pPr>
      <w:r>
        <w:rPr>
          <w:b/>
          <w:bCs/>
          <w:sz w:val="18"/>
          <w:szCs w:val="18"/>
        </w:rPr>
        <w:t xml:space="preserve">2.  </w:t>
      </w:r>
      <w:r>
        <w:rPr>
          <w:sz w:val="18"/>
          <w:szCs w:val="18"/>
        </w:rPr>
        <w:t xml:space="preserve">Research team verifies that the organisation is active and identifies an eligible respondent or gatekeeper.</w:t>
      </w:r>
    </w:p>
    <w:p>
      <w:pPr>
        <w:spacing w:after="50"/>
        <w:ind w:left="260" w:hanging="220"/>
      </w:pPr>
      <w:r>
        <w:rPr>
          <w:b/>
          <w:bCs/>
          <w:sz w:val="18"/>
          <w:szCs w:val="18"/>
        </w:rPr>
        <w:t xml:space="preserve">3.  </w:t>
      </w:r>
      <w:r>
        <w:rPr>
          <w:sz w:val="18"/>
          <w:szCs w:val="18"/>
        </w:rPr>
        <w:t xml:space="preserve">System generates a unique invitation token linked to Sample_ID and Master_ID (§26).</w:t>
      </w:r>
    </w:p>
    <w:p>
      <w:pPr>
        <w:spacing w:after="50"/>
        <w:ind w:left="260" w:hanging="220"/>
      </w:pPr>
      <w:r>
        <w:rPr>
          <w:b/>
          <w:bCs/>
          <w:sz w:val="18"/>
          <w:szCs w:val="18"/>
        </w:rPr>
        <w:t xml:space="preserve">4.  </w:t>
      </w:r>
      <w:r>
        <w:rPr>
          <w:sz w:val="18"/>
          <w:szCs w:val="18"/>
        </w:rPr>
        <w:t xml:space="preserve">Respondent opens the portal from WhatsApp, email, SMS or a manually supplied URL/QR code.</w:t>
      </w:r>
    </w:p>
    <w:p>
      <w:pPr>
        <w:spacing w:after="50"/>
        <w:ind w:left="260" w:hanging="220"/>
      </w:pPr>
      <w:r>
        <w:rPr>
          <w:b/>
          <w:bCs/>
          <w:sz w:val="18"/>
          <w:szCs w:val="18"/>
        </w:rPr>
        <w:t xml:space="preserve">5.  </w:t>
      </w:r>
      <w:r>
        <w:rPr>
          <w:sz w:val="18"/>
          <w:szCs w:val="18"/>
        </w:rPr>
        <w:t xml:space="preserve">Portal validates the invitation without exposing unnecessary sampling information.</w:t>
      </w:r>
    </w:p>
    <w:p>
      <w:pPr>
        <w:spacing w:after="50"/>
        <w:ind w:left="260" w:hanging="220"/>
      </w:pPr>
      <w:r>
        <w:rPr>
          <w:b/>
          <w:bCs/>
          <w:sz w:val="18"/>
          <w:szCs w:val="18"/>
        </w:rPr>
        <w:t xml:space="preserve">6.  </w:t>
      </w:r>
      <w:r>
        <w:rPr>
          <w:sz w:val="18"/>
          <w:szCs w:val="18"/>
        </w:rPr>
        <w:t xml:space="preserve">Respondent reviews participant information and passes the organisational/respondent eligibility gate.</w:t>
      </w:r>
    </w:p>
    <w:p>
      <w:pPr>
        <w:spacing w:after="50"/>
        <w:ind w:left="260" w:hanging="220"/>
      </w:pPr>
      <w:r>
        <w:rPr>
          <w:b/>
          <w:bCs/>
          <w:sz w:val="18"/>
          <w:szCs w:val="18"/>
        </w:rPr>
        <w:t xml:space="preserve">7.  </w:t>
      </w:r>
      <w:r>
        <w:rPr>
          <w:sz w:val="18"/>
          <w:szCs w:val="18"/>
        </w:rPr>
        <w:t xml:space="preserve">Respondent provides electronic consent.</w:t>
      </w:r>
    </w:p>
    <w:p>
      <w:pPr>
        <w:spacing w:after="50"/>
        <w:ind w:left="260" w:hanging="220"/>
      </w:pPr>
      <w:r>
        <w:rPr>
          <w:b/>
          <w:bCs/>
          <w:sz w:val="18"/>
          <w:szCs w:val="18"/>
        </w:rPr>
        <w:t xml:space="preserve">8.  </w:t>
      </w:r>
      <w:r>
        <w:rPr>
          <w:sz w:val="18"/>
          <w:szCs w:val="18"/>
        </w:rPr>
        <w:t xml:space="preserve">Respondent chooses self-administration or requests assisted participation.</w:t>
      </w:r>
    </w:p>
    <w:p>
      <w:pPr>
        <w:spacing w:after="50"/>
        <w:ind w:left="260" w:hanging="220"/>
      </w:pPr>
      <w:r>
        <w:rPr>
          <w:b/>
          <w:bCs/>
          <w:sz w:val="18"/>
          <w:szCs w:val="18"/>
        </w:rPr>
        <w:t xml:space="preserve">9.  </w:t>
      </w:r>
      <w:r>
        <w:rPr>
          <w:sz w:val="18"/>
          <w:szCs w:val="18"/>
        </w:rPr>
        <w:t xml:space="preserve">Portal launches the Kobo questionnaire with controlled hidden identifiers and administration-mode metadata.</w:t>
      </w:r>
    </w:p>
    <w:p>
      <w:pPr>
        <w:spacing w:after="50"/>
        <w:ind w:left="260" w:hanging="220"/>
      </w:pPr>
      <w:r>
        <w:rPr>
          <w:b/>
          <w:bCs/>
          <w:sz w:val="18"/>
          <w:szCs w:val="18"/>
        </w:rPr>
        <w:t xml:space="preserve">10.  </w:t>
      </w:r>
      <w:r>
        <w:rPr>
          <w:sz w:val="18"/>
          <w:szCs w:val="18"/>
        </w:rPr>
        <w:t xml:space="preserve">Kobo submission is synchronised to the research operations portal on a fixed schedule, which also catches later edits (§6.4).</w:t>
      </w:r>
    </w:p>
    <w:p>
      <w:pPr>
        <w:spacing w:after="50"/>
        <w:ind w:left="260" w:hanging="220"/>
      </w:pPr>
      <w:r>
        <w:rPr>
          <w:b/>
          <w:bCs/>
          <w:sz w:val="18"/>
          <w:szCs w:val="18"/>
        </w:rPr>
        <w:t xml:space="preserve">11.  </w:t>
      </w:r>
      <w:r>
        <w:rPr>
          <w:sz w:val="18"/>
          <w:szCs w:val="18"/>
        </w:rPr>
        <w:t xml:space="preserve">AI-assisted and human QA flags completeness, duplicate identifiers, logical inconsistencies, unusual duration and coverage issues against numerically defined thresholds (§27).</w:t>
      </w:r>
    </w:p>
    <w:p>
      <w:pPr>
        <w:spacing w:after="50"/>
        <w:ind w:left="260" w:hanging="220"/>
      </w:pPr>
      <w:r>
        <w:rPr>
          <w:b/>
          <w:bCs/>
          <w:sz w:val="18"/>
          <w:szCs w:val="18"/>
        </w:rPr>
        <w:t xml:space="preserve">12.  </w:t>
      </w:r>
      <w:r>
        <w:rPr>
          <w:sz w:val="18"/>
          <w:szCs w:val="18"/>
        </w:rPr>
        <w:t xml:space="preserve">Record is accepted, queried or rejected according to the QA SOP.</w:t>
      </w:r>
    </w:p>
    <w:p>
      <w:pPr>
        <w:spacing w:after="50"/>
        <w:ind w:left="260" w:hanging="220"/>
      </w:pPr>
      <w:r>
        <w:rPr>
          <w:b/>
          <w:bCs/>
          <w:sz w:val="18"/>
          <w:szCs w:val="18"/>
        </w:rPr>
        <w:t xml:space="preserve">13.  </w:t>
      </w:r>
      <w:r>
        <w:rPr>
          <w:sz w:val="18"/>
          <w:szCs w:val="18"/>
        </w:rPr>
        <w:t xml:space="preserve">Accepted record is marked QA-PASSED and enters the versioned analytical dataset.</w:t>
      </w:r>
    </w:p>
    <w:p>
      <w:pPr>
        <w:spacing w:after="50"/>
        <w:ind w:left="260" w:hanging="220"/>
      </w:pPr>
      <w:r>
        <w:rPr>
          <w:b/>
          <w:bCs/>
          <w:sz w:val="18"/>
          <w:szCs w:val="18"/>
        </w:rPr>
        <w:t xml:space="preserve">14.  </w:t>
      </w:r>
      <w:r>
        <w:rPr>
          <w:sz w:val="18"/>
          <w:szCs w:val="18"/>
        </w:rPr>
        <w:t xml:space="preserve">At data lock, contact information is excluded from the de-identified SmartPLS/analysis export.</w:t>
      </w:r>
    </w:p>
    <w:p>
      <w:pPr>
        <w:pBdr>
          <w:bottom w:val="single" w:color="063D2B" w:sz="6" w:space="3"/>
        </w:pBdr>
        <w:spacing w:after="100" w:before="260"/>
      </w:pPr>
      <w:r>
        <w:rPr>
          <w:b/>
          <w:bCs/>
          <w:color w:val="063D2B"/>
          <w:sz w:val="25"/>
          <w:szCs w:val="25"/>
        </w:rPr>
        <w:t xml:space="preserve">5. Respondent Portal Functional Design</w:t>
      </w:r>
    </w:p>
    <w:p>
      <w:pPr>
        <w:spacing w:after="70" w:before="160"/>
      </w:pPr>
      <w:r>
        <w:rPr>
          <w:b/>
          <w:bCs/>
          <w:color w:val="042A1E"/>
          <w:sz w:val="20"/>
          <w:szCs w:val="20"/>
        </w:rPr>
        <w:t xml:space="preserve">5.1 Landing page</w:t>
      </w:r>
    </w:p>
    <w:p>
      <w:pPr>
        <w:spacing w:after="110"/>
        <w:jc w:val="both"/>
      </w:pPr>
      <w:r>
        <w:rPr>
          <w:sz w:val="19"/>
          <w:szCs w:val="19"/>
        </w:rPr>
        <w:t xml:space="preserve">The landing page establishes legitimacy immediately: study title, Chinhoyi University of Technology affiliation, principal researcher, brief purpose, privacy statement, contact/support option and a clear 'Continue with Invitation' action. It avoids displaying complex research constructs or the respondent's future ABI score — there is no such score anywhere in this application; see §18 and §30.</w:t>
      </w:r>
    </w:p>
    <w:p>
      <w:pPr>
        <w:spacing w:after="70" w:before="160"/>
      </w:pPr>
      <w:r>
        <w:rPr>
          <w:b/>
          <w:bCs/>
          <w:color w:val="042A1E"/>
          <w:sz w:val="20"/>
          <w:szCs w:val="20"/>
        </w:rPr>
        <w:t xml:space="preserve">5.2 Invitation validation</w:t>
      </w:r>
    </w:p>
    <w:p>
      <w:pPr>
        <w:spacing w:after="50"/>
        <w:ind w:left="220" w:hanging="160"/>
      </w:pPr>
      <w:r>
        <w:rPr>
          <w:b/>
          <w:bCs/>
          <w:sz w:val="18"/>
          <w:szCs w:val="18"/>
        </w:rPr>
        <w:t xml:space="preserve">•  </w:t>
      </w:r>
      <w:r>
        <w:rPr>
          <w:sz w:val="18"/>
          <w:szCs w:val="18"/>
        </w:rPr>
        <w:t xml:space="preserve">Personalised link containing a random high-entropy token rather than exposing sequential Sample_ID alone — the exact token design is specified in §26.</w:t>
      </w:r>
    </w:p>
    <w:p>
      <w:pPr>
        <w:spacing w:after="50"/>
        <w:ind w:left="220" w:hanging="160"/>
      </w:pPr>
      <w:r>
        <w:rPr>
          <w:b/>
          <w:bCs/>
          <w:sz w:val="18"/>
          <w:szCs w:val="18"/>
        </w:rPr>
        <w:t xml:space="preserve">•  </w:t>
      </w:r>
      <w:r>
        <w:rPr>
          <w:sz w:val="18"/>
          <w:szCs w:val="18"/>
        </w:rPr>
        <w:t xml:space="preserve">Optional manual invitation-code entry for respondents who receive the code by telephone or printed letter.</w:t>
      </w:r>
    </w:p>
    <w:p>
      <w:pPr>
        <w:spacing w:after="50"/>
        <w:ind w:left="220" w:hanging="160"/>
      </w:pPr>
      <w:r>
        <w:rPr>
          <w:b/>
          <w:bCs/>
          <w:sz w:val="18"/>
          <w:szCs w:val="18"/>
        </w:rPr>
        <w:t xml:space="preserve">•  </w:t>
      </w:r>
      <w:r>
        <w:rPr>
          <w:sz w:val="18"/>
          <w:szCs w:val="18"/>
        </w:rPr>
        <w:t xml:space="preserve">Token status: generated, sent, opened, eligibility-passed, consented, survey-started, submitted, QA-passed, expired/revoked.</w:t>
      </w:r>
    </w:p>
    <w:p>
      <w:pPr>
        <w:spacing w:after="50"/>
        <w:ind w:left="220" w:hanging="160"/>
      </w:pPr>
      <w:r>
        <w:rPr>
          <w:b/>
          <w:bCs/>
          <w:sz w:val="18"/>
          <w:szCs w:val="18"/>
        </w:rPr>
        <w:t xml:space="preserve">•  </w:t>
      </w:r>
      <w:r>
        <w:rPr>
          <w:sz w:val="18"/>
          <w:szCs w:val="18"/>
        </w:rPr>
        <w:t xml:space="preserve">Rate limiting and expiry controls to reduce unauthorised access (§26).</w:t>
      </w:r>
    </w:p>
    <w:p>
      <w:pPr>
        <w:spacing w:after="50"/>
        <w:ind w:left="220" w:hanging="160"/>
      </w:pPr>
      <w:r>
        <w:rPr>
          <w:b/>
          <w:bCs/>
          <w:sz w:val="18"/>
          <w:szCs w:val="18"/>
        </w:rPr>
        <w:t xml:space="preserve">•  </w:t>
      </w:r>
      <w:r>
        <w:rPr>
          <w:sz w:val="18"/>
          <w:szCs w:val="18"/>
        </w:rPr>
        <w:t xml:space="preserve">Device-only restriction is not used as the sole authentication mechanism, because executives may switch devices.</w:t>
      </w:r>
    </w:p>
    <w:p>
      <w:pPr>
        <w:spacing w:after="70" w:before="160"/>
      </w:pPr>
      <w:r>
        <w:rPr>
          <w:b/>
          <w:bCs/>
          <w:color w:val="042A1E"/>
          <w:sz w:val="20"/>
          <w:szCs w:val="20"/>
        </w:rPr>
        <w:t xml:space="preserve">5.3 Eligibility gate</w:t>
      </w:r>
    </w:p>
    <w:p>
      <w:pPr>
        <w:spacing w:after="110"/>
        <w:jc w:val="both"/>
      </w:pPr>
      <w:r>
        <w:rPr>
          <w:sz w:val="19"/>
          <w:szCs w:val="19"/>
        </w:rPr>
        <w:t xml:space="preserve">The portal confirms the organisation and determines whether the person is a knowledgeable organisational respondent. Eligible roles include owner/founder, CEO/managing director, finance/credit/risk, operations/production, strategy/business development, supply chain/commercial, or another senior manager with adequate organisational knowledge.</w:t>
      </w:r>
    </w:p>
    <w:p>
      <w:pPr>
        <w:spacing w:after="110"/>
        <w:jc w:val="both"/>
      </w:pPr>
      <w:r>
        <w:rPr>
          <w:sz w:val="19"/>
          <w:szCs w:val="19"/>
        </w:rPr>
        <w:t xml:space="preserve">If the respondent is not eligible, the questionnaire does not open. The portal instead offers a referral/nominating function so the correct organisational respondent can be identified, without treating the gatekeeper as a completed respondent.</w:t>
      </w:r>
    </w:p>
    <w:p>
      <w:pPr>
        <w:spacing w:after="70" w:before="160"/>
      </w:pPr>
      <w:r>
        <w:rPr>
          <w:b/>
          <w:bCs/>
          <w:color w:val="042A1E"/>
          <w:sz w:val="20"/>
          <w:szCs w:val="20"/>
        </w:rPr>
        <w:t xml:space="preserve">5.4 Consent module</w:t>
      </w:r>
    </w:p>
    <w:p>
      <w:pPr>
        <w:spacing w:after="50"/>
        <w:ind w:left="220" w:hanging="160"/>
      </w:pPr>
      <w:r>
        <w:rPr>
          <w:b/>
          <w:bCs/>
          <w:sz w:val="18"/>
          <w:szCs w:val="18"/>
        </w:rPr>
        <w:t xml:space="preserve">•  </w:t>
      </w:r>
      <w:r>
        <w:rPr>
          <w:sz w:val="18"/>
          <w:szCs w:val="18"/>
        </w:rPr>
        <w:t xml:space="preserve">Displays the approved Participant Information Sheet in readable mobile format.</w:t>
      </w:r>
    </w:p>
    <w:p>
      <w:pPr>
        <w:spacing w:after="50"/>
        <w:ind w:left="220" w:hanging="160"/>
      </w:pPr>
      <w:r>
        <w:rPr>
          <w:b/>
          <w:bCs/>
          <w:sz w:val="18"/>
          <w:szCs w:val="18"/>
        </w:rPr>
        <w:t xml:space="preserve">•  </w:t>
      </w:r>
      <w:r>
        <w:rPr>
          <w:sz w:val="18"/>
          <w:szCs w:val="18"/>
        </w:rPr>
        <w:t xml:space="preserve">Requires affirmative consent before the questionnaire opens.</w:t>
      </w:r>
    </w:p>
    <w:p>
      <w:pPr>
        <w:spacing w:after="50"/>
        <w:ind w:left="220" w:hanging="160"/>
      </w:pPr>
      <w:r>
        <w:rPr>
          <w:b/>
          <w:bCs/>
          <w:sz w:val="18"/>
          <w:szCs w:val="18"/>
        </w:rPr>
        <w:t xml:space="preserve">•  </w:t>
      </w:r>
      <w:r>
        <w:rPr>
          <w:sz w:val="18"/>
          <w:szCs w:val="18"/>
        </w:rPr>
        <w:t xml:space="preserve">Stores Consent_ID, Sample_ID, consent version, timestamp and method.</w:t>
      </w:r>
    </w:p>
    <w:p>
      <w:pPr>
        <w:spacing w:after="50"/>
        <w:ind w:left="220" w:hanging="160"/>
      </w:pPr>
      <w:r>
        <w:rPr>
          <w:b/>
          <w:bCs/>
          <w:sz w:val="18"/>
          <w:szCs w:val="18"/>
        </w:rPr>
        <w:t xml:space="preserve">•  </w:t>
      </w:r>
      <w:r>
        <w:rPr>
          <w:sz w:val="18"/>
          <w:szCs w:val="18"/>
        </w:rPr>
        <w:t xml:space="preserve">Provides a downloadable/viewable copy of the participant information where permitted.</w:t>
      </w:r>
    </w:p>
    <w:p>
      <w:pPr>
        <w:spacing w:after="50"/>
        <w:ind w:left="220" w:hanging="160"/>
      </w:pPr>
      <w:r>
        <w:rPr>
          <w:b/>
          <w:bCs/>
          <w:sz w:val="18"/>
          <w:szCs w:val="18"/>
        </w:rPr>
        <w:t xml:space="preserve">•  </w:t>
      </w:r>
      <w:r>
        <w:rPr>
          <w:sz w:val="18"/>
          <w:szCs w:val="18"/>
        </w:rPr>
        <w:t xml:space="preserve">Uses a separate KII recording-consent decision; participation consent does not automatically imply recording consent.</w:t>
      </w:r>
    </w:p>
    <w:p>
      <w:pPr>
        <w:spacing w:after="70" w:before="160"/>
      </w:pPr>
      <w:r>
        <w:rPr>
          <w:b/>
          <w:bCs/>
          <w:color w:val="042A1E"/>
          <w:sz w:val="20"/>
          <w:szCs w:val="20"/>
        </w:rPr>
        <w:t xml:space="preserve">5.5 Participation choices</w:t>
      </w:r>
    </w:p>
    <w:p>
      <w:pPr>
        <w:spacing w:after="50"/>
        <w:ind w:left="220" w:hanging="160"/>
      </w:pPr>
      <w:r>
        <w:rPr>
          <w:b/>
          <w:bCs/>
          <w:sz w:val="18"/>
          <w:szCs w:val="18"/>
        </w:rPr>
        <w:t xml:space="preserve">•  </w:t>
      </w:r>
      <w:r>
        <w:rPr>
          <w:sz w:val="18"/>
          <w:szCs w:val="18"/>
        </w:rPr>
        <w:t xml:space="preserve">Complete questionnaire online now.</w:t>
      </w:r>
    </w:p>
    <w:p>
      <w:pPr>
        <w:spacing w:after="50"/>
        <w:ind w:left="220" w:hanging="160"/>
      </w:pPr>
      <w:r>
        <w:rPr>
          <w:b/>
          <w:bCs/>
          <w:sz w:val="18"/>
          <w:szCs w:val="18"/>
        </w:rPr>
        <w:t xml:space="preserve">•  </w:t>
      </w:r>
      <w:r>
        <w:rPr>
          <w:sz w:val="18"/>
          <w:szCs w:val="18"/>
        </w:rPr>
        <w:t xml:space="preserve">Schedule a telephone-assisted questionnaire.</w:t>
      </w:r>
    </w:p>
    <w:p>
      <w:pPr>
        <w:spacing w:after="50"/>
        <w:ind w:left="220" w:hanging="160"/>
      </w:pPr>
      <w:r>
        <w:rPr>
          <w:b/>
          <w:bCs/>
          <w:sz w:val="18"/>
          <w:szCs w:val="18"/>
        </w:rPr>
        <w:t xml:space="preserve">•  </w:t>
      </w:r>
      <w:r>
        <w:rPr>
          <w:sz w:val="18"/>
          <w:szCs w:val="18"/>
        </w:rPr>
        <w:t xml:space="preserve">Request WhatsApp-assisted participation (see §9.3 for the messaging-platform dependency this now explicitly carries).</w:t>
      </w:r>
    </w:p>
    <w:p>
      <w:pPr>
        <w:spacing w:after="50"/>
        <w:ind w:left="220" w:hanging="160"/>
      </w:pPr>
      <w:r>
        <w:rPr>
          <w:b/>
          <w:bCs/>
          <w:sz w:val="18"/>
          <w:szCs w:val="18"/>
        </w:rPr>
        <w:t xml:space="preserve">•  </w:t>
      </w:r>
      <w:r>
        <w:rPr>
          <w:sz w:val="18"/>
          <w:szCs w:val="18"/>
        </w:rPr>
        <w:t xml:space="preserve">Request a researcher to contact me.</w:t>
      </w:r>
    </w:p>
    <w:p>
      <w:pPr>
        <w:spacing w:after="50"/>
        <w:ind w:left="220" w:hanging="160"/>
      </w:pPr>
      <w:r>
        <w:rPr>
          <w:b/>
          <w:bCs/>
          <w:sz w:val="18"/>
          <w:szCs w:val="18"/>
        </w:rPr>
        <w:t xml:space="preserve">•  </w:t>
      </w:r>
      <w:r>
        <w:rPr>
          <w:sz w:val="18"/>
          <w:szCs w:val="18"/>
        </w:rPr>
        <w:t xml:space="preserve">Request an alternative accessible mode where connectivity or digital literacy is a barrier.</w:t>
      </w:r>
    </w:p>
    <w:p>
      <w:pPr>
        <w:spacing w:after="70" w:before="160"/>
      </w:pPr>
      <w:r>
        <w:rPr>
          <w:b/>
          <w:bCs/>
          <w:color w:val="042A1E"/>
          <w:sz w:val="20"/>
          <w:szCs w:val="20"/>
        </w:rPr>
        <w:t xml:space="preserve">5.6 Completion page</w:t>
      </w:r>
    </w:p>
    <w:p>
      <w:pPr>
        <w:spacing w:after="110"/>
        <w:jc w:val="both"/>
      </w:pPr>
      <w:r>
        <w:rPr>
          <w:sz w:val="19"/>
          <w:szCs w:val="19"/>
        </w:rPr>
        <w:t xml:space="preserve">After submission, the portal shows a neutral confirmation and study contact details. It does not provide a provisional ABI score or financing recommendation before the ABI has been empirically validated and the feedback procedure has ethics approval — this is enforced architecturally, not just by convention: no ABI scoring code exists in this application at all (§18, §30).</w:t>
      </w:r>
    </w:p>
    <w:p>
      <w:pPr>
        <w:pBdr>
          <w:bottom w:val="single" w:color="063D2B" w:sz="6" w:space="3"/>
        </w:pBdr>
        <w:spacing w:after="100" w:before="260"/>
      </w:pPr>
      <w:r>
        <w:rPr>
          <w:b/>
          <w:bCs/>
          <w:color w:val="063D2B"/>
          <w:sz w:val="25"/>
          <w:szCs w:val="25"/>
        </w:rPr>
        <w:t xml:space="preserve">6. KoboToolbox Integration</w:t>
      </w:r>
    </w:p>
    <w:p>
      <w:pPr>
        <w:spacing w:after="110"/>
        <w:jc w:val="both"/>
      </w:pPr>
      <w:r>
        <w:rPr>
          <w:sz w:val="19"/>
          <w:szCs w:val="19"/>
        </w:rPr>
        <w:t xml:space="preserve">KoboToolbox remains the primary quantitative data-capture engine. The portal passes controlled identifiers and mode information into Kobo, and the research portal retrieves submission status through an approved integration.</w:t>
      </w:r>
    </w:p>
    <w:p>
      <w:pPr>
        <w:spacing w:after="70" w:before="160"/>
      </w:pPr>
      <w:r>
        <w:rPr>
          <w:b/>
          <w:bCs/>
          <w:color w:val="042A1E"/>
          <w:sz w:val="20"/>
          <w:szCs w:val="20"/>
        </w:rPr>
        <w:t xml:space="preserve">6.1 Hidden or controlled fields</w:t>
      </w:r>
    </w:p>
    <w:p>
      <w:pPr>
        <w:spacing w:after="50"/>
        <w:ind w:left="220" w:hanging="160"/>
      </w:pPr>
      <w:r>
        <w:rPr>
          <w:b/>
          <w:bCs/>
          <w:sz w:val="18"/>
          <w:szCs w:val="18"/>
        </w:rPr>
        <w:t xml:space="preserve">•  </w:t>
      </w:r>
      <w:r>
        <w:rPr>
          <w:sz w:val="18"/>
          <w:szCs w:val="18"/>
        </w:rPr>
        <w:t xml:space="preserve">Master_ID, Sample_ID (§25)</w:t>
      </w:r>
    </w:p>
    <w:p>
      <w:pPr>
        <w:spacing w:after="50"/>
        <w:ind w:left="220" w:hanging="160"/>
      </w:pPr>
      <w:r>
        <w:rPr>
          <w:b/>
          <w:bCs/>
          <w:sz w:val="18"/>
          <w:szCs w:val="18"/>
        </w:rPr>
        <w:t xml:space="preserve">•  </w:t>
      </w:r>
      <w:r>
        <w:rPr>
          <w:sz w:val="18"/>
          <w:szCs w:val="18"/>
        </w:rPr>
        <w:t xml:space="preserve">Invitation_Wave</w:t>
      </w:r>
    </w:p>
    <w:p>
      <w:pPr>
        <w:spacing w:after="50"/>
        <w:ind w:left="220" w:hanging="160"/>
      </w:pPr>
      <w:r>
        <w:rPr>
          <w:b/>
          <w:bCs/>
          <w:sz w:val="18"/>
          <w:szCs w:val="18"/>
        </w:rPr>
        <w:t xml:space="preserve">•  </w:t>
      </w:r>
      <w:r>
        <w:rPr>
          <w:sz w:val="18"/>
          <w:szCs w:val="18"/>
        </w:rPr>
        <w:t xml:space="preserve">Administration_Mode</w:t>
      </w:r>
    </w:p>
    <w:p>
      <w:pPr>
        <w:spacing w:after="50"/>
        <w:ind w:left="220" w:hanging="160"/>
      </w:pPr>
      <w:r>
        <w:rPr>
          <w:b/>
          <w:bCs/>
          <w:sz w:val="18"/>
          <w:szCs w:val="18"/>
        </w:rPr>
        <w:t xml:space="preserve">•  </w:t>
      </w:r>
      <w:r>
        <w:rPr>
          <w:sz w:val="18"/>
          <w:szCs w:val="18"/>
        </w:rPr>
        <w:t xml:space="preserve">Respondent_Role_Category</w:t>
      </w:r>
    </w:p>
    <w:p>
      <w:pPr>
        <w:spacing w:after="50"/>
        <w:ind w:left="220" w:hanging="160"/>
      </w:pPr>
      <w:r>
        <w:rPr>
          <w:b/>
          <w:bCs/>
          <w:sz w:val="18"/>
          <w:szCs w:val="18"/>
        </w:rPr>
        <w:t xml:space="preserve">•  </w:t>
      </w:r>
      <w:r>
        <w:rPr>
          <w:sz w:val="18"/>
          <w:szCs w:val="18"/>
        </w:rPr>
        <w:t xml:space="preserve">Consent_Status / Consent_Version reference</w:t>
      </w:r>
    </w:p>
    <w:p>
      <w:pPr>
        <w:spacing w:after="50"/>
        <w:ind w:left="220" w:hanging="160"/>
      </w:pPr>
      <w:r>
        <w:rPr>
          <w:b/>
          <w:bCs/>
          <w:sz w:val="18"/>
          <w:szCs w:val="18"/>
        </w:rPr>
        <w:t xml:space="preserve">•  </w:t>
      </w:r>
      <w:r>
        <w:rPr>
          <w:sz w:val="18"/>
          <w:szCs w:val="18"/>
        </w:rPr>
        <w:t xml:space="preserve">RA_ID for assisted administration</w:t>
      </w:r>
    </w:p>
    <w:p>
      <w:pPr>
        <w:spacing w:after="50"/>
        <w:ind w:left="220" w:hanging="160"/>
      </w:pPr>
      <w:r>
        <w:rPr>
          <w:b/>
          <w:bCs/>
          <w:sz w:val="18"/>
          <w:szCs w:val="18"/>
        </w:rPr>
        <w:t xml:space="preserve">•  </w:t>
      </w:r>
      <w:r>
        <w:rPr>
          <w:sz w:val="18"/>
          <w:szCs w:val="18"/>
        </w:rPr>
        <w:t xml:space="preserve">Start/submit timestamps</w:t>
      </w:r>
    </w:p>
    <w:p>
      <w:pPr>
        <w:spacing w:after="50"/>
        <w:ind w:left="220" w:hanging="160"/>
      </w:pPr>
      <w:r>
        <w:rPr>
          <w:b/>
          <w:bCs/>
          <w:sz w:val="18"/>
          <w:szCs w:val="18"/>
        </w:rPr>
        <w:t xml:space="preserve">•  </w:t>
      </w:r>
      <w:r>
        <w:rPr>
          <w:sz w:val="18"/>
          <w:szCs w:val="18"/>
        </w:rPr>
        <w:t xml:space="preserve">Portal_Token_ID or non-identifying token reference (§26)</w:t>
      </w:r>
    </w:p>
    <w:p>
      <w:pPr>
        <w:spacing w:after="70" w:before="160"/>
      </w:pPr>
      <w:r>
        <w:rPr>
          <w:b/>
          <w:bCs/>
          <w:color w:val="042A1E"/>
          <w:sz w:val="20"/>
          <w:szCs w:val="20"/>
        </w:rPr>
        <w:t xml:space="preserve">6.2 Administration-mode coding</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272"/>
        <w:gridCol w:w="3604"/>
        <w:gridCol w:w="5724"/>
      </w:tblGrid>
      <w:tr>
        <w:trPr>
          <w:tblHeader/>
        </w:trPr>
        <w:tc>
          <w:tcPr>
            <w:tcW w:type="dxa" w:w="1272"/>
            <w:shd w:fill="063D2B" w:val="clear"/>
            <w:tcMar>
              <w:top w:type="dxa" w:w="40"/>
              <w:left w:type="dxa" w:w="90"/>
              <w:bottom w:type="dxa" w:w="40"/>
              <w:right w:type="dxa" w:w="90"/>
            </w:tcMar>
            <w:vAlign w:val="center"/>
          </w:tcPr>
          <w:p>
            <w:r>
              <w:rPr>
                <w:b/>
                <w:bCs/>
                <w:color w:val="FFFFFF"/>
                <w:sz w:val="16"/>
                <w:szCs w:val="16"/>
              </w:rPr>
              <w:t xml:space="preserve">Code</w:t>
            </w:r>
          </w:p>
        </w:tc>
        <w:tc>
          <w:tcPr>
            <w:tcW w:type="dxa" w:w="3604"/>
            <w:shd w:fill="063D2B" w:val="clear"/>
            <w:tcMar>
              <w:top w:type="dxa" w:w="40"/>
              <w:left w:type="dxa" w:w="90"/>
              <w:bottom w:type="dxa" w:w="40"/>
              <w:right w:type="dxa" w:w="90"/>
            </w:tcMar>
            <w:vAlign w:val="center"/>
          </w:tcPr>
          <w:p>
            <w:r>
              <w:rPr>
                <w:b/>
                <w:bCs/>
                <w:color w:val="FFFFFF"/>
                <w:sz w:val="16"/>
                <w:szCs w:val="16"/>
              </w:rPr>
              <w:t xml:space="preserve">Mode</w:t>
            </w:r>
          </w:p>
        </w:tc>
        <w:tc>
          <w:tcPr>
            <w:tcW w:type="dxa" w:w="5724"/>
            <w:shd w:fill="063D2B" w:val="clear"/>
            <w:tcMar>
              <w:top w:type="dxa" w:w="40"/>
              <w:left w:type="dxa" w:w="90"/>
              <w:bottom w:type="dxa" w:w="40"/>
              <w:right w:type="dxa" w:w="90"/>
            </w:tcMar>
            <w:vAlign w:val="center"/>
          </w:tcPr>
          <w:p>
            <w:r>
              <w:rPr>
                <w:b/>
                <w:bCs/>
                <w:color w:val="FFFFFF"/>
                <w:sz w:val="16"/>
                <w:szCs w:val="16"/>
              </w:rPr>
              <w:t xml:space="preserve">Description</w:t>
            </w:r>
          </w:p>
        </w:tc>
      </w:tr>
      <w:tr>
        <w:tc>
          <w:tcPr>
            <w:tcW w:type="dxa" w:w="1272"/>
            <w:shd w:fill="FFFFFF" w:val="clear"/>
            <w:tcMar>
              <w:top w:type="dxa" w:w="40"/>
              <w:left w:type="dxa" w:w="90"/>
              <w:bottom w:type="dxa" w:w="40"/>
              <w:right w:type="dxa" w:w="90"/>
            </w:tcMar>
            <w:vAlign w:val="center"/>
          </w:tcPr>
          <w:p>
            <w:r>
              <w:rPr>
                <w:sz w:val="16"/>
                <w:szCs w:val="16"/>
              </w:rPr>
              <w:t xml:space="preserve">01</w:t>
            </w:r>
          </w:p>
        </w:tc>
        <w:tc>
          <w:tcPr>
            <w:tcW w:type="dxa" w:w="3604"/>
            <w:shd w:fill="FFFFFF" w:val="clear"/>
            <w:tcMar>
              <w:top w:type="dxa" w:w="40"/>
              <w:left w:type="dxa" w:w="90"/>
              <w:bottom w:type="dxa" w:w="40"/>
              <w:right w:type="dxa" w:w="90"/>
            </w:tcMar>
            <w:vAlign w:val="center"/>
          </w:tcPr>
          <w:p>
            <w:r>
              <w:rPr>
                <w:sz w:val="16"/>
                <w:szCs w:val="16"/>
              </w:rPr>
              <w:t xml:space="preserve">WEB_SELF</w:t>
            </w:r>
          </w:p>
        </w:tc>
        <w:tc>
          <w:tcPr>
            <w:tcW w:type="dxa" w:w="5724"/>
            <w:shd w:fill="FFFFFF" w:val="clear"/>
            <w:tcMar>
              <w:top w:type="dxa" w:w="40"/>
              <w:left w:type="dxa" w:w="90"/>
              <w:bottom w:type="dxa" w:w="40"/>
              <w:right w:type="dxa" w:w="90"/>
            </w:tcMar>
            <w:vAlign w:val="center"/>
          </w:tcPr>
          <w:p>
            <w:r>
              <w:rPr>
                <w:sz w:val="16"/>
                <w:szCs w:val="16"/>
              </w:rPr>
              <w:t xml:space="preserve">Direct web self-administration.</w:t>
            </w:r>
          </w:p>
        </w:tc>
      </w:tr>
      <w:tr>
        <w:tc>
          <w:tcPr>
            <w:tcW w:type="dxa" w:w="1272"/>
            <w:shd w:fill="EAF3EE" w:val="clear"/>
            <w:tcMar>
              <w:top w:type="dxa" w:w="40"/>
              <w:left w:type="dxa" w:w="90"/>
              <w:bottom w:type="dxa" w:w="40"/>
              <w:right w:type="dxa" w:w="90"/>
            </w:tcMar>
            <w:vAlign w:val="center"/>
          </w:tcPr>
          <w:p>
            <w:r>
              <w:rPr>
                <w:sz w:val="16"/>
                <w:szCs w:val="16"/>
              </w:rPr>
              <w:t xml:space="preserve">02</w:t>
            </w:r>
          </w:p>
        </w:tc>
        <w:tc>
          <w:tcPr>
            <w:tcW w:type="dxa" w:w="3604"/>
            <w:shd w:fill="EAF3EE" w:val="clear"/>
            <w:tcMar>
              <w:top w:type="dxa" w:w="40"/>
              <w:left w:type="dxa" w:w="90"/>
              <w:bottom w:type="dxa" w:w="40"/>
              <w:right w:type="dxa" w:w="90"/>
            </w:tcMar>
            <w:vAlign w:val="center"/>
          </w:tcPr>
          <w:p>
            <w:r>
              <w:rPr>
                <w:sz w:val="16"/>
                <w:szCs w:val="16"/>
              </w:rPr>
              <w:t xml:space="preserve">WHATSAPP_LINK_SELF</w:t>
            </w:r>
          </w:p>
        </w:tc>
        <w:tc>
          <w:tcPr>
            <w:tcW w:type="dxa" w:w="5724"/>
            <w:shd w:fill="EAF3EE" w:val="clear"/>
            <w:tcMar>
              <w:top w:type="dxa" w:w="40"/>
              <w:left w:type="dxa" w:w="90"/>
              <w:bottom w:type="dxa" w:w="40"/>
              <w:right w:type="dxa" w:w="90"/>
            </w:tcMar>
            <w:vAlign w:val="center"/>
          </w:tcPr>
          <w:p>
            <w:r>
              <w:rPr>
                <w:sz w:val="16"/>
                <w:szCs w:val="16"/>
              </w:rPr>
              <w:t xml:space="preserve">Self-completion after WhatsApp invitation.</w:t>
            </w:r>
          </w:p>
        </w:tc>
      </w:tr>
      <w:tr>
        <w:tc>
          <w:tcPr>
            <w:tcW w:type="dxa" w:w="1272"/>
            <w:shd w:fill="FFFFFF" w:val="clear"/>
            <w:tcMar>
              <w:top w:type="dxa" w:w="40"/>
              <w:left w:type="dxa" w:w="90"/>
              <w:bottom w:type="dxa" w:w="40"/>
              <w:right w:type="dxa" w:w="90"/>
            </w:tcMar>
            <w:vAlign w:val="center"/>
          </w:tcPr>
          <w:p>
            <w:r>
              <w:rPr>
                <w:sz w:val="16"/>
                <w:szCs w:val="16"/>
              </w:rPr>
              <w:t xml:space="preserve">03</w:t>
            </w:r>
          </w:p>
        </w:tc>
        <w:tc>
          <w:tcPr>
            <w:tcW w:type="dxa" w:w="3604"/>
            <w:shd w:fill="FFFFFF" w:val="clear"/>
            <w:tcMar>
              <w:top w:type="dxa" w:w="40"/>
              <w:left w:type="dxa" w:w="90"/>
              <w:bottom w:type="dxa" w:w="40"/>
              <w:right w:type="dxa" w:w="90"/>
            </w:tcMar>
            <w:vAlign w:val="center"/>
          </w:tcPr>
          <w:p>
            <w:r>
              <w:rPr>
                <w:sz w:val="16"/>
                <w:szCs w:val="16"/>
              </w:rPr>
              <w:t xml:space="preserve">PHONE_ASSISTED</w:t>
            </w:r>
          </w:p>
        </w:tc>
        <w:tc>
          <w:tcPr>
            <w:tcW w:type="dxa" w:w="5724"/>
            <w:shd w:fill="FFFFFF" w:val="clear"/>
            <w:tcMar>
              <w:top w:type="dxa" w:w="40"/>
              <w:left w:type="dxa" w:w="90"/>
              <w:bottom w:type="dxa" w:w="40"/>
              <w:right w:type="dxa" w:w="90"/>
            </w:tcMar>
            <w:vAlign w:val="center"/>
          </w:tcPr>
          <w:p>
            <w:r>
              <w:rPr>
                <w:sz w:val="16"/>
                <w:szCs w:val="16"/>
              </w:rPr>
              <w:t xml:space="preserve">Telephone interviewer-administered.</w:t>
            </w:r>
          </w:p>
        </w:tc>
      </w:tr>
      <w:tr>
        <w:tc>
          <w:tcPr>
            <w:tcW w:type="dxa" w:w="1272"/>
            <w:shd w:fill="EAF3EE" w:val="clear"/>
            <w:tcMar>
              <w:top w:type="dxa" w:w="40"/>
              <w:left w:type="dxa" w:w="90"/>
              <w:bottom w:type="dxa" w:w="40"/>
              <w:right w:type="dxa" w:w="90"/>
            </w:tcMar>
            <w:vAlign w:val="center"/>
          </w:tcPr>
          <w:p>
            <w:r>
              <w:rPr>
                <w:sz w:val="16"/>
                <w:szCs w:val="16"/>
              </w:rPr>
              <w:t xml:space="preserve">04</w:t>
            </w:r>
          </w:p>
        </w:tc>
        <w:tc>
          <w:tcPr>
            <w:tcW w:type="dxa" w:w="3604"/>
            <w:shd w:fill="EAF3EE" w:val="clear"/>
            <w:tcMar>
              <w:top w:type="dxa" w:w="40"/>
              <w:left w:type="dxa" w:w="90"/>
              <w:bottom w:type="dxa" w:w="40"/>
              <w:right w:type="dxa" w:w="90"/>
            </w:tcMar>
            <w:vAlign w:val="center"/>
          </w:tcPr>
          <w:p>
            <w:r>
              <w:rPr>
                <w:sz w:val="16"/>
                <w:szCs w:val="16"/>
              </w:rPr>
              <w:t xml:space="preserve">WHATSAPP_CALL_ASSISTED</w:t>
            </w:r>
          </w:p>
        </w:tc>
        <w:tc>
          <w:tcPr>
            <w:tcW w:type="dxa" w:w="5724"/>
            <w:shd w:fill="EAF3EE" w:val="clear"/>
            <w:tcMar>
              <w:top w:type="dxa" w:w="40"/>
              <w:left w:type="dxa" w:w="90"/>
              <w:bottom w:type="dxa" w:w="40"/>
              <w:right w:type="dxa" w:w="90"/>
            </w:tcMar>
            <w:vAlign w:val="center"/>
          </w:tcPr>
          <w:p>
            <w:r>
              <w:rPr>
                <w:sz w:val="16"/>
                <w:szCs w:val="16"/>
              </w:rPr>
              <w:t xml:space="preserve">Interviewer-assisted via WhatsApp Call.</w:t>
            </w:r>
          </w:p>
        </w:tc>
      </w:tr>
      <w:tr>
        <w:tc>
          <w:tcPr>
            <w:tcW w:type="dxa" w:w="1272"/>
            <w:shd w:fill="FFFFFF" w:val="clear"/>
            <w:tcMar>
              <w:top w:type="dxa" w:w="40"/>
              <w:left w:type="dxa" w:w="90"/>
              <w:bottom w:type="dxa" w:w="40"/>
              <w:right w:type="dxa" w:w="90"/>
            </w:tcMar>
            <w:vAlign w:val="center"/>
          </w:tcPr>
          <w:p>
            <w:r>
              <w:rPr>
                <w:sz w:val="16"/>
                <w:szCs w:val="16"/>
              </w:rPr>
              <w:t xml:space="preserve">05</w:t>
            </w:r>
          </w:p>
        </w:tc>
        <w:tc>
          <w:tcPr>
            <w:tcW w:type="dxa" w:w="3604"/>
            <w:shd w:fill="FFFFFF" w:val="clear"/>
            <w:tcMar>
              <w:top w:type="dxa" w:w="40"/>
              <w:left w:type="dxa" w:w="90"/>
              <w:bottom w:type="dxa" w:w="40"/>
              <w:right w:type="dxa" w:w="90"/>
            </w:tcMar>
            <w:vAlign w:val="center"/>
          </w:tcPr>
          <w:p>
            <w:r>
              <w:rPr>
                <w:sz w:val="16"/>
                <w:szCs w:val="16"/>
              </w:rPr>
              <w:t xml:space="preserve">VIDEO_CALL_ASSISTED</w:t>
            </w:r>
          </w:p>
        </w:tc>
        <w:tc>
          <w:tcPr>
            <w:tcW w:type="dxa" w:w="5724"/>
            <w:shd w:fill="FFFFFF" w:val="clear"/>
            <w:tcMar>
              <w:top w:type="dxa" w:w="40"/>
              <w:left w:type="dxa" w:w="90"/>
              <w:bottom w:type="dxa" w:w="40"/>
              <w:right w:type="dxa" w:w="90"/>
            </w:tcMar>
            <w:vAlign w:val="center"/>
          </w:tcPr>
          <w:p>
            <w:r>
              <w:rPr>
                <w:sz w:val="16"/>
                <w:szCs w:val="16"/>
              </w:rPr>
              <w:t xml:space="preserve">Teams/Zoom/Meet or equivalent.</w:t>
            </w:r>
          </w:p>
        </w:tc>
      </w:tr>
      <w:tr>
        <w:tc>
          <w:tcPr>
            <w:tcW w:type="dxa" w:w="1272"/>
            <w:shd w:fill="EAF3EE" w:val="clear"/>
            <w:tcMar>
              <w:top w:type="dxa" w:w="40"/>
              <w:left w:type="dxa" w:w="90"/>
              <w:bottom w:type="dxa" w:w="40"/>
              <w:right w:type="dxa" w:w="90"/>
            </w:tcMar>
            <w:vAlign w:val="center"/>
          </w:tcPr>
          <w:p>
            <w:r>
              <w:rPr>
                <w:sz w:val="16"/>
                <w:szCs w:val="16"/>
              </w:rPr>
              <w:t xml:space="preserve">06</w:t>
            </w:r>
          </w:p>
        </w:tc>
        <w:tc>
          <w:tcPr>
            <w:tcW w:type="dxa" w:w="3604"/>
            <w:shd w:fill="EAF3EE" w:val="clear"/>
            <w:tcMar>
              <w:top w:type="dxa" w:w="40"/>
              <w:left w:type="dxa" w:w="90"/>
              <w:bottom w:type="dxa" w:w="40"/>
              <w:right w:type="dxa" w:w="90"/>
            </w:tcMar>
            <w:vAlign w:val="center"/>
          </w:tcPr>
          <w:p>
            <w:r>
              <w:rPr>
                <w:sz w:val="16"/>
                <w:szCs w:val="16"/>
              </w:rPr>
              <w:t xml:space="preserve">FACE_TO_FACE</w:t>
            </w:r>
          </w:p>
        </w:tc>
        <w:tc>
          <w:tcPr>
            <w:tcW w:type="dxa" w:w="5724"/>
            <w:shd w:fill="EAF3EE" w:val="clear"/>
            <w:tcMar>
              <w:top w:type="dxa" w:w="40"/>
              <w:left w:type="dxa" w:w="90"/>
              <w:bottom w:type="dxa" w:w="40"/>
              <w:right w:type="dxa" w:w="90"/>
            </w:tcMar>
            <w:vAlign w:val="center"/>
          </w:tcPr>
          <w:p>
            <w:r>
              <w:rPr>
                <w:sz w:val="16"/>
                <w:szCs w:val="16"/>
              </w:rPr>
              <w:t xml:space="preserve">Targeted contingency administration.</w:t>
            </w:r>
          </w:p>
        </w:tc>
      </w:tr>
    </w:tbl>
    <w:p>
      <w:pPr>
        <w:spacing w:after="70" w:before="160"/>
      </w:pPr>
      <w:r>
        <w:rPr>
          <w:b/>
          <w:bCs/>
          <w:color w:val="042A1E"/>
          <w:sz w:val="20"/>
          <w:szCs w:val="20"/>
        </w:rPr>
        <w:t xml:space="preserve">6.3 Synchronisation principle</w:t>
      </w:r>
    </w:p>
    <w:p>
      <w:pPr>
        <w:spacing w:after="110"/>
        <w:jc w:val="both"/>
      </w:pPr>
      <w:r>
        <w:rPr>
          <w:sz w:val="19"/>
          <w:szCs w:val="19"/>
        </w:rPr>
        <w:t xml:space="preserve">Scheduled API synchronisation is the primary operational pattern so the dashboard can reconcile newly submitted and subsequently edited records. A reconciliation job compares portal status with Kobo submission status and flags mismatches for the QUAN/Kobo QA RA.</w:t>
      </w:r>
    </w:p>
    <w:p>
      <w:pPr>
        <w:spacing w:after="70" w:before="160"/>
      </w:pPr>
      <w:r>
        <w:rPr>
          <w:b/>
          <w:bCs/>
          <w:color w:val="042A1E"/>
          <w:sz w:val="20"/>
          <w:szCs w:val="20"/>
        </w:rPr>
        <w:t xml:space="preserve">6.4 Why scheduled reconciliation, not webhook-only — NEW in v2.0</w:t>
      </w:r>
    </w:p>
    <w:p>
      <w:pPr>
        <w:pBdr>
          <w:left w:val="single" w:color="8A1F11" w:sz="16" w:space="6"/>
        </w:pBdr>
        <w:shd w:fill="FBEAE6" w:val="clear"/>
        <w:spacing w:after="100" w:before="40"/>
        <w:ind w:left="100"/>
      </w:pPr>
      <w:r>
        <w:rPr>
          <w:b/>
          <w:bCs/>
          <w:color w:val="5C0F04"/>
          <w:sz w:val="17"/>
          <w:szCs w:val="17"/>
        </w:rPr>
        <w:t xml:space="preserve">KoboToolbox's REST Services webhook fires only on new-submission creation. It does not fire when a submission is later edited — for example, an RA correcting a field after a phone-assisted session, or a respondent's own Kobo-side correction before final lock. This is documented Kobo behaviour, not an assumption, and it is the reason §6.3's scheduled-reconciliation design is correct — a webhook-only integration would silently miss every post-creation edit.</w:t>
      </w:r>
    </w:p>
    <w:p>
      <w:pPr>
        <w:spacing w:after="110"/>
        <w:jc w:val="both"/>
      </w:pPr>
      <w:r>
        <w:rPr>
          <w:sz w:val="19"/>
          <w:szCs w:val="19"/>
        </w:rPr>
        <w:t xml:space="preserve">Design consequence: the webhook is used only as a fast 'heads-up' signal to trigger an early reconciliation pull for that submission's asset. It is never trusted as the source of truth and never writes a submission record directly. The scheduled reconciliation pull is the actual source of truth, runs every 15 minutes during active fieldwork hours (every 60 minutes overnight — both configurable), and is logged on every run (new-submission count, updated-submission count, mismatches flagged) so reconciliation reliability itself is auditable.</w:t>
      </w:r>
    </w:p>
    <w:p>
      <w:pPr>
        <w:spacing w:after="110"/>
      </w:pPr>
      <w:r>
        <w:rPr>
          <w:i/>
          <w:iCs/>
          <w:color w:val="5A5A5A"/>
          <w:sz w:val="16"/>
          <w:szCs w:val="16"/>
        </w:rPr>
        <w:t xml:space="preserve">A developer must not 'simplify' this integration to webhook-only in a later iteration — doing so would silently drop every edited submission from QA. This constraint, and the test that proves it, is recorded in the accompanying docs/11_KOBOTOOLBOX_INTEGRATION.md and docs/22_TESTING_STRATEGY.md.</w:t>
      </w:r>
    </w:p>
    <w:p>
      <w:r>
        <w:br w:type="page"/>
      </w:r>
    </w:p>
    <w:p>
      <w:pPr>
        <w:pBdr>
          <w:bottom w:val="single" w:color="063D2B" w:sz="6" w:space="3"/>
        </w:pBdr>
        <w:spacing w:after="100" w:before="260"/>
      </w:pPr>
      <w:r>
        <w:rPr>
          <w:b/>
          <w:bCs/>
          <w:color w:val="063D2B"/>
          <w:sz w:val="25"/>
          <w:szCs w:val="25"/>
        </w:rPr>
        <w:t xml:space="preserve">7. Quantitative Sample and Reserve Control</w:t>
      </w:r>
    </w:p>
    <w:p>
      <w:pPr>
        <w:spacing w:after="110"/>
        <w:jc w:val="both"/>
      </w:pPr>
      <w:r>
        <w:rPr>
          <w:sz w:val="19"/>
          <w:szCs w:val="19"/>
        </w:rPr>
        <w:t xml:space="preserve">Sampling control is the most important portal safeguard. The database distinguishes Main and Reserve records at the system level, not merely by spreadsheet colour or user memory.</w:t>
      </w:r>
    </w:p>
    <w:p>
      <w:pPr>
        <w:spacing w:after="50"/>
        <w:ind w:left="220" w:hanging="160"/>
      </w:pPr>
      <w:r>
        <w:rPr>
          <w:b/>
          <w:bCs/>
          <w:sz w:val="18"/>
          <w:szCs w:val="18"/>
        </w:rPr>
        <w:t xml:space="preserve">•  </w:t>
      </w:r>
      <w:r>
        <w:rPr>
          <w:sz w:val="18"/>
          <w:szCs w:val="18"/>
        </w:rPr>
        <w:t xml:space="preserve">MAIN records can be verified, contacted and invited.</w:t>
      </w:r>
    </w:p>
    <w:p>
      <w:pPr>
        <w:spacing w:after="50"/>
        <w:ind w:left="220" w:hanging="160"/>
      </w:pPr>
      <w:r>
        <w:rPr>
          <w:b/>
          <w:bCs/>
          <w:sz w:val="18"/>
          <w:szCs w:val="18"/>
        </w:rPr>
        <w:t xml:space="preserve">•  </w:t>
      </w:r>
      <w:r>
        <w:rPr>
          <w:sz w:val="18"/>
          <w:szCs w:val="18"/>
        </w:rPr>
        <w:t xml:space="preserve">RESERVE records are visible only to authorised staff and cannot receive an invitation while locked — enforced in one shared service function every invitation-issuing code path must call, not re-implemented per screen.</w:t>
      </w:r>
    </w:p>
    <w:p>
      <w:pPr>
        <w:spacing w:after="50"/>
        <w:ind w:left="220" w:hanging="160"/>
      </w:pPr>
      <w:r>
        <w:rPr>
          <w:b/>
          <w:bCs/>
          <w:sz w:val="18"/>
          <w:szCs w:val="18"/>
        </w:rPr>
        <w:t xml:space="preserve">•  </w:t>
      </w:r>
      <w:r>
        <w:rPr>
          <w:sz w:val="18"/>
          <w:szCs w:val="18"/>
        </w:rPr>
        <w:t xml:space="preserve">Each Main record stores its matched Reserve_ID.</w:t>
      </w:r>
    </w:p>
    <w:p>
      <w:pPr>
        <w:spacing w:after="50"/>
        <w:ind w:left="220" w:hanging="160"/>
      </w:pPr>
      <w:r>
        <w:rPr>
          <w:b/>
          <w:bCs/>
          <w:sz w:val="18"/>
          <w:szCs w:val="18"/>
        </w:rPr>
        <w:t xml:space="preserve">•  </w:t>
      </w:r>
      <w:r>
        <w:rPr>
          <w:sz w:val="18"/>
          <w:szCs w:val="18"/>
        </w:rPr>
        <w:t xml:space="preserve">Reserve activation requires an authorised reason: ineligible, inactive, duplicate, refusal, or nonresponse after the approved follow-up sequence.</w:t>
      </w:r>
    </w:p>
    <w:p>
      <w:pPr>
        <w:spacing w:after="50"/>
        <w:ind w:left="220" w:hanging="160"/>
      </w:pPr>
      <w:r>
        <w:rPr>
          <w:b/>
          <w:bCs/>
          <w:sz w:val="18"/>
          <w:szCs w:val="18"/>
        </w:rPr>
        <w:t xml:space="preserve">•  </w:t>
      </w:r>
      <w:r>
        <w:rPr>
          <w:sz w:val="18"/>
          <w:szCs w:val="18"/>
        </w:rPr>
        <w:t xml:space="preserve">The system records who activated the reserve, when, the reason, evidence/reference and the Main case replaced.</w:t>
      </w:r>
    </w:p>
    <w:p>
      <w:pPr>
        <w:spacing w:after="50"/>
        <w:ind w:left="220" w:hanging="160"/>
      </w:pPr>
      <w:r>
        <w:rPr>
          <w:b/>
          <w:bCs/>
          <w:sz w:val="18"/>
          <w:szCs w:val="18"/>
        </w:rPr>
        <w:t xml:space="preserve">•  </w:t>
      </w:r>
      <w:r>
        <w:rPr>
          <w:sz w:val="18"/>
          <w:szCs w:val="18"/>
        </w:rPr>
        <w:t xml:space="preserve">Convenience replacement, geographic substitution or replacing a difficult respondent merely because a reserve is easier to contact is blocked by policy and interface design — there is no free-text 'other' reason that could be used to route around the five authorised reasons.</w:t>
      </w:r>
    </w:p>
    <w:p>
      <w:pPr>
        <w:pBdr>
          <w:bottom w:val="single" w:color="063D2B" w:sz="6" w:space="3"/>
        </w:pBdr>
        <w:spacing w:after="100" w:before="260"/>
      </w:pPr>
      <w:r>
        <w:rPr>
          <w:b/>
          <w:bCs/>
          <w:color w:val="063D2B"/>
          <w:sz w:val="25"/>
          <w:szCs w:val="25"/>
        </w:rPr>
        <w:t xml:space="preserve">8. Workflow Status Engine</w:t>
      </w:r>
    </w:p>
    <w:p>
      <w:pPr>
        <w:spacing w:after="110"/>
        <w:jc w:val="both"/>
      </w:pPr>
      <w:r>
        <w:rPr>
          <w:sz w:val="19"/>
          <w:szCs w:val="19"/>
        </w:rPr>
        <w:t xml:space="preserve">Each Main organisation has one unambiguous operational status, implemented as a database enum with an explicit state-transition table (invalid transitions are rejected and logged), not a free-text field:</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005"/>
        <w:gridCol w:w="8595"/>
      </w:tblGrid>
      <w:tr>
        <w:trPr>
          <w:tblHeader/>
        </w:trPr>
        <w:tc>
          <w:tcPr>
            <w:tcW w:type="dxa" w:w="2005"/>
            <w:shd w:fill="063D2B" w:val="clear"/>
            <w:tcMar>
              <w:top w:type="dxa" w:w="35"/>
              <w:left w:type="dxa" w:w="90"/>
              <w:bottom w:type="dxa" w:w="35"/>
              <w:right w:type="dxa" w:w="90"/>
            </w:tcMar>
            <w:vAlign w:val="center"/>
          </w:tcPr>
          <w:p>
            <w:r>
              <w:rPr>
                <w:b/>
                <w:bCs/>
                <w:color w:val="FFFFFF"/>
                <w:sz w:val="15"/>
                <w:szCs w:val="15"/>
              </w:rPr>
              <w:t xml:space="preserve">Code</w:t>
            </w:r>
          </w:p>
        </w:tc>
        <w:tc>
          <w:tcPr>
            <w:tcW w:type="dxa" w:w="8595"/>
            <w:shd w:fill="063D2B" w:val="clear"/>
            <w:tcMar>
              <w:top w:type="dxa" w:w="35"/>
              <w:left w:type="dxa" w:w="90"/>
              <w:bottom w:type="dxa" w:w="35"/>
              <w:right w:type="dxa" w:w="90"/>
            </w:tcMar>
            <w:vAlign w:val="center"/>
          </w:tcPr>
          <w:p>
            <w:r>
              <w:rPr>
                <w:b/>
                <w:bCs/>
                <w:color w:val="FFFFFF"/>
                <w:sz w:val="15"/>
                <w:szCs w:val="15"/>
              </w:rPr>
              <w:t xml:space="preserve">Status</w:t>
            </w:r>
          </w:p>
        </w:tc>
      </w:tr>
      <w:tr>
        <w:tc>
          <w:tcPr>
            <w:tcW w:type="dxa" w:w="2005"/>
            <w:shd w:fill="FFFFFF" w:val="clear"/>
            <w:tcMar>
              <w:top w:type="dxa" w:w="35"/>
              <w:left w:type="dxa" w:w="90"/>
              <w:bottom w:type="dxa" w:w="35"/>
              <w:right w:type="dxa" w:w="90"/>
            </w:tcMar>
            <w:vAlign w:val="center"/>
          </w:tcPr>
          <w:p>
            <w:r>
              <w:rPr>
                <w:sz w:val="15"/>
                <w:szCs w:val="15"/>
              </w:rPr>
              <w:t xml:space="preserve">S00</w:t>
            </w:r>
          </w:p>
        </w:tc>
        <w:tc>
          <w:tcPr>
            <w:tcW w:type="dxa" w:w="8595"/>
            <w:shd w:fill="FFFFFF" w:val="clear"/>
            <w:tcMar>
              <w:top w:type="dxa" w:w="35"/>
              <w:left w:type="dxa" w:w="90"/>
              <w:bottom w:type="dxa" w:w="35"/>
              <w:right w:type="dxa" w:w="90"/>
            </w:tcMar>
            <w:vAlign w:val="center"/>
          </w:tcPr>
          <w:p>
            <w:r>
              <w:rPr>
                <w:sz w:val="15"/>
                <w:szCs w:val="15"/>
              </w:rPr>
              <w:t xml:space="preserve">Selected Main</w:t>
            </w:r>
          </w:p>
        </w:tc>
      </w:tr>
      <w:tr>
        <w:tc>
          <w:tcPr>
            <w:tcW w:type="dxa" w:w="2005"/>
            <w:shd w:fill="EAF3EE" w:val="clear"/>
            <w:tcMar>
              <w:top w:type="dxa" w:w="35"/>
              <w:left w:type="dxa" w:w="90"/>
              <w:bottom w:type="dxa" w:w="35"/>
              <w:right w:type="dxa" w:w="90"/>
            </w:tcMar>
            <w:vAlign w:val="center"/>
          </w:tcPr>
          <w:p>
            <w:r>
              <w:rPr>
                <w:sz w:val="15"/>
                <w:szCs w:val="15"/>
              </w:rPr>
              <w:t xml:space="preserve">S01</w:t>
            </w:r>
          </w:p>
        </w:tc>
        <w:tc>
          <w:tcPr>
            <w:tcW w:type="dxa" w:w="8595"/>
            <w:shd w:fill="EAF3EE" w:val="clear"/>
            <w:tcMar>
              <w:top w:type="dxa" w:w="35"/>
              <w:left w:type="dxa" w:w="90"/>
              <w:bottom w:type="dxa" w:w="35"/>
              <w:right w:type="dxa" w:w="90"/>
            </w:tcMar>
            <w:vAlign w:val="center"/>
          </w:tcPr>
          <w:p>
            <w:r>
              <w:rPr>
                <w:sz w:val="15"/>
                <w:szCs w:val="15"/>
              </w:rPr>
              <w:t xml:space="preserve">Verification required</w:t>
            </w:r>
          </w:p>
        </w:tc>
      </w:tr>
      <w:tr>
        <w:tc>
          <w:tcPr>
            <w:tcW w:type="dxa" w:w="2005"/>
            <w:shd w:fill="FFFFFF" w:val="clear"/>
            <w:tcMar>
              <w:top w:type="dxa" w:w="35"/>
              <w:left w:type="dxa" w:w="90"/>
              <w:bottom w:type="dxa" w:w="35"/>
              <w:right w:type="dxa" w:w="90"/>
            </w:tcMar>
            <w:vAlign w:val="center"/>
          </w:tcPr>
          <w:p>
            <w:r>
              <w:rPr>
                <w:sz w:val="15"/>
                <w:szCs w:val="15"/>
              </w:rPr>
              <w:t xml:space="preserve">S02</w:t>
            </w:r>
          </w:p>
        </w:tc>
        <w:tc>
          <w:tcPr>
            <w:tcW w:type="dxa" w:w="8595"/>
            <w:shd w:fill="FFFFFF" w:val="clear"/>
            <w:tcMar>
              <w:top w:type="dxa" w:w="35"/>
              <w:left w:type="dxa" w:w="90"/>
              <w:bottom w:type="dxa" w:w="35"/>
              <w:right w:type="dxa" w:w="90"/>
            </w:tcMar>
            <w:vAlign w:val="center"/>
          </w:tcPr>
          <w:p>
            <w:r>
              <w:rPr>
                <w:sz w:val="15"/>
                <w:szCs w:val="15"/>
              </w:rPr>
              <w:t xml:space="preserve">Organisation verified</w:t>
            </w:r>
          </w:p>
        </w:tc>
      </w:tr>
      <w:tr>
        <w:tc>
          <w:tcPr>
            <w:tcW w:type="dxa" w:w="2005"/>
            <w:shd w:fill="EAF3EE" w:val="clear"/>
            <w:tcMar>
              <w:top w:type="dxa" w:w="35"/>
              <w:left w:type="dxa" w:w="90"/>
              <w:bottom w:type="dxa" w:w="35"/>
              <w:right w:type="dxa" w:w="90"/>
            </w:tcMar>
            <w:vAlign w:val="center"/>
          </w:tcPr>
          <w:p>
            <w:r>
              <w:rPr>
                <w:sz w:val="15"/>
                <w:szCs w:val="15"/>
              </w:rPr>
              <w:t xml:space="preserve">S03</w:t>
            </w:r>
          </w:p>
        </w:tc>
        <w:tc>
          <w:tcPr>
            <w:tcW w:type="dxa" w:w="8595"/>
            <w:shd w:fill="EAF3EE" w:val="clear"/>
            <w:tcMar>
              <w:top w:type="dxa" w:w="35"/>
              <w:left w:type="dxa" w:w="90"/>
              <w:bottom w:type="dxa" w:w="35"/>
              <w:right w:type="dxa" w:w="90"/>
            </w:tcMar>
            <w:vAlign w:val="center"/>
          </w:tcPr>
          <w:p>
            <w:r>
              <w:rPr>
                <w:sz w:val="15"/>
                <w:szCs w:val="15"/>
              </w:rPr>
              <w:t xml:space="preserve">Eligible respondent identified</w:t>
            </w:r>
          </w:p>
        </w:tc>
      </w:tr>
      <w:tr>
        <w:tc>
          <w:tcPr>
            <w:tcW w:type="dxa" w:w="2005"/>
            <w:shd w:fill="FFFFFF" w:val="clear"/>
            <w:tcMar>
              <w:top w:type="dxa" w:w="35"/>
              <w:left w:type="dxa" w:w="90"/>
              <w:bottom w:type="dxa" w:w="35"/>
              <w:right w:type="dxa" w:w="90"/>
            </w:tcMar>
            <w:vAlign w:val="center"/>
          </w:tcPr>
          <w:p>
            <w:r>
              <w:rPr>
                <w:sz w:val="15"/>
                <w:szCs w:val="15"/>
              </w:rPr>
              <w:t xml:space="preserve">S04</w:t>
            </w:r>
          </w:p>
        </w:tc>
        <w:tc>
          <w:tcPr>
            <w:tcW w:type="dxa" w:w="8595"/>
            <w:shd w:fill="FFFFFF" w:val="clear"/>
            <w:tcMar>
              <w:top w:type="dxa" w:w="35"/>
              <w:left w:type="dxa" w:w="90"/>
              <w:bottom w:type="dxa" w:w="35"/>
              <w:right w:type="dxa" w:w="90"/>
            </w:tcMar>
            <w:vAlign w:val="center"/>
          </w:tcPr>
          <w:p>
            <w:r>
              <w:rPr>
                <w:sz w:val="15"/>
                <w:szCs w:val="15"/>
              </w:rPr>
              <w:t xml:space="preserve">Invitation prepared</w:t>
            </w:r>
          </w:p>
        </w:tc>
      </w:tr>
      <w:tr>
        <w:tc>
          <w:tcPr>
            <w:tcW w:type="dxa" w:w="2005"/>
            <w:shd w:fill="EAF3EE" w:val="clear"/>
            <w:tcMar>
              <w:top w:type="dxa" w:w="35"/>
              <w:left w:type="dxa" w:w="90"/>
              <w:bottom w:type="dxa" w:w="35"/>
              <w:right w:type="dxa" w:w="90"/>
            </w:tcMar>
            <w:vAlign w:val="center"/>
          </w:tcPr>
          <w:p>
            <w:r>
              <w:rPr>
                <w:sz w:val="15"/>
                <w:szCs w:val="15"/>
              </w:rPr>
              <w:t xml:space="preserve">S05</w:t>
            </w:r>
          </w:p>
        </w:tc>
        <w:tc>
          <w:tcPr>
            <w:tcW w:type="dxa" w:w="8595"/>
            <w:shd w:fill="EAF3EE" w:val="clear"/>
            <w:tcMar>
              <w:top w:type="dxa" w:w="35"/>
              <w:left w:type="dxa" w:w="90"/>
              <w:bottom w:type="dxa" w:w="35"/>
              <w:right w:type="dxa" w:w="90"/>
            </w:tcMar>
            <w:vAlign w:val="center"/>
          </w:tcPr>
          <w:p>
            <w:r>
              <w:rPr>
                <w:sz w:val="15"/>
                <w:szCs w:val="15"/>
              </w:rPr>
              <w:t xml:space="preserve">Invitation sent</w:t>
            </w:r>
          </w:p>
        </w:tc>
      </w:tr>
      <w:tr>
        <w:tc>
          <w:tcPr>
            <w:tcW w:type="dxa" w:w="2005"/>
            <w:shd w:fill="FFFFFF" w:val="clear"/>
            <w:tcMar>
              <w:top w:type="dxa" w:w="35"/>
              <w:left w:type="dxa" w:w="90"/>
              <w:bottom w:type="dxa" w:w="35"/>
              <w:right w:type="dxa" w:w="90"/>
            </w:tcMar>
            <w:vAlign w:val="center"/>
          </w:tcPr>
          <w:p>
            <w:r>
              <w:rPr>
                <w:sz w:val="15"/>
                <w:szCs w:val="15"/>
              </w:rPr>
              <w:t xml:space="preserve">S06</w:t>
            </w:r>
          </w:p>
        </w:tc>
        <w:tc>
          <w:tcPr>
            <w:tcW w:type="dxa" w:w="8595"/>
            <w:shd w:fill="FFFFFF" w:val="clear"/>
            <w:tcMar>
              <w:top w:type="dxa" w:w="35"/>
              <w:left w:type="dxa" w:w="90"/>
              <w:bottom w:type="dxa" w:w="35"/>
              <w:right w:type="dxa" w:w="90"/>
            </w:tcMar>
            <w:vAlign w:val="center"/>
          </w:tcPr>
          <w:p>
            <w:r>
              <w:rPr>
                <w:sz w:val="15"/>
                <w:szCs w:val="15"/>
              </w:rPr>
              <w:t xml:space="preserve">Invitation opened</w:t>
            </w:r>
          </w:p>
        </w:tc>
      </w:tr>
      <w:tr>
        <w:tc>
          <w:tcPr>
            <w:tcW w:type="dxa" w:w="2005"/>
            <w:shd w:fill="EAF3EE" w:val="clear"/>
            <w:tcMar>
              <w:top w:type="dxa" w:w="35"/>
              <w:left w:type="dxa" w:w="90"/>
              <w:bottom w:type="dxa" w:w="35"/>
              <w:right w:type="dxa" w:w="90"/>
            </w:tcMar>
            <w:vAlign w:val="center"/>
          </w:tcPr>
          <w:p>
            <w:r>
              <w:rPr>
                <w:sz w:val="15"/>
                <w:szCs w:val="15"/>
              </w:rPr>
              <w:t xml:space="preserve">S07</w:t>
            </w:r>
          </w:p>
        </w:tc>
        <w:tc>
          <w:tcPr>
            <w:tcW w:type="dxa" w:w="8595"/>
            <w:shd w:fill="EAF3EE" w:val="clear"/>
            <w:tcMar>
              <w:top w:type="dxa" w:w="35"/>
              <w:left w:type="dxa" w:w="90"/>
              <w:bottom w:type="dxa" w:w="35"/>
              <w:right w:type="dxa" w:w="90"/>
            </w:tcMar>
            <w:vAlign w:val="center"/>
          </w:tcPr>
          <w:p>
            <w:r>
              <w:rPr>
                <w:sz w:val="15"/>
                <w:szCs w:val="15"/>
              </w:rPr>
              <w:t xml:space="preserve">Survey started</w:t>
            </w:r>
          </w:p>
        </w:tc>
      </w:tr>
      <w:tr>
        <w:tc>
          <w:tcPr>
            <w:tcW w:type="dxa" w:w="2005"/>
            <w:shd w:fill="FFFFFF" w:val="clear"/>
            <w:tcMar>
              <w:top w:type="dxa" w:w="35"/>
              <w:left w:type="dxa" w:w="90"/>
              <w:bottom w:type="dxa" w:w="35"/>
              <w:right w:type="dxa" w:w="90"/>
            </w:tcMar>
            <w:vAlign w:val="center"/>
          </w:tcPr>
          <w:p>
            <w:r>
              <w:rPr>
                <w:sz w:val="15"/>
                <w:szCs w:val="15"/>
              </w:rPr>
              <w:t xml:space="preserve">S08</w:t>
            </w:r>
          </w:p>
        </w:tc>
        <w:tc>
          <w:tcPr>
            <w:tcW w:type="dxa" w:w="8595"/>
            <w:shd w:fill="FFFFFF" w:val="clear"/>
            <w:tcMar>
              <w:top w:type="dxa" w:w="35"/>
              <w:left w:type="dxa" w:w="90"/>
              <w:bottom w:type="dxa" w:w="35"/>
              <w:right w:type="dxa" w:w="90"/>
            </w:tcMar>
            <w:vAlign w:val="center"/>
          </w:tcPr>
          <w:p>
            <w:r>
              <w:rPr>
                <w:sz w:val="15"/>
                <w:szCs w:val="15"/>
              </w:rPr>
              <w:t xml:space="preserve">Survey submitted</w:t>
            </w:r>
          </w:p>
        </w:tc>
      </w:tr>
      <w:tr>
        <w:tc>
          <w:tcPr>
            <w:tcW w:type="dxa" w:w="2005"/>
            <w:shd w:fill="EAF3EE" w:val="clear"/>
            <w:tcMar>
              <w:top w:type="dxa" w:w="35"/>
              <w:left w:type="dxa" w:w="90"/>
              <w:bottom w:type="dxa" w:w="35"/>
              <w:right w:type="dxa" w:w="90"/>
            </w:tcMar>
            <w:vAlign w:val="center"/>
          </w:tcPr>
          <w:p>
            <w:r>
              <w:rPr>
                <w:sz w:val="15"/>
                <w:szCs w:val="15"/>
              </w:rPr>
              <w:t xml:space="preserve">S09</w:t>
            </w:r>
          </w:p>
        </w:tc>
        <w:tc>
          <w:tcPr>
            <w:tcW w:type="dxa" w:w="8595"/>
            <w:shd w:fill="EAF3EE" w:val="clear"/>
            <w:tcMar>
              <w:top w:type="dxa" w:w="35"/>
              <w:left w:type="dxa" w:w="90"/>
              <w:bottom w:type="dxa" w:w="35"/>
              <w:right w:type="dxa" w:w="90"/>
            </w:tcMar>
            <w:vAlign w:val="center"/>
          </w:tcPr>
          <w:p>
            <w:r>
              <w:rPr>
                <w:sz w:val="15"/>
                <w:szCs w:val="15"/>
              </w:rPr>
              <w:t xml:space="preserve">QA query</w:t>
            </w:r>
          </w:p>
        </w:tc>
      </w:tr>
      <w:tr>
        <w:tc>
          <w:tcPr>
            <w:tcW w:type="dxa" w:w="2005"/>
            <w:shd w:fill="FFFFFF" w:val="clear"/>
            <w:tcMar>
              <w:top w:type="dxa" w:w="35"/>
              <w:left w:type="dxa" w:w="90"/>
              <w:bottom w:type="dxa" w:w="35"/>
              <w:right w:type="dxa" w:w="90"/>
            </w:tcMar>
            <w:vAlign w:val="center"/>
          </w:tcPr>
          <w:p>
            <w:r>
              <w:rPr>
                <w:sz w:val="15"/>
                <w:szCs w:val="15"/>
              </w:rPr>
              <w:t xml:space="preserve">S10</w:t>
            </w:r>
          </w:p>
        </w:tc>
        <w:tc>
          <w:tcPr>
            <w:tcW w:type="dxa" w:w="8595"/>
            <w:shd w:fill="FFFFFF" w:val="clear"/>
            <w:tcMar>
              <w:top w:type="dxa" w:w="35"/>
              <w:left w:type="dxa" w:w="90"/>
              <w:bottom w:type="dxa" w:w="35"/>
              <w:right w:type="dxa" w:w="90"/>
            </w:tcMar>
            <w:vAlign w:val="center"/>
          </w:tcPr>
          <w:p>
            <w:r>
              <w:rPr>
                <w:sz w:val="15"/>
                <w:szCs w:val="15"/>
              </w:rPr>
              <w:t xml:space="preserve">QA passed</w:t>
            </w:r>
          </w:p>
        </w:tc>
      </w:tr>
      <w:tr>
        <w:tc>
          <w:tcPr>
            <w:tcW w:type="dxa" w:w="2005"/>
            <w:shd w:fill="EAF3EE" w:val="clear"/>
            <w:tcMar>
              <w:top w:type="dxa" w:w="35"/>
              <w:left w:type="dxa" w:w="90"/>
              <w:bottom w:type="dxa" w:w="35"/>
              <w:right w:type="dxa" w:w="90"/>
            </w:tcMar>
            <w:vAlign w:val="center"/>
          </w:tcPr>
          <w:p>
            <w:r>
              <w:rPr>
                <w:sz w:val="15"/>
                <w:szCs w:val="15"/>
              </w:rPr>
              <w:t xml:space="preserve">S11</w:t>
            </w:r>
          </w:p>
        </w:tc>
        <w:tc>
          <w:tcPr>
            <w:tcW w:type="dxa" w:w="8595"/>
            <w:shd w:fill="EAF3EE" w:val="clear"/>
            <w:tcMar>
              <w:top w:type="dxa" w:w="35"/>
              <w:left w:type="dxa" w:w="90"/>
              <w:bottom w:type="dxa" w:w="35"/>
              <w:right w:type="dxa" w:w="90"/>
            </w:tcMar>
            <w:vAlign w:val="center"/>
          </w:tcPr>
          <w:p>
            <w:r>
              <w:rPr>
                <w:sz w:val="15"/>
                <w:szCs w:val="15"/>
              </w:rPr>
              <w:t xml:space="preserve">Completed</w:t>
            </w:r>
          </w:p>
        </w:tc>
      </w:tr>
      <w:tr>
        <w:tc>
          <w:tcPr>
            <w:tcW w:type="dxa" w:w="2005"/>
            <w:shd w:fill="FFFFFF" w:val="clear"/>
            <w:tcMar>
              <w:top w:type="dxa" w:w="35"/>
              <w:left w:type="dxa" w:w="90"/>
              <w:bottom w:type="dxa" w:w="35"/>
              <w:right w:type="dxa" w:w="90"/>
            </w:tcMar>
            <w:vAlign w:val="center"/>
          </w:tcPr>
          <w:p>
            <w:r>
              <w:rPr>
                <w:sz w:val="15"/>
                <w:szCs w:val="15"/>
              </w:rPr>
              <w:t xml:space="preserve">S12</w:t>
            </w:r>
          </w:p>
        </w:tc>
        <w:tc>
          <w:tcPr>
            <w:tcW w:type="dxa" w:w="8595"/>
            <w:shd w:fill="FFFFFF" w:val="clear"/>
            <w:tcMar>
              <w:top w:type="dxa" w:w="35"/>
              <w:left w:type="dxa" w:w="90"/>
              <w:bottom w:type="dxa" w:w="35"/>
              <w:right w:type="dxa" w:w="90"/>
            </w:tcMar>
            <w:vAlign w:val="center"/>
          </w:tcPr>
          <w:p>
            <w:r>
              <w:rPr>
                <w:sz w:val="15"/>
                <w:szCs w:val="15"/>
              </w:rPr>
              <w:t xml:space="preserve">Refused</w:t>
            </w:r>
          </w:p>
        </w:tc>
      </w:tr>
      <w:tr>
        <w:tc>
          <w:tcPr>
            <w:tcW w:type="dxa" w:w="2005"/>
            <w:shd w:fill="EAF3EE" w:val="clear"/>
            <w:tcMar>
              <w:top w:type="dxa" w:w="35"/>
              <w:left w:type="dxa" w:w="90"/>
              <w:bottom w:type="dxa" w:w="35"/>
              <w:right w:type="dxa" w:w="90"/>
            </w:tcMar>
            <w:vAlign w:val="center"/>
          </w:tcPr>
          <w:p>
            <w:r>
              <w:rPr>
                <w:sz w:val="15"/>
                <w:szCs w:val="15"/>
              </w:rPr>
              <w:t xml:space="preserve">S13</w:t>
            </w:r>
          </w:p>
        </w:tc>
        <w:tc>
          <w:tcPr>
            <w:tcW w:type="dxa" w:w="8595"/>
            <w:shd w:fill="EAF3EE" w:val="clear"/>
            <w:tcMar>
              <w:top w:type="dxa" w:w="35"/>
              <w:left w:type="dxa" w:w="90"/>
              <w:bottom w:type="dxa" w:w="35"/>
              <w:right w:type="dxa" w:w="90"/>
            </w:tcMar>
            <w:vAlign w:val="center"/>
          </w:tcPr>
          <w:p>
            <w:r>
              <w:rPr>
                <w:sz w:val="15"/>
                <w:szCs w:val="15"/>
              </w:rPr>
              <w:t xml:space="preserve">Nonresponse</w:t>
            </w:r>
          </w:p>
        </w:tc>
      </w:tr>
      <w:tr>
        <w:tc>
          <w:tcPr>
            <w:tcW w:type="dxa" w:w="2005"/>
            <w:shd w:fill="FFFFFF" w:val="clear"/>
            <w:tcMar>
              <w:top w:type="dxa" w:w="35"/>
              <w:left w:type="dxa" w:w="90"/>
              <w:bottom w:type="dxa" w:w="35"/>
              <w:right w:type="dxa" w:w="90"/>
            </w:tcMar>
            <w:vAlign w:val="center"/>
          </w:tcPr>
          <w:p>
            <w:r>
              <w:rPr>
                <w:sz w:val="15"/>
                <w:szCs w:val="15"/>
              </w:rPr>
              <w:t xml:space="preserve">S14</w:t>
            </w:r>
          </w:p>
        </w:tc>
        <w:tc>
          <w:tcPr>
            <w:tcW w:type="dxa" w:w="8595"/>
            <w:shd w:fill="FFFFFF" w:val="clear"/>
            <w:tcMar>
              <w:top w:type="dxa" w:w="35"/>
              <w:left w:type="dxa" w:w="90"/>
              <w:bottom w:type="dxa" w:w="35"/>
              <w:right w:type="dxa" w:w="90"/>
            </w:tcMar>
            <w:vAlign w:val="center"/>
          </w:tcPr>
          <w:p>
            <w:r>
              <w:rPr>
                <w:sz w:val="15"/>
                <w:szCs w:val="15"/>
              </w:rPr>
              <w:t xml:space="preserve">Ineligible</w:t>
            </w:r>
          </w:p>
        </w:tc>
      </w:tr>
      <w:tr>
        <w:tc>
          <w:tcPr>
            <w:tcW w:type="dxa" w:w="2005"/>
            <w:shd w:fill="EAF3EE" w:val="clear"/>
            <w:tcMar>
              <w:top w:type="dxa" w:w="35"/>
              <w:left w:type="dxa" w:w="90"/>
              <w:bottom w:type="dxa" w:w="35"/>
              <w:right w:type="dxa" w:w="90"/>
            </w:tcMar>
            <w:vAlign w:val="center"/>
          </w:tcPr>
          <w:p>
            <w:r>
              <w:rPr>
                <w:sz w:val="15"/>
                <w:szCs w:val="15"/>
              </w:rPr>
              <w:t xml:space="preserve">S15</w:t>
            </w:r>
          </w:p>
        </w:tc>
        <w:tc>
          <w:tcPr>
            <w:tcW w:type="dxa" w:w="8595"/>
            <w:shd w:fill="EAF3EE" w:val="clear"/>
            <w:tcMar>
              <w:top w:type="dxa" w:w="35"/>
              <w:left w:type="dxa" w:w="90"/>
              <w:bottom w:type="dxa" w:w="35"/>
              <w:right w:type="dxa" w:w="90"/>
            </w:tcMar>
            <w:vAlign w:val="center"/>
          </w:tcPr>
          <w:p>
            <w:r>
              <w:rPr>
                <w:sz w:val="15"/>
                <w:szCs w:val="15"/>
              </w:rPr>
              <w:t xml:space="preserve">Duplicate/inactive</w:t>
            </w:r>
          </w:p>
        </w:tc>
      </w:tr>
      <w:tr>
        <w:tc>
          <w:tcPr>
            <w:tcW w:type="dxa" w:w="2005"/>
            <w:shd w:fill="FFFFFF" w:val="clear"/>
            <w:tcMar>
              <w:top w:type="dxa" w:w="35"/>
              <w:left w:type="dxa" w:w="90"/>
              <w:bottom w:type="dxa" w:w="35"/>
              <w:right w:type="dxa" w:w="90"/>
            </w:tcMar>
            <w:vAlign w:val="center"/>
          </w:tcPr>
          <w:p>
            <w:r>
              <w:rPr>
                <w:sz w:val="15"/>
                <w:szCs w:val="15"/>
              </w:rPr>
              <w:t xml:space="preserve">S16</w:t>
            </w:r>
          </w:p>
        </w:tc>
        <w:tc>
          <w:tcPr>
            <w:tcW w:type="dxa" w:w="8595"/>
            <w:shd w:fill="FFFFFF" w:val="clear"/>
            <w:tcMar>
              <w:top w:type="dxa" w:w="35"/>
              <w:left w:type="dxa" w:w="90"/>
              <w:bottom w:type="dxa" w:w="35"/>
              <w:right w:type="dxa" w:w="90"/>
            </w:tcMar>
            <w:vAlign w:val="center"/>
          </w:tcPr>
          <w:p>
            <w:r>
              <w:rPr>
                <w:sz w:val="15"/>
                <w:szCs w:val="15"/>
              </w:rPr>
              <w:t xml:space="preserve">Reserve eligible for activation</w:t>
            </w:r>
          </w:p>
        </w:tc>
      </w:tr>
    </w:tbl>
    <w:p>
      <w:pPr>
        <w:pBdr>
          <w:bottom w:val="single" w:color="063D2B" w:sz="6" w:space="3"/>
        </w:pBdr>
        <w:spacing w:after="100" w:before="260"/>
      </w:pPr>
      <w:r>
        <w:rPr>
          <w:b/>
          <w:bCs/>
          <w:color w:val="063D2B"/>
          <w:sz w:val="25"/>
          <w:szCs w:val="25"/>
        </w:rPr>
        <w:t xml:space="preserve">9. Contact, Follow-Up and Appointment Module</w:t>
      </w:r>
    </w:p>
    <w:p>
      <w:pPr>
        <w:spacing w:after="110"/>
        <w:jc w:val="both"/>
      </w:pPr>
      <w:r>
        <w:rPr>
          <w:sz w:val="19"/>
          <w:szCs w:val="19"/>
        </w:rPr>
        <w:t xml:space="preserve">The portal functions as a lightweight research CRM. It holds only the contact information needed for study operations and creates a complete contact-attempt audit trail.</w:t>
      </w:r>
    </w:p>
    <w:p>
      <w:pPr>
        <w:spacing w:after="70" w:before="160"/>
      </w:pPr>
      <w:r>
        <w:rPr>
          <w:b/>
          <w:bCs/>
          <w:color w:val="042A1E"/>
          <w:sz w:val="20"/>
          <w:szCs w:val="20"/>
        </w:rPr>
        <w:t xml:space="preserve">9.1 Fields</w:t>
      </w:r>
    </w:p>
    <w:p>
      <w:pPr>
        <w:spacing w:after="50"/>
        <w:ind w:left="220" w:hanging="160"/>
      </w:pPr>
      <w:r>
        <w:rPr>
          <w:b/>
          <w:bCs/>
          <w:sz w:val="18"/>
          <w:szCs w:val="18"/>
        </w:rPr>
        <w:t xml:space="preserve">•  </w:t>
      </w:r>
      <w:r>
        <w:rPr>
          <w:sz w:val="18"/>
          <w:szCs w:val="18"/>
        </w:rPr>
        <w:t xml:space="preserve">Named respondent and exact role.</w:t>
      </w:r>
    </w:p>
    <w:p>
      <w:pPr>
        <w:spacing w:after="50"/>
        <w:ind w:left="220" w:hanging="160"/>
      </w:pPr>
      <w:r>
        <w:rPr>
          <w:b/>
          <w:bCs/>
          <w:sz w:val="18"/>
          <w:szCs w:val="18"/>
        </w:rPr>
        <w:t xml:space="preserve">•  </w:t>
      </w:r>
      <w:r>
        <w:rPr>
          <w:sz w:val="18"/>
          <w:szCs w:val="18"/>
        </w:rPr>
        <w:t xml:space="preserve">Professional email and telephone/WhatsApp number.</w:t>
      </w:r>
    </w:p>
    <w:p>
      <w:pPr>
        <w:spacing w:after="50"/>
        <w:ind w:left="220" w:hanging="160"/>
      </w:pPr>
      <w:r>
        <w:rPr>
          <w:b/>
          <w:bCs/>
          <w:sz w:val="18"/>
          <w:szCs w:val="18"/>
        </w:rPr>
        <w:t xml:space="preserve">•  </w:t>
      </w:r>
      <w:r>
        <w:rPr>
          <w:sz w:val="18"/>
          <w:szCs w:val="18"/>
        </w:rPr>
        <w:t xml:space="preserve">Gatekeeper name, office and contact details.</w:t>
      </w:r>
    </w:p>
    <w:p>
      <w:pPr>
        <w:spacing w:after="50"/>
        <w:ind w:left="220" w:hanging="160"/>
      </w:pPr>
      <w:r>
        <w:rPr>
          <w:b/>
          <w:bCs/>
          <w:sz w:val="18"/>
          <w:szCs w:val="18"/>
        </w:rPr>
        <w:t xml:space="preserve">•  </w:t>
      </w:r>
      <w:r>
        <w:rPr>
          <w:sz w:val="18"/>
          <w:szCs w:val="18"/>
        </w:rPr>
        <w:t xml:space="preserve">Primary and backup access route.</w:t>
      </w:r>
    </w:p>
    <w:p>
      <w:pPr>
        <w:spacing w:after="50"/>
        <w:ind w:left="220" w:hanging="160"/>
      </w:pPr>
      <w:r>
        <w:rPr>
          <w:b/>
          <w:bCs/>
          <w:sz w:val="18"/>
          <w:szCs w:val="18"/>
        </w:rPr>
        <w:t xml:space="preserve">•  </w:t>
      </w:r>
      <w:r>
        <w:rPr>
          <w:sz w:val="18"/>
          <w:szCs w:val="18"/>
        </w:rPr>
        <w:t xml:space="preserve">Date/time/channel of each contact attempt.</w:t>
      </w:r>
    </w:p>
    <w:p>
      <w:pPr>
        <w:spacing w:after="50"/>
        <w:ind w:left="220" w:hanging="160"/>
      </w:pPr>
      <w:r>
        <w:rPr>
          <w:b/>
          <w:bCs/>
          <w:sz w:val="18"/>
          <w:szCs w:val="18"/>
        </w:rPr>
        <w:t xml:space="preserve">•  </w:t>
      </w:r>
      <w:r>
        <w:rPr>
          <w:sz w:val="18"/>
          <w:szCs w:val="18"/>
        </w:rPr>
        <w:t xml:space="preserve">Contact outcome and notes.</w:t>
      </w:r>
    </w:p>
    <w:p>
      <w:pPr>
        <w:spacing w:after="50"/>
        <w:ind w:left="220" w:hanging="160"/>
      </w:pPr>
      <w:r>
        <w:rPr>
          <w:b/>
          <w:bCs/>
          <w:sz w:val="18"/>
          <w:szCs w:val="18"/>
        </w:rPr>
        <w:t xml:space="preserve">•  </w:t>
      </w:r>
      <w:r>
        <w:rPr>
          <w:sz w:val="18"/>
          <w:szCs w:val="18"/>
        </w:rPr>
        <w:t xml:space="preserve">Next permitted follow-up date.</w:t>
      </w:r>
    </w:p>
    <w:p>
      <w:pPr>
        <w:spacing w:after="50"/>
        <w:ind w:left="220" w:hanging="160"/>
      </w:pPr>
      <w:r>
        <w:rPr>
          <w:b/>
          <w:bCs/>
          <w:sz w:val="18"/>
          <w:szCs w:val="18"/>
        </w:rPr>
        <w:t xml:space="preserve">•  </w:t>
      </w:r>
      <w:r>
        <w:rPr>
          <w:sz w:val="18"/>
          <w:szCs w:val="18"/>
        </w:rPr>
        <w:t xml:space="preserve">Appointment date/time/mode.</w:t>
      </w:r>
    </w:p>
    <w:p>
      <w:pPr>
        <w:spacing w:after="50"/>
        <w:ind w:left="220" w:hanging="160"/>
      </w:pPr>
      <w:r>
        <w:rPr>
          <w:b/>
          <w:bCs/>
          <w:sz w:val="18"/>
          <w:szCs w:val="18"/>
        </w:rPr>
        <w:t xml:space="preserve">•  </w:t>
      </w:r>
      <w:r>
        <w:rPr>
          <w:sz w:val="18"/>
          <w:szCs w:val="18"/>
        </w:rPr>
        <w:t xml:space="preserve">Refusal/nonresponse/ineligibility reason.</w:t>
      </w:r>
    </w:p>
    <w:p>
      <w:pPr>
        <w:spacing w:after="50"/>
        <w:ind w:left="220" w:hanging="160"/>
      </w:pPr>
      <w:r>
        <w:rPr>
          <w:b/>
          <w:bCs/>
          <w:sz w:val="18"/>
          <w:szCs w:val="18"/>
        </w:rPr>
        <w:t xml:space="preserve">•  </w:t>
      </w:r>
      <w:r>
        <w:rPr>
          <w:sz w:val="18"/>
          <w:szCs w:val="18"/>
        </w:rPr>
        <w:t xml:space="preserve">RA/owner responsible for the case.</w:t>
      </w:r>
    </w:p>
    <w:p>
      <w:pPr>
        <w:spacing w:after="70" w:before="160"/>
      </w:pPr>
      <w:r>
        <w:rPr>
          <w:b/>
          <w:bCs/>
          <w:color w:val="042A1E"/>
          <w:sz w:val="20"/>
          <w:szCs w:val="20"/>
        </w:rPr>
        <w:t xml:space="preserve">9.2 Reminder sequence</w:t>
      </w:r>
    </w:p>
    <w:p>
      <w:pPr>
        <w:spacing w:after="110"/>
        <w:jc w:val="both"/>
      </w:pPr>
      <w:r>
        <w:rPr>
          <w:sz w:val="19"/>
          <w:szCs w:val="19"/>
        </w:rPr>
        <w:t xml:space="preserve">The reminder engine creates queues rather than automatically sending uncontrolled messages. A typical sequence is Day 0 invitation, Day 2 reminder, Day 4–5 telephone follow-up and Day 7 final routine attempt, subject to the approved field SOP.</w:t>
      </w:r>
    </w:p>
    <w:p>
      <w:pPr>
        <w:spacing w:after="70" w:before="160"/>
      </w:pPr>
      <w:r>
        <w:rPr>
          <w:b/>
          <w:bCs/>
          <w:color w:val="042A1E"/>
          <w:sz w:val="20"/>
          <w:szCs w:val="20"/>
        </w:rPr>
        <w:t xml:space="preserve">9.3 WhatsApp Business Platform — Phase 0 dependency — NEW in v2.0</w:t>
      </w:r>
    </w:p>
    <w:p>
      <w:pPr>
        <w:pBdr>
          <w:left w:val="single" w:color="8A5A00" w:sz="16" w:space="6"/>
        </w:pBdr>
        <w:shd w:fill="FBF0DA" w:val="clear"/>
        <w:spacing w:after="100" w:before="40"/>
        <w:ind w:left="100"/>
      </w:pPr>
      <w:r>
        <w:rPr>
          <w:color w:val="5C3D00"/>
          <w:sz w:val="17"/>
          <w:szCs w:val="17"/>
        </w:rPr>
        <w:t xml:space="preserve">WhatsApp Business Platform (Meta Cloud API, directly or via a Business Solution Provider such as Twilio, 360dialog or Africa's Talking) prices per template message, not per conversation, since July 2025. Utility-category templates — the natural fit for invitations, reminders and appointment confirmations — are charged only for business-initiated messages sent outside an open customer-service window; within that window, replies are free. Every outbound template must be pre-approved by Meta before use, a review that can take 3–5 business days.</w:t>
      </w:r>
    </w:p>
    <w:p>
      <w:pPr>
        <w:spacing w:after="110"/>
        <w:jc w:val="both"/>
      </w:pPr>
      <w:r>
        <w:rPr>
          <w:sz w:val="19"/>
          <w:szCs w:val="19"/>
        </w:rPr>
        <w:t xml:space="preserve">This is now an explicit, dated Phase 0 task rather than a Phase 1 assumption: provision the WhatsApp Business Platform account and submit utility-category templates for Meta approval immediately, in parallel with the other Phase 0 governance items, and build the 3–5 business day buffer into the schedule (§19, §29). Marketing-category templates are not used anywhere in this portal — every outbound message is utility category. Email and SMS remain supported fallback channels.</w:t>
      </w:r>
    </w:p>
    <w:p>
      <w:pPr>
        <w:pBdr>
          <w:bottom w:val="single" w:color="063D2B" w:sz="6" w:space="3"/>
        </w:pBdr>
        <w:spacing w:after="100" w:before="260"/>
      </w:pPr>
      <w:r>
        <w:rPr>
          <w:b/>
          <w:bCs/>
          <w:color w:val="063D2B"/>
          <w:sz w:val="25"/>
          <w:szCs w:val="25"/>
        </w:rPr>
        <w:t xml:space="preserve">10. KII Portal</w:t>
      </w:r>
    </w:p>
    <w:p>
      <w:pPr>
        <w:spacing w:after="110"/>
        <w:jc w:val="both"/>
      </w:pPr>
      <w:r>
        <w:rPr>
          <w:sz w:val="19"/>
          <w:szCs w:val="19"/>
        </w:rPr>
        <w:t xml:space="preserve">The KII module remains separate from QUAN because the sampling logic, consent, recording and evidence products differ.</w:t>
      </w:r>
    </w:p>
    <w:p>
      <w:pPr>
        <w:spacing w:after="50"/>
        <w:ind w:left="220" w:hanging="160"/>
      </w:pPr>
      <w:r>
        <w:rPr>
          <w:b/>
          <w:bCs/>
          <w:sz w:val="18"/>
          <w:szCs w:val="18"/>
        </w:rPr>
        <w:t xml:space="preserve">•  </w:t>
      </w:r>
      <w:r>
        <w:rPr>
          <w:sz w:val="18"/>
          <w:szCs w:val="18"/>
        </w:rPr>
        <w:t xml:space="preserve">KII_ID and stakeholder quota/category.</w:t>
      </w:r>
    </w:p>
    <w:p>
      <w:pPr>
        <w:spacing w:after="50"/>
        <w:ind w:left="220" w:hanging="160"/>
      </w:pPr>
      <w:r>
        <w:rPr>
          <w:b/>
          <w:bCs/>
          <w:sz w:val="18"/>
          <w:szCs w:val="18"/>
        </w:rPr>
        <w:t xml:space="preserve">•  </w:t>
      </w:r>
      <w:r>
        <w:rPr>
          <w:sz w:val="18"/>
          <w:szCs w:val="18"/>
        </w:rPr>
        <w:t xml:space="preserve">Organisation and participant role.</w:t>
      </w:r>
    </w:p>
    <w:p>
      <w:pPr>
        <w:spacing w:after="50"/>
        <w:ind w:left="220" w:hanging="160"/>
      </w:pPr>
      <w:r>
        <w:rPr>
          <w:b/>
          <w:bCs/>
          <w:sz w:val="18"/>
          <w:szCs w:val="18"/>
        </w:rPr>
        <w:t xml:space="preserve">•  </w:t>
      </w:r>
      <w:r>
        <w:rPr>
          <w:sz w:val="18"/>
          <w:szCs w:val="18"/>
        </w:rPr>
        <w:t xml:space="preserve">Invitation and appointment status.</w:t>
      </w:r>
    </w:p>
    <w:p>
      <w:pPr>
        <w:spacing w:after="50"/>
        <w:ind w:left="220" w:hanging="160"/>
      </w:pPr>
      <w:r>
        <w:rPr>
          <w:b/>
          <w:bCs/>
          <w:sz w:val="18"/>
          <w:szCs w:val="18"/>
        </w:rPr>
        <w:t xml:space="preserve">•  </w:t>
      </w:r>
      <w:r>
        <w:rPr>
          <w:sz w:val="18"/>
          <w:szCs w:val="18"/>
        </w:rPr>
        <w:t xml:space="preserve">Preferred mode: Teams/Zoom/Meet, WhatsApp voice/video, telephone or face-to-face contingency.</w:t>
      </w:r>
    </w:p>
    <w:p>
      <w:pPr>
        <w:spacing w:after="50"/>
        <w:ind w:left="220" w:hanging="160"/>
      </w:pPr>
      <w:r>
        <w:rPr>
          <w:b/>
          <w:bCs/>
          <w:sz w:val="18"/>
          <w:szCs w:val="18"/>
        </w:rPr>
        <w:t xml:space="preserve">•  </w:t>
      </w:r>
      <w:r>
        <w:rPr>
          <w:sz w:val="18"/>
          <w:szCs w:val="18"/>
        </w:rPr>
        <w:t xml:space="preserve">Participation consent and separate recording consent.</w:t>
      </w:r>
    </w:p>
    <w:p>
      <w:pPr>
        <w:spacing w:after="50"/>
        <w:ind w:left="220" w:hanging="160"/>
      </w:pPr>
      <w:r>
        <w:rPr>
          <w:b/>
          <w:bCs/>
          <w:sz w:val="18"/>
          <w:szCs w:val="18"/>
        </w:rPr>
        <w:t xml:space="preserve">•  </w:t>
      </w:r>
      <w:r>
        <w:rPr>
          <w:sz w:val="18"/>
          <w:szCs w:val="18"/>
        </w:rPr>
        <w:t xml:space="preserve">Interview date, duration and interviewer.</w:t>
      </w:r>
    </w:p>
    <w:p>
      <w:pPr>
        <w:spacing w:after="50"/>
        <w:ind w:left="220" w:hanging="160"/>
      </w:pPr>
      <w:r>
        <w:rPr>
          <w:b/>
          <w:bCs/>
          <w:sz w:val="18"/>
          <w:szCs w:val="18"/>
        </w:rPr>
        <w:t xml:space="preserve">•  </w:t>
      </w:r>
      <w:r>
        <w:rPr>
          <w:sz w:val="18"/>
          <w:szCs w:val="18"/>
        </w:rPr>
        <w:t xml:space="preserve">Recording file reference, field notes and transcript status.</w:t>
      </w:r>
    </w:p>
    <w:p>
      <w:pPr>
        <w:spacing w:after="50"/>
        <w:ind w:left="220" w:hanging="160"/>
      </w:pPr>
      <w:r>
        <w:rPr>
          <w:b/>
          <w:bCs/>
          <w:sz w:val="18"/>
          <w:szCs w:val="18"/>
        </w:rPr>
        <w:t xml:space="preserve">•  </w:t>
      </w:r>
      <w:r>
        <w:rPr>
          <w:sz w:val="18"/>
          <w:szCs w:val="18"/>
        </w:rPr>
        <w:t xml:space="preserve">Transcript verification and anonymisation status.</w:t>
      </w:r>
    </w:p>
    <w:p>
      <w:pPr>
        <w:spacing w:after="50"/>
        <w:ind w:left="220" w:hanging="160"/>
      </w:pPr>
      <w:r>
        <w:rPr>
          <w:b/>
          <w:bCs/>
          <w:sz w:val="18"/>
          <w:szCs w:val="18"/>
        </w:rPr>
        <w:t xml:space="preserve">•  </w:t>
      </w:r>
      <w:r>
        <w:rPr>
          <w:sz w:val="18"/>
          <w:szCs w:val="18"/>
        </w:rPr>
        <w:t xml:space="preserve">ABF-FST thematic coverage and coding status.</w:t>
      </w:r>
    </w:p>
    <w:p>
      <w:pPr>
        <w:spacing w:after="50"/>
        <w:ind w:left="220" w:hanging="160"/>
      </w:pPr>
      <w:r>
        <w:rPr>
          <w:b/>
          <w:bCs/>
          <w:sz w:val="18"/>
          <w:szCs w:val="18"/>
        </w:rPr>
        <w:t xml:space="preserve">•  </w:t>
      </w:r>
      <w:r>
        <w:rPr>
          <w:sz w:val="18"/>
          <w:szCs w:val="18"/>
        </w:rPr>
        <w:t xml:space="preserve">Information-power / saturation monitoring note where relevant.</w:t>
      </w:r>
    </w:p>
    <w:p>
      <w:pPr>
        <w:spacing w:after="110"/>
        <w:jc w:val="both"/>
      </w:pPr>
      <w:r>
        <w:rPr>
          <w:sz w:val="19"/>
          <w:szCs w:val="19"/>
        </w:rPr>
        <w:t xml:space="preserve">Asynchronous email or WhatsApp text responses are transparently classified as written qualitative responses unless the approved protocol explicitly treats them as KIIs.</w:t>
      </w:r>
    </w:p>
    <w:p>
      <w:pPr>
        <w:pBdr>
          <w:bottom w:val="single" w:color="063D2B" w:sz="6" w:space="3"/>
        </w:pBdr>
        <w:spacing w:after="100" w:before="260"/>
      </w:pPr>
      <w:r>
        <w:rPr>
          <w:b/>
          <w:bCs/>
          <w:color w:val="063D2B"/>
          <w:sz w:val="25"/>
          <w:szCs w:val="25"/>
        </w:rPr>
        <w:t xml:space="preserve">11. Documentary Evidence Module</w:t>
      </w:r>
    </w:p>
    <w:p>
      <w:pPr>
        <w:spacing w:after="110"/>
        <w:jc w:val="both"/>
      </w:pPr>
      <w:r>
        <w:rPr>
          <w:sz w:val="19"/>
          <w:szCs w:val="19"/>
        </w:rPr>
        <w:t xml:space="preserve">The documentary module supports triangulation and is designed as a provenance-controlled evidence repository rather than a general file dump.</w:t>
      </w:r>
    </w:p>
    <w:p>
      <w:pPr>
        <w:spacing w:after="50"/>
        <w:ind w:left="220" w:hanging="160"/>
      </w:pPr>
      <w:r>
        <w:rPr>
          <w:b/>
          <w:bCs/>
          <w:sz w:val="18"/>
          <w:szCs w:val="18"/>
        </w:rPr>
        <w:t xml:space="preserve">•  </w:t>
      </w:r>
      <w:r>
        <w:rPr>
          <w:sz w:val="18"/>
          <w:szCs w:val="18"/>
        </w:rPr>
        <w:t xml:space="preserve">Document_ID; organisation/institution; title; author/speaker; publication/event date.</w:t>
      </w:r>
    </w:p>
    <w:p>
      <w:pPr>
        <w:spacing w:after="50"/>
        <w:ind w:left="220" w:hanging="160"/>
      </w:pPr>
      <w:r>
        <w:rPr>
          <w:b/>
          <w:bCs/>
          <w:sz w:val="18"/>
          <w:szCs w:val="18"/>
        </w:rPr>
        <w:t xml:space="preserve">•  </w:t>
      </w:r>
      <w:r>
        <w:rPr>
          <w:sz w:val="18"/>
          <w:szCs w:val="18"/>
        </w:rPr>
        <w:t xml:space="preserve">Source URL or repository reference; document type; official/secondary/platform classification.</w:t>
      </w:r>
    </w:p>
    <w:p>
      <w:pPr>
        <w:spacing w:after="50"/>
        <w:ind w:left="220" w:hanging="160"/>
      </w:pPr>
      <w:r>
        <w:rPr>
          <w:b/>
          <w:bCs/>
          <w:sz w:val="18"/>
          <w:szCs w:val="18"/>
        </w:rPr>
        <w:t xml:space="preserve">•  </w:t>
      </w:r>
      <w:r>
        <w:rPr>
          <w:sz w:val="18"/>
          <w:szCs w:val="18"/>
        </w:rPr>
        <w:t xml:space="preserve">Authenticity/provenance assessment and verification date.</w:t>
      </w:r>
    </w:p>
    <w:p>
      <w:pPr>
        <w:spacing w:after="50"/>
        <w:ind w:left="220" w:hanging="160"/>
      </w:pPr>
      <w:r>
        <w:rPr>
          <w:b/>
          <w:bCs/>
          <w:sz w:val="18"/>
          <w:szCs w:val="18"/>
        </w:rPr>
        <w:t xml:space="preserve">•  </w:t>
      </w:r>
      <w:r>
        <w:rPr>
          <w:sz w:val="18"/>
          <w:szCs w:val="18"/>
        </w:rPr>
        <w:t xml:space="preserve">Geographic scope and value chain.</w:t>
      </w:r>
    </w:p>
    <w:p>
      <w:pPr>
        <w:spacing w:after="50"/>
        <w:ind w:left="220" w:hanging="160"/>
      </w:pPr>
      <w:r>
        <w:rPr>
          <w:b/>
          <w:bCs/>
          <w:sz w:val="18"/>
          <w:szCs w:val="18"/>
        </w:rPr>
        <w:t xml:space="preserve">•  </w:t>
      </w:r>
      <w:r>
        <w:rPr>
          <w:sz w:val="18"/>
          <w:szCs w:val="18"/>
        </w:rPr>
        <w:t xml:space="preserve">NFM, BANK, DGR, AGC, INS and FST construct tags.</w:t>
      </w:r>
    </w:p>
    <w:p>
      <w:pPr>
        <w:spacing w:after="50"/>
        <w:ind w:left="220" w:hanging="160"/>
      </w:pPr>
      <w:r>
        <w:rPr>
          <w:b/>
          <w:bCs/>
          <w:sz w:val="18"/>
          <w:szCs w:val="18"/>
        </w:rPr>
        <w:t xml:space="preserve">•  </w:t>
      </w:r>
      <w:r>
        <w:rPr>
          <w:sz w:val="18"/>
          <w:szCs w:val="18"/>
        </w:rPr>
        <w:t xml:space="preserve">ABI dimension relevance tags only — never a score or weighted figure; the ABI scoring engine does not exist inside this application (§18, §30).</w:t>
      </w:r>
    </w:p>
    <w:p>
      <w:pPr>
        <w:spacing w:after="50"/>
        <w:ind w:left="220" w:hanging="160"/>
      </w:pPr>
      <w:r>
        <w:rPr>
          <w:b/>
          <w:bCs/>
          <w:sz w:val="18"/>
          <w:szCs w:val="18"/>
        </w:rPr>
        <w:t xml:space="preserve">•  </w:t>
      </w:r>
      <w:r>
        <w:rPr>
          <w:sz w:val="18"/>
          <w:szCs w:val="18"/>
        </w:rPr>
        <w:t xml:space="preserve">Evidence extract/quotation reference and interpretive memo.</w:t>
      </w:r>
    </w:p>
    <w:p>
      <w:pPr>
        <w:spacing w:after="50"/>
        <w:ind w:left="220" w:hanging="160"/>
      </w:pPr>
      <w:r>
        <w:rPr>
          <w:b/>
          <w:bCs/>
          <w:sz w:val="18"/>
          <w:szCs w:val="18"/>
        </w:rPr>
        <w:t xml:space="preserve">•  </w:t>
      </w:r>
      <w:r>
        <w:rPr>
          <w:sz w:val="18"/>
          <w:szCs w:val="18"/>
        </w:rPr>
        <w:t xml:space="preserve">Triangulation link to QUAN/KII findings.</w:t>
      </w:r>
    </w:p>
    <w:p>
      <w:pPr>
        <w:spacing w:after="50"/>
        <w:ind w:left="220" w:hanging="160"/>
      </w:pPr>
      <w:r>
        <w:rPr>
          <w:b/>
          <w:bCs/>
          <w:sz w:val="18"/>
          <w:szCs w:val="18"/>
        </w:rPr>
        <w:t xml:space="preserve">•  </w:t>
      </w:r>
      <w:r>
        <w:rPr>
          <w:sz w:val="18"/>
          <w:szCs w:val="18"/>
        </w:rPr>
        <w:t xml:space="preserve">Reviewer, QA status and inclusion decision.</w:t>
      </w:r>
    </w:p>
    <w:p>
      <w:r>
        <w:br w:type="page"/>
      </w:r>
    </w:p>
    <w:p>
      <w:pPr>
        <w:pBdr>
          <w:bottom w:val="single" w:color="063D2B" w:sz="6" w:space="3"/>
        </w:pBdr>
        <w:spacing w:after="100" w:before="260"/>
      </w:pPr>
      <w:r>
        <w:rPr>
          <w:b/>
          <w:bCs/>
          <w:color w:val="063D2B"/>
          <w:sz w:val="25"/>
          <w:szCs w:val="25"/>
        </w:rPr>
        <w:t xml:space="preserve">12. Research Operations Dashboard</w:t>
      </w:r>
    </w:p>
    <w:p>
      <w:pPr>
        <w:spacing w:after="110"/>
        <w:jc w:val="both"/>
      </w:pPr>
      <w:r>
        <w:rPr>
          <w:sz w:val="19"/>
          <w:szCs w:val="19"/>
        </w:rPr>
        <w:t xml:space="preserve">Six dashboards, all read-only aggregate views that never expose an organisation or respondent name, or unbanded financial figures (§15).</w:t>
      </w:r>
    </w:p>
    <w:p>
      <w:pPr>
        <w:spacing w:after="50" w:before="110"/>
      </w:pPr>
      <w:r>
        <w:rPr>
          <w:b/>
          <w:bCs/>
          <w:i/>
          <w:iCs/>
          <w:color w:val="042A1E"/>
          <w:sz w:val="18"/>
          <w:szCs w:val="18"/>
        </w:rPr>
        <w:t xml:space="preserve">12.1 Executive dashboard</w:t>
      </w:r>
    </w:p>
    <w:p>
      <w:pPr>
        <w:spacing w:after="50"/>
        <w:ind w:left="220" w:hanging="160"/>
      </w:pPr>
      <w:r>
        <w:rPr>
          <w:b/>
          <w:bCs/>
          <w:sz w:val="18"/>
          <w:szCs w:val="18"/>
        </w:rPr>
        <w:t xml:space="preserve">•  </w:t>
      </w:r>
      <w:r>
        <w:rPr>
          <w:sz w:val="18"/>
          <w:szCs w:val="18"/>
        </w:rPr>
        <w:t xml:space="preserve">QUAN completed versus 400 target; KII completed versus 60/endpoint; documents coded versus 50–75 target; days remaining to 30 November data lock; current fieldwork expenditure and projected cost to completion; highest-risk coverage gaps.</w:t>
      </w:r>
    </w:p>
    <w:p>
      <w:pPr>
        <w:spacing w:after="50" w:before="110"/>
      </w:pPr>
      <w:r>
        <w:rPr>
          <w:b/>
          <w:bCs/>
          <w:i/>
          <w:iCs/>
          <w:color w:val="042A1E"/>
          <w:sz w:val="18"/>
          <w:szCs w:val="18"/>
        </w:rPr>
        <w:t xml:space="preserve">12.2 Sampling dashboard</w:t>
      </w:r>
    </w:p>
    <w:p>
      <w:pPr>
        <w:spacing w:after="50"/>
        <w:ind w:left="220" w:hanging="160"/>
      </w:pPr>
      <w:r>
        <w:rPr>
          <w:b/>
          <w:bCs/>
          <w:sz w:val="18"/>
          <w:szCs w:val="18"/>
        </w:rPr>
        <w:t xml:space="preserve">•  </w:t>
      </w:r>
      <w:r>
        <w:rPr>
          <w:sz w:val="18"/>
          <w:szCs w:val="18"/>
        </w:rPr>
        <w:t xml:space="preserve">Main-400 by province, actor family, value chain and size class; verified/invited/started/submitted/QA-passed by stratum; reserve activation count and reasons; digital-exclusion and nonresponse map.</w:t>
      </w:r>
    </w:p>
    <w:p>
      <w:pPr>
        <w:spacing w:after="50" w:before="110"/>
      </w:pPr>
      <w:r>
        <w:rPr>
          <w:b/>
          <w:bCs/>
          <w:i/>
          <w:iCs/>
          <w:color w:val="042A1E"/>
          <w:sz w:val="18"/>
          <w:szCs w:val="18"/>
        </w:rPr>
        <w:t xml:space="preserve">12.3 Contact dashboard</w:t>
      </w:r>
    </w:p>
    <w:p>
      <w:pPr>
        <w:spacing w:after="50"/>
        <w:ind w:left="220" w:hanging="160"/>
      </w:pPr>
      <w:r>
        <w:rPr>
          <w:b/>
          <w:bCs/>
          <w:sz w:val="18"/>
          <w:szCs w:val="18"/>
        </w:rPr>
        <w:t xml:space="preserve">•  </w:t>
      </w:r>
      <w:r>
        <w:rPr>
          <w:sz w:val="18"/>
          <w:szCs w:val="18"/>
        </w:rPr>
        <w:t xml:space="preserve">Organisations verified; eligible respondents identified; invitations due/sent/opened; reminders due; appointments today/next seven days; refusals, unreachable cases and physical-visit candidates.</w:t>
      </w:r>
    </w:p>
    <w:p>
      <w:pPr>
        <w:spacing w:after="50" w:before="110"/>
      </w:pPr>
      <w:r>
        <w:rPr>
          <w:b/>
          <w:bCs/>
          <w:i/>
          <w:iCs/>
          <w:color w:val="042A1E"/>
          <w:sz w:val="18"/>
          <w:szCs w:val="18"/>
        </w:rPr>
        <w:t xml:space="preserve">12.4 QUAN QA dashboard</w:t>
      </w:r>
    </w:p>
    <w:p>
      <w:pPr>
        <w:spacing w:after="50"/>
        <w:ind w:left="220" w:hanging="160"/>
      </w:pPr>
      <w:r>
        <w:rPr>
          <w:b/>
          <w:bCs/>
          <w:sz w:val="18"/>
          <w:szCs w:val="18"/>
        </w:rPr>
        <w:t xml:space="preserve">•  </w:t>
      </w:r>
      <w:r>
        <w:rPr>
          <w:sz w:val="18"/>
          <w:szCs w:val="18"/>
        </w:rPr>
        <w:t xml:space="preserve">Submissions today/cumulative; consent and Sample_ID completeness; duplicate IDs; missingness and logic failures against the thresholds in §27; unusual duration flags; mode distribution; QA queries and turnaround time.</w:t>
      </w:r>
    </w:p>
    <w:p>
      <w:pPr>
        <w:spacing w:after="50" w:before="110"/>
      </w:pPr>
      <w:r>
        <w:rPr>
          <w:b/>
          <w:bCs/>
          <w:i/>
          <w:iCs/>
          <w:color w:val="042A1E"/>
          <w:sz w:val="18"/>
          <w:szCs w:val="18"/>
        </w:rPr>
        <w:t xml:space="preserve">12.5 KII/document dashboard</w:t>
      </w:r>
    </w:p>
    <w:p>
      <w:pPr>
        <w:spacing w:after="50"/>
        <w:ind w:left="220" w:hanging="160"/>
      </w:pPr>
      <w:r>
        <w:rPr>
          <w:b/>
          <w:bCs/>
          <w:sz w:val="18"/>
          <w:szCs w:val="18"/>
        </w:rPr>
        <w:t xml:space="preserve">•  </w:t>
      </w:r>
      <w:r>
        <w:rPr>
          <w:sz w:val="18"/>
          <w:szCs w:val="18"/>
        </w:rPr>
        <w:t xml:space="preserve">KII quotas and completion by stakeholder group; appointments, recordings, transcripts and coding status; document corpus by source type and construct; evidence gaps requiring targeted collection.</w:t>
      </w:r>
    </w:p>
    <w:p>
      <w:pPr>
        <w:spacing w:after="50" w:before="110"/>
      </w:pPr>
      <w:r>
        <w:rPr>
          <w:b/>
          <w:bCs/>
          <w:i/>
          <w:iCs/>
          <w:color w:val="042A1E"/>
          <w:sz w:val="18"/>
          <w:szCs w:val="18"/>
        </w:rPr>
        <w:t xml:space="preserve">12.6 Cost dashboard</w:t>
      </w:r>
    </w:p>
    <w:p>
      <w:pPr>
        <w:spacing w:after="50"/>
        <w:ind w:left="220" w:hanging="160"/>
      </w:pPr>
      <w:r>
        <w:rPr>
          <w:b/>
          <w:bCs/>
          <w:sz w:val="18"/>
          <w:szCs w:val="18"/>
        </w:rPr>
        <w:t xml:space="preserve">•  </w:t>
      </w:r>
      <w:r>
        <w:rPr>
          <w:sz w:val="18"/>
          <w:szCs w:val="18"/>
        </w:rPr>
        <w:t xml:space="preserve">RA allowance by production day; airtime/data and messaging spend; transport and accommodation spend; cost per QA-passed QUAN; cost per completed KII; cost per included documentary record; projected cost at current response rate; savings from remote versus physical deployment.</w:t>
      </w:r>
    </w:p>
    <w:p>
      <w:pPr>
        <w:pBdr>
          <w:bottom w:val="single" w:color="063D2B" w:sz="6" w:space="3"/>
        </w:pBdr>
        <w:spacing w:after="100" w:before="260"/>
      </w:pPr>
      <w:r>
        <w:rPr>
          <w:b/>
          <w:bCs/>
          <w:color w:val="063D2B"/>
          <w:sz w:val="25"/>
          <w:szCs w:val="25"/>
        </w:rPr>
        <w:t xml:space="preserve">13. AI Field Coordinator Layer</w:t>
      </w:r>
    </w:p>
    <w:p>
      <w:pPr>
        <w:spacing w:after="110"/>
        <w:jc w:val="both"/>
      </w:pPr>
      <w:r>
        <w:rPr>
          <w:sz w:val="19"/>
          <w:szCs w:val="19"/>
        </w:rPr>
        <w:t xml:space="preserve">AI operates as a decision-support and workflow layer, not as an autonomous research respondent, sampler or adjudicator.</w:t>
      </w:r>
    </w:p>
    <w:p>
      <w:pPr>
        <w:spacing w:after="50"/>
        <w:ind w:left="220" w:hanging="160"/>
      </w:pPr>
      <w:r>
        <w:rPr>
          <w:b/>
          <w:bCs/>
          <w:sz w:val="18"/>
          <w:szCs w:val="18"/>
        </w:rPr>
        <w:t xml:space="preserve">•  </w:t>
      </w:r>
      <w:r>
        <w:rPr>
          <w:sz w:val="18"/>
          <w:szCs w:val="18"/>
        </w:rPr>
        <w:t xml:space="preserve">Sampling Control Agent — flags duplicates, reserve violations, stratum shortfalls and cases approaching nonresponse.</w:t>
      </w:r>
    </w:p>
    <w:p>
      <w:pPr>
        <w:spacing w:after="50"/>
        <w:ind w:left="220" w:hanging="160"/>
      </w:pPr>
      <w:r>
        <w:rPr>
          <w:b/>
          <w:bCs/>
          <w:sz w:val="18"/>
          <w:szCs w:val="18"/>
        </w:rPr>
        <w:t xml:space="preserve">•  </w:t>
      </w:r>
      <w:r>
        <w:rPr>
          <w:sz w:val="18"/>
          <w:szCs w:val="18"/>
        </w:rPr>
        <w:t xml:space="preserve">Contact Queue Agent — prioritises due follow-ups and identifies cases with missing respondent/gatekeeper information.</w:t>
      </w:r>
    </w:p>
    <w:p>
      <w:pPr>
        <w:spacing w:after="50"/>
        <w:ind w:left="220" w:hanging="160"/>
      </w:pPr>
      <w:r>
        <w:rPr>
          <w:b/>
          <w:bCs/>
          <w:sz w:val="18"/>
          <w:szCs w:val="18"/>
        </w:rPr>
        <w:t xml:space="preserve">•  </w:t>
      </w:r>
      <w:r>
        <w:rPr>
          <w:sz w:val="18"/>
          <w:szCs w:val="18"/>
        </w:rPr>
        <w:t xml:space="preserve">QUAN QA Agent — flags missingness, duplicate identifiers, implausible duration, inconsistent answers and mode/coverage imbalance, against the numeric thresholds in §27.</w:t>
      </w:r>
    </w:p>
    <w:p>
      <w:pPr>
        <w:spacing w:after="50"/>
        <w:ind w:left="220" w:hanging="160"/>
      </w:pPr>
      <w:r>
        <w:rPr>
          <w:b/>
          <w:bCs/>
          <w:sz w:val="18"/>
          <w:szCs w:val="18"/>
        </w:rPr>
        <w:t xml:space="preserve">•  </w:t>
      </w:r>
      <w:r>
        <w:rPr>
          <w:sz w:val="18"/>
          <w:szCs w:val="18"/>
        </w:rPr>
        <w:t xml:space="preserve">KII Coordinator Agent — tracks quota coverage, appointments, transcript backlog and thematic evidence gaps.</w:t>
      </w:r>
    </w:p>
    <w:p>
      <w:pPr>
        <w:spacing w:after="50"/>
        <w:ind w:left="220" w:hanging="160"/>
      </w:pPr>
      <w:r>
        <w:rPr>
          <w:b/>
          <w:bCs/>
          <w:sz w:val="18"/>
          <w:szCs w:val="18"/>
        </w:rPr>
        <w:t xml:space="preserve">•  </w:t>
      </w:r>
      <w:r>
        <w:rPr>
          <w:sz w:val="18"/>
          <w:szCs w:val="18"/>
        </w:rPr>
        <w:t xml:space="preserve">Documentary Evidence Agent — assists provenance tracking, metadata extraction and construct-mapping for researcher verification.</w:t>
      </w:r>
    </w:p>
    <w:p>
      <w:pPr>
        <w:spacing w:after="50"/>
        <w:ind w:left="220" w:hanging="160"/>
      </w:pPr>
      <w:r>
        <w:rPr>
          <w:b/>
          <w:bCs/>
          <w:sz w:val="18"/>
          <w:szCs w:val="18"/>
        </w:rPr>
        <w:t xml:space="preserve">•  </w:t>
      </w:r>
      <w:r>
        <w:rPr>
          <w:sz w:val="18"/>
          <w:szCs w:val="18"/>
        </w:rPr>
        <w:t xml:space="preserve">Cost Control Agent — tracks burn rate, cost per usable response and whether proposed travel meets the cost/coverage trigger.</w:t>
      </w:r>
    </w:p>
    <w:p>
      <w:pPr>
        <w:spacing w:after="110"/>
        <w:jc w:val="both"/>
      </w:pPr>
      <w:r>
        <w:rPr>
          <w:sz w:val="19"/>
          <w:szCs w:val="19"/>
        </w:rPr>
        <w:t xml:space="preserve">Human approval remains mandatory for respondent eligibility, reserve activation, exclusion/rejection of a research record, qualitative interpretation, ethics deviations and final data lock.</w:t>
      </w:r>
    </w:p>
    <w:p>
      <w:pPr>
        <w:pBdr>
          <w:bottom w:val="single" w:color="063D2B" w:sz="6" w:space="3"/>
        </w:pBdr>
        <w:spacing w:after="100" w:before="260"/>
      </w:pPr>
      <w:r>
        <w:rPr>
          <w:b/>
          <w:bCs/>
          <w:color w:val="063D2B"/>
          <w:sz w:val="25"/>
          <w:szCs w:val="25"/>
        </w:rPr>
        <w:t xml:space="preserve">14. Data Model</w:t>
      </w:r>
    </w:p>
    <w:p>
      <w:pPr>
        <w:spacing w:after="110"/>
        <w:jc w:val="both"/>
      </w:pPr>
      <w:r>
        <w:rPr>
          <w:sz w:val="19"/>
          <w:szCs w:val="19"/>
        </w:rPr>
        <w:t xml:space="preserve">A relational data model, implemented in PostgreSQL. The full field-level schema (twelve entity groups: sampling, contacts, consent, invitations, kobo, messaging, kii, evidence, qa, costs, audit, accounts) is specified in the accompanying docs/05_DATABASE_ARCHITECTURE.md, which an implementing developer should treat as authoritative. In summary, the minimum entities are: Organisation, SampleCase (Main/Reserve), Respondent, InvitationToken, ConsentRecord, ContactEvent, Appointment, QUANSubmission, ReconciliationLog, KIIRecord, DocumentRecord, QAEvent, QARuleThreshold, CostEvent and AuditEvent — each with foreign keys between organisation, sample case, respondent, consent, invitation and submissions, per Appendix B.</w:t>
      </w:r>
    </w:p>
    <w:p>
      <w:pPr>
        <w:pBdr>
          <w:bottom w:val="single" w:color="063D2B" w:sz="6" w:space="3"/>
        </w:pBdr>
        <w:spacing w:after="100" w:before="260"/>
      </w:pPr>
      <w:r>
        <w:rPr>
          <w:b/>
          <w:bCs/>
          <w:color w:val="063D2B"/>
          <w:sz w:val="25"/>
          <w:szCs w:val="25"/>
        </w:rPr>
        <w:t xml:space="preserve">15. Privacy, Security and Access Control</w:t>
      </w:r>
    </w:p>
    <w:p>
      <w:pPr>
        <w:spacing w:after="70" w:before="160"/>
      </w:pPr>
      <w:r>
        <w:rPr>
          <w:b/>
          <w:bCs/>
          <w:color w:val="042A1E"/>
          <w:sz w:val="20"/>
          <w:szCs w:val="20"/>
        </w:rPr>
        <w:t xml:space="preserve">15.1 Zimbabwe Cyber and Data Protection Act (2021) — POTRAZ position — NEW in v2.0</w:t>
      </w:r>
    </w:p>
    <w:p>
      <w:pPr>
        <w:pBdr>
          <w:left w:val="single" w:color="8A1F11" w:sz="16" w:space="6"/>
        </w:pBdr>
        <w:shd w:fill="FBEAE6" w:val="clear"/>
        <w:spacing w:after="100" w:before="40"/>
        <w:ind w:left="100"/>
      </w:pPr>
      <w:r>
        <w:rPr>
          <w:b/>
          <w:bCs/>
          <w:color w:val="5C0F04"/>
          <w:sz w:val="17"/>
          <w:szCs w:val="17"/>
        </w:rPr>
        <w:t xml:space="preserve">CRITICAL — compliance precondition, not an engineering task. Zimbabwe's Cyber and Data Protection Act (2021) requires a data controller processing personal data of 50 or more individuals to hold a current data-controller licence from POTRAZ (the Postal and Telecommunications Regulatory Authority of Zimbabwe), and — depending on the volume and sensitivity of processing — to appoint a Data Protection Officer (a certification pathway exists via the Harare Institute of Technology), notified to POTRAZ. Reported penalties for non-compliance run up to a USD 1,000 fine or seven years' imprisonment. The Main-400 sample alone exceeds the 50-person threshold before KII participants and gatekeepers are even counted, and this portal will hold names, roles, phone numbers and email addresses for all of them.</w:t>
      </w:r>
    </w:p>
    <w:p>
      <w:pPr>
        <w:spacing w:after="110"/>
        <w:jc w:val="both"/>
      </w:pPr>
      <w:r>
        <w:rPr>
          <w:sz w:val="19"/>
          <w:szCs w:val="19"/>
        </w:rPr>
        <w:t xml:space="preserve">Before Phase 0 closes, the Principal Researcher (with Chinhoyi University of Technology's legal/ethics office) must confirm in writing whether this study's data processing is covered by an existing institutional POTRAZ licence or requires its own, and whether a Data Protection Officer must be named for this project specifically. This is item 0 of the go-live acceptance checklist in Appendix B and in the accompanying docs/28_DEFINITION_OF_DONE.md — the first live Main-400 invitation is not issued until it is resolved.</w:t>
      </w:r>
    </w:p>
    <w:p>
      <w:pPr>
        <w:spacing w:after="70" w:before="160"/>
      </w:pPr>
      <w:r>
        <w:rPr>
          <w:b/>
          <w:bCs/>
          <w:color w:val="042A1E"/>
          <w:sz w:val="20"/>
          <w:szCs w:val="20"/>
        </w:rPr>
        <w:t xml:space="preserve">15.2 Access control matrix</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356"/>
        <w:gridCol w:w="2552"/>
        <w:gridCol w:w="2356"/>
        <w:gridCol w:w="1963"/>
        <w:gridCol w:w="1374"/>
      </w:tblGrid>
      <w:tr>
        <w:trPr>
          <w:tblHeader/>
        </w:trPr>
        <w:tc>
          <w:tcPr>
            <w:tcW w:type="dxa" w:w="2356"/>
            <w:shd w:fill="063D2B" w:val="clear"/>
            <w:tcMar>
              <w:top w:type="dxa" w:w="40"/>
              <w:left w:type="dxa" w:w="90"/>
              <w:bottom w:type="dxa" w:w="40"/>
              <w:right w:type="dxa" w:w="90"/>
            </w:tcMar>
            <w:vAlign w:val="center"/>
          </w:tcPr>
          <w:p>
            <w:r>
              <w:rPr>
                <w:b/>
                <w:bCs/>
                <w:color w:val="FFFFFF"/>
                <w:sz w:val="14"/>
                <w:szCs w:val="14"/>
              </w:rPr>
              <w:t xml:space="preserve">Role</w:t>
            </w:r>
          </w:p>
        </w:tc>
        <w:tc>
          <w:tcPr>
            <w:tcW w:type="dxa" w:w="2552"/>
            <w:shd w:fill="063D2B" w:val="clear"/>
            <w:tcMar>
              <w:top w:type="dxa" w:w="40"/>
              <w:left w:type="dxa" w:w="90"/>
              <w:bottom w:type="dxa" w:w="40"/>
              <w:right w:type="dxa" w:w="90"/>
            </w:tcMar>
            <w:vAlign w:val="center"/>
          </w:tcPr>
          <w:p>
            <w:r>
              <w:rPr>
                <w:b/>
                <w:bCs/>
                <w:color w:val="FFFFFF"/>
                <w:sz w:val="14"/>
                <w:szCs w:val="14"/>
              </w:rPr>
              <w:t xml:space="preserve">Own-case detail</w:t>
            </w:r>
          </w:p>
        </w:tc>
        <w:tc>
          <w:tcPr>
            <w:tcW w:type="dxa" w:w="2356"/>
            <w:shd w:fill="063D2B" w:val="clear"/>
            <w:tcMar>
              <w:top w:type="dxa" w:w="40"/>
              <w:left w:type="dxa" w:w="90"/>
              <w:bottom w:type="dxa" w:w="40"/>
              <w:right w:type="dxa" w:w="90"/>
            </w:tcMar>
            <w:vAlign w:val="center"/>
          </w:tcPr>
          <w:p>
            <w:r>
              <w:rPr>
                <w:b/>
                <w:bCs/>
                <w:color w:val="FFFFFF"/>
                <w:sz w:val="14"/>
                <w:szCs w:val="14"/>
              </w:rPr>
              <w:t xml:space="preserve">Aggregate dashboards</w:t>
            </w:r>
          </w:p>
        </w:tc>
        <w:tc>
          <w:tcPr>
            <w:tcW w:type="dxa" w:w="1963"/>
            <w:shd w:fill="063D2B" w:val="clear"/>
            <w:tcMar>
              <w:top w:type="dxa" w:w="40"/>
              <w:left w:type="dxa" w:w="90"/>
              <w:bottom w:type="dxa" w:w="40"/>
              <w:right w:type="dxa" w:w="90"/>
            </w:tcMar>
            <w:vAlign w:val="center"/>
          </w:tcPr>
          <w:p>
            <w:r>
              <w:rPr>
                <w:b/>
                <w:bCs/>
                <w:color w:val="FFFFFF"/>
                <w:sz w:val="14"/>
                <w:szCs w:val="14"/>
              </w:rPr>
              <w:t xml:space="preserve">De-identified export</w:t>
            </w:r>
          </w:p>
        </w:tc>
        <w:tc>
          <w:tcPr>
            <w:tcW w:type="dxa" w:w="1374"/>
            <w:shd w:fill="063D2B" w:val="clear"/>
            <w:tcMar>
              <w:top w:type="dxa" w:w="40"/>
              <w:left w:type="dxa" w:w="90"/>
              <w:bottom w:type="dxa" w:w="40"/>
              <w:right w:type="dxa" w:w="90"/>
            </w:tcMar>
            <w:vAlign w:val="center"/>
          </w:tcPr>
          <w:p>
            <w:r>
              <w:rPr>
                <w:b/>
                <w:bCs/>
                <w:color w:val="FFFFFF"/>
                <w:sz w:val="14"/>
                <w:szCs w:val="14"/>
              </w:rPr>
              <w:t xml:space="preserve">Config</w:t>
            </w:r>
          </w:p>
        </w:tc>
      </w:tr>
      <w:tr>
        <w:tc>
          <w:tcPr>
            <w:tcW w:type="dxa" w:w="2356"/>
            <w:shd w:fill="FFFFFF" w:val="clear"/>
            <w:tcMar>
              <w:top w:type="dxa" w:w="40"/>
              <w:left w:type="dxa" w:w="90"/>
              <w:bottom w:type="dxa" w:w="40"/>
              <w:right w:type="dxa" w:w="90"/>
            </w:tcMar>
            <w:vAlign w:val="center"/>
          </w:tcPr>
          <w:p>
            <w:r>
              <w:rPr>
                <w:sz w:val="14"/>
                <w:szCs w:val="14"/>
              </w:rPr>
              <w:t xml:space="preserve">Public respondent</w:t>
            </w:r>
          </w:p>
        </w:tc>
        <w:tc>
          <w:tcPr>
            <w:tcW w:type="dxa" w:w="2552"/>
            <w:shd w:fill="FFFFFF" w:val="clear"/>
            <w:tcMar>
              <w:top w:type="dxa" w:w="40"/>
              <w:left w:type="dxa" w:w="90"/>
              <w:bottom w:type="dxa" w:w="40"/>
              <w:right w:type="dxa" w:w="90"/>
            </w:tcMar>
            <w:vAlign w:val="center"/>
          </w:tcPr>
          <w:p>
            <w:r>
              <w:rPr>
                <w:sz w:val="14"/>
                <w:szCs w:val="14"/>
              </w:rPr>
              <w:t xml:space="preserve">Own, via valid token only</w:t>
            </w:r>
          </w:p>
        </w:tc>
        <w:tc>
          <w:tcPr>
            <w:tcW w:type="dxa" w:w="2356"/>
            <w:shd w:fill="FFFFFF" w:val="clear"/>
            <w:tcMar>
              <w:top w:type="dxa" w:w="40"/>
              <w:left w:type="dxa" w:w="90"/>
              <w:bottom w:type="dxa" w:w="40"/>
              <w:right w:type="dxa" w:w="90"/>
            </w:tcMar>
            <w:vAlign w:val="center"/>
          </w:tcPr>
          <w:p>
            <w:r>
              <w:rPr>
                <w:sz w:val="14"/>
                <w:szCs w:val="14"/>
              </w:rPr>
              <w:t xml:space="preserve">No</w:t>
            </w:r>
          </w:p>
        </w:tc>
        <w:tc>
          <w:tcPr>
            <w:tcW w:type="dxa" w:w="1963"/>
            <w:shd w:fill="FFFFFF" w:val="clear"/>
            <w:tcMar>
              <w:top w:type="dxa" w:w="40"/>
              <w:left w:type="dxa" w:w="90"/>
              <w:bottom w:type="dxa" w:w="40"/>
              <w:right w:type="dxa" w:w="90"/>
            </w:tcMar>
            <w:vAlign w:val="center"/>
          </w:tcPr>
          <w:p>
            <w:r>
              <w:rPr>
                <w:sz w:val="14"/>
                <w:szCs w:val="14"/>
              </w:rPr>
              <w:t xml:space="preserve">No</w:t>
            </w:r>
          </w:p>
        </w:tc>
        <w:tc>
          <w:tcPr>
            <w:tcW w:type="dxa" w:w="1374"/>
            <w:shd w:fill="FFFFFF" w:val="clear"/>
            <w:tcMar>
              <w:top w:type="dxa" w:w="40"/>
              <w:left w:type="dxa" w:w="90"/>
              <w:bottom w:type="dxa" w:w="40"/>
              <w:right w:type="dxa" w:w="90"/>
            </w:tcMar>
            <w:vAlign w:val="center"/>
          </w:tcPr>
          <w:p>
            <w:r>
              <w:rPr>
                <w:sz w:val="14"/>
                <w:szCs w:val="14"/>
              </w:rPr>
              <w:t xml:space="preserve">No</w:t>
            </w:r>
          </w:p>
        </w:tc>
      </w:tr>
      <w:tr>
        <w:tc>
          <w:tcPr>
            <w:tcW w:type="dxa" w:w="2356"/>
            <w:shd w:fill="EAF3EE" w:val="clear"/>
            <w:tcMar>
              <w:top w:type="dxa" w:w="40"/>
              <w:left w:type="dxa" w:w="90"/>
              <w:bottom w:type="dxa" w:w="40"/>
              <w:right w:type="dxa" w:w="90"/>
            </w:tcMar>
            <w:vAlign w:val="center"/>
          </w:tcPr>
          <w:p>
            <w:r>
              <w:rPr>
                <w:sz w:val="14"/>
                <w:szCs w:val="14"/>
              </w:rPr>
              <w:t xml:space="preserve">Contact RA</w:t>
            </w:r>
          </w:p>
        </w:tc>
        <w:tc>
          <w:tcPr>
            <w:tcW w:type="dxa" w:w="2552"/>
            <w:shd w:fill="EAF3EE" w:val="clear"/>
            <w:tcMar>
              <w:top w:type="dxa" w:w="40"/>
              <w:left w:type="dxa" w:w="90"/>
              <w:bottom w:type="dxa" w:w="40"/>
              <w:right w:type="dxa" w:w="90"/>
            </w:tcMar>
            <w:vAlign w:val="center"/>
          </w:tcPr>
          <w:p>
            <w:r>
              <w:rPr>
                <w:sz w:val="14"/>
                <w:szCs w:val="14"/>
              </w:rPr>
              <w:t xml:space="preserve">Assigned cases</w:t>
            </w:r>
          </w:p>
        </w:tc>
        <w:tc>
          <w:tcPr>
            <w:tcW w:type="dxa" w:w="2356"/>
            <w:shd w:fill="EAF3EE" w:val="clear"/>
            <w:tcMar>
              <w:top w:type="dxa" w:w="40"/>
              <w:left w:type="dxa" w:w="90"/>
              <w:bottom w:type="dxa" w:w="40"/>
              <w:right w:type="dxa" w:w="90"/>
            </w:tcMar>
            <w:vAlign w:val="center"/>
          </w:tcPr>
          <w:p>
            <w:r>
              <w:rPr>
                <w:sz w:val="14"/>
                <w:szCs w:val="14"/>
              </w:rPr>
              <w:t xml:space="preserve">No</w:t>
            </w:r>
          </w:p>
        </w:tc>
        <w:tc>
          <w:tcPr>
            <w:tcW w:type="dxa" w:w="1963"/>
            <w:shd w:fill="EAF3EE" w:val="clear"/>
            <w:tcMar>
              <w:top w:type="dxa" w:w="40"/>
              <w:left w:type="dxa" w:w="90"/>
              <w:bottom w:type="dxa" w:w="40"/>
              <w:right w:type="dxa" w:w="90"/>
            </w:tcMar>
            <w:vAlign w:val="center"/>
          </w:tcPr>
          <w:p>
            <w:r>
              <w:rPr>
                <w:sz w:val="14"/>
                <w:szCs w:val="14"/>
              </w:rPr>
              <w:t xml:space="preserve">No</w:t>
            </w:r>
          </w:p>
        </w:tc>
        <w:tc>
          <w:tcPr>
            <w:tcW w:type="dxa" w:w="1374"/>
            <w:shd w:fill="EAF3EE" w:val="clear"/>
            <w:tcMar>
              <w:top w:type="dxa" w:w="40"/>
              <w:left w:type="dxa" w:w="90"/>
              <w:bottom w:type="dxa" w:w="40"/>
              <w:right w:type="dxa" w:w="90"/>
            </w:tcMar>
            <w:vAlign w:val="center"/>
          </w:tcPr>
          <w:p>
            <w:r>
              <w:rPr>
                <w:sz w:val="14"/>
                <w:szCs w:val="14"/>
              </w:rPr>
              <w:t xml:space="preserve">No</w:t>
            </w:r>
          </w:p>
        </w:tc>
      </w:tr>
      <w:tr>
        <w:tc>
          <w:tcPr>
            <w:tcW w:type="dxa" w:w="2356"/>
            <w:shd w:fill="FFFFFF" w:val="clear"/>
            <w:tcMar>
              <w:top w:type="dxa" w:w="40"/>
              <w:left w:type="dxa" w:w="90"/>
              <w:bottom w:type="dxa" w:w="40"/>
              <w:right w:type="dxa" w:w="90"/>
            </w:tcMar>
            <w:vAlign w:val="center"/>
          </w:tcPr>
          <w:p>
            <w:r>
              <w:rPr>
                <w:sz w:val="14"/>
                <w:szCs w:val="14"/>
              </w:rPr>
              <w:t xml:space="preserve">QUAN/Kobo QA RA</w:t>
            </w:r>
          </w:p>
        </w:tc>
        <w:tc>
          <w:tcPr>
            <w:tcW w:type="dxa" w:w="2552"/>
            <w:shd w:fill="FFFFFF" w:val="clear"/>
            <w:tcMar>
              <w:top w:type="dxa" w:w="40"/>
              <w:left w:type="dxa" w:w="90"/>
              <w:bottom w:type="dxa" w:w="40"/>
              <w:right w:type="dxa" w:w="90"/>
            </w:tcMar>
            <w:vAlign w:val="center"/>
          </w:tcPr>
          <w:p>
            <w:r>
              <w:rPr>
                <w:sz w:val="14"/>
                <w:szCs w:val="14"/>
              </w:rPr>
              <w:t xml:space="preserve">QA fields, assigned cases</w:t>
            </w:r>
          </w:p>
        </w:tc>
        <w:tc>
          <w:tcPr>
            <w:tcW w:type="dxa" w:w="2356"/>
            <w:shd w:fill="FFFFFF" w:val="clear"/>
            <w:tcMar>
              <w:top w:type="dxa" w:w="40"/>
              <w:left w:type="dxa" w:w="90"/>
              <w:bottom w:type="dxa" w:w="40"/>
              <w:right w:type="dxa" w:w="90"/>
            </w:tcMar>
            <w:vAlign w:val="center"/>
          </w:tcPr>
          <w:p>
            <w:r>
              <w:rPr>
                <w:sz w:val="14"/>
                <w:szCs w:val="14"/>
              </w:rPr>
              <w:t xml:space="preserve">QA dashboard only</w:t>
            </w:r>
          </w:p>
        </w:tc>
        <w:tc>
          <w:tcPr>
            <w:tcW w:type="dxa" w:w="1963"/>
            <w:shd w:fill="FFFFFF" w:val="clear"/>
            <w:tcMar>
              <w:top w:type="dxa" w:w="40"/>
              <w:left w:type="dxa" w:w="90"/>
              <w:bottom w:type="dxa" w:w="40"/>
              <w:right w:type="dxa" w:w="90"/>
            </w:tcMar>
            <w:vAlign w:val="center"/>
          </w:tcPr>
          <w:p>
            <w:r>
              <w:rPr>
                <w:sz w:val="14"/>
                <w:szCs w:val="14"/>
              </w:rPr>
              <w:t xml:space="preserve">No</w:t>
            </w:r>
          </w:p>
        </w:tc>
        <w:tc>
          <w:tcPr>
            <w:tcW w:type="dxa" w:w="1374"/>
            <w:shd w:fill="FFFFFF" w:val="clear"/>
            <w:tcMar>
              <w:top w:type="dxa" w:w="40"/>
              <w:left w:type="dxa" w:w="90"/>
              <w:bottom w:type="dxa" w:w="40"/>
              <w:right w:type="dxa" w:w="90"/>
            </w:tcMar>
            <w:vAlign w:val="center"/>
          </w:tcPr>
          <w:p>
            <w:r>
              <w:rPr>
                <w:sz w:val="14"/>
                <w:szCs w:val="14"/>
              </w:rPr>
              <w:t xml:space="preserve">No</w:t>
            </w:r>
          </w:p>
        </w:tc>
      </w:tr>
      <w:tr>
        <w:tc>
          <w:tcPr>
            <w:tcW w:type="dxa" w:w="2356"/>
            <w:shd w:fill="EAF3EE" w:val="clear"/>
            <w:tcMar>
              <w:top w:type="dxa" w:w="40"/>
              <w:left w:type="dxa" w:w="90"/>
              <w:bottom w:type="dxa" w:w="40"/>
              <w:right w:type="dxa" w:w="90"/>
            </w:tcMar>
            <w:vAlign w:val="center"/>
          </w:tcPr>
          <w:p>
            <w:r>
              <w:rPr>
                <w:sz w:val="14"/>
                <w:szCs w:val="14"/>
              </w:rPr>
              <w:t xml:space="preserve">KII RA</w:t>
            </w:r>
          </w:p>
        </w:tc>
        <w:tc>
          <w:tcPr>
            <w:tcW w:type="dxa" w:w="2552"/>
            <w:shd w:fill="EAF3EE" w:val="clear"/>
            <w:tcMar>
              <w:top w:type="dxa" w:w="40"/>
              <w:left w:type="dxa" w:w="90"/>
              <w:bottom w:type="dxa" w:w="40"/>
              <w:right w:type="dxa" w:w="90"/>
            </w:tcMar>
            <w:vAlign w:val="center"/>
          </w:tcPr>
          <w:p>
            <w:r>
              <w:rPr>
                <w:sz w:val="14"/>
                <w:szCs w:val="14"/>
              </w:rPr>
              <w:t xml:space="preserve">Assigned KII records</w:t>
            </w:r>
          </w:p>
        </w:tc>
        <w:tc>
          <w:tcPr>
            <w:tcW w:type="dxa" w:w="2356"/>
            <w:shd w:fill="EAF3EE" w:val="clear"/>
            <w:tcMar>
              <w:top w:type="dxa" w:w="40"/>
              <w:left w:type="dxa" w:w="90"/>
              <w:bottom w:type="dxa" w:w="40"/>
              <w:right w:type="dxa" w:w="90"/>
            </w:tcMar>
            <w:vAlign w:val="center"/>
          </w:tcPr>
          <w:p>
            <w:r>
              <w:rPr>
                <w:sz w:val="14"/>
                <w:szCs w:val="14"/>
              </w:rPr>
              <w:t xml:space="preserve">KII/document dashboard only</w:t>
            </w:r>
          </w:p>
        </w:tc>
        <w:tc>
          <w:tcPr>
            <w:tcW w:type="dxa" w:w="1963"/>
            <w:shd w:fill="EAF3EE" w:val="clear"/>
            <w:tcMar>
              <w:top w:type="dxa" w:w="40"/>
              <w:left w:type="dxa" w:w="90"/>
              <w:bottom w:type="dxa" w:w="40"/>
              <w:right w:type="dxa" w:w="90"/>
            </w:tcMar>
            <w:vAlign w:val="center"/>
          </w:tcPr>
          <w:p>
            <w:r>
              <w:rPr>
                <w:sz w:val="14"/>
                <w:szCs w:val="14"/>
              </w:rPr>
              <w:t xml:space="preserve">No</w:t>
            </w:r>
          </w:p>
        </w:tc>
        <w:tc>
          <w:tcPr>
            <w:tcW w:type="dxa" w:w="1374"/>
            <w:shd w:fill="EAF3EE" w:val="clear"/>
            <w:tcMar>
              <w:top w:type="dxa" w:w="40"/>
              <w:left w:type="dxa" w:w="90"/>
              <w:bottom w:type="dxa" w:w="40"/>
              <w:right w:type="dxa" w:w="90"/>
            </w:tcMar>
            <w:vAlign w:val="center"/>
          </w:tcPr>
          <w:p>
            <w:r>
              <w:rPr>
                <w:sz w:val="14"/>
                <w:szCs w:val="14"/>
              </w:rPr>
              <w:t xml:space="preserve">No</w:t>
            </w:r>
          </w:p>
        </w:tc>
      </w:tr>
      <w:tr>
        <w:tc>
          <w:tcPr>
            <w:tcW w:type="dxa" w:w="2356"/>
            <w:shd w:fill="FFFFFF" w:val="clear"/>
            <w:tcMar>
              <w:top w:type="dxa" w:w="40"/>
              <w:left w:type="dxa" w:w="90"/>
              <w:bottom w:type="dxa" w:w="40"/>
              <w:right w:type="dxa" w:w="90"/>
            </w:tcMar>
            <w:vAlign w:val="center"/>
          </w:tcPr>
          <w:p>
            <w:r>
              <w:rPr>
                <w:sz w:val="14"/>
                <w:szCs w:val="14"/>
              </w:rPr>
              <w:t xml:space="preserve">Documentary RA</w:t>
            </w:r>
          </w:p>
        </w:tc>
        <w:tc>
          <w:tcPr>
            <w:tcW w:type="dxa" w:w="2552"/>
            <w:shd w:fill="FFFFFF" w:val="clear"/>
            <w:tcMar>
              <w:top w:type="dxa" w:w="40"/>
              <w:left w:type="dxa" w:w="90"/>
              <w:bottom w:type="dxa" w:w="40"/>
              <w:right w:type="dxa" w:w="90"/>
            </w:tcMar>
            <w:vAlign w:val="center"/>
          </w:tcPr>
          <w:p>
            <w:r>
              <w:rPr>
                <w:sz w:val="14"/>
                <w:szCs w:val="14"/>
              </w:rPr>
              <w:t xml:space="preserve">Assigned document records</w:t>
            </w:r>
          </w:p>
        </w:tc>
        <w:tc>
          <w:tcPr>
            <w:tcW w:type="dxa" w:w="2356"/>
            <w:shd w:fill="FFFFFF" w:val="clear"/>
            <w:tcMar>
              <w:top w:type="dxa" w:w="40"/>
              <w:left w:type="dxa" w:w="90"/>
              <w:bottom w:type="dxa" w:w="40"/>
              <w:right w:type="dxa" w:w="90"/>
            </w:tcMar>
            <w:vAlign w:val="center"/>
          </w:tcPr>
          <w:p>
            <w:r>
              <w:rPr>
                <w:sz w:val="14"/>
                <w:szCs w:val="14"/>
              </w:rPr>
              <w:t xml:space="preserve">KII/document dashboard only</w:t>
            </w:r>
          </w:p>
        </w:tc>
        <w:tc>
          <w:tcPr>
            <w:tcW w:type="dxa" w:w="1963"/>
            <w:shd w:fill="FFFFFF" w:val="clear"/>
            <w:tcMar>
              <w:top w:type="dxa" w:w="40"/>
              <w:left w:type="dxa" w:w="90"/>
              <w:bottom w:type="dxa" w:w="40"/>
              <w:right w:type="dxa" w:w="90"/>
            </w:tcMar>
            <w:vAlign w:val="center"/>
          </w:tcPr>
          <w:p>
            <w:r>
              <w:rPr>
                <w:sz w:val="14"/>
                <w:szCs w:val="14"/>
              </w:rPr>
              <w:t xml:space="preserve">No</w:t>
            </w:r>
          </w:p>
        </w:tc>
        <w:tc>
          <w:tcPr>
            <w:tcW w:type="dxa" w:w="1374"/>
            <w:shd w:fill="FFFFFF" w:val="clear"/>
            <w:tcMar>
              <w:top w:type="dxa" w:w="40"/>
              <w:left w:type="dxa" w:w="90"/>
              <w:bottom w:type="dxa" w:w="40"/>
              <w:right w:type="dxa" w:w="90"/>
            </w:tcMar>
            <w:vAlign w:val="center"/>
          </w:tcPr>
          <w:p>
            <w:r>
              <w:rPr>
                <w:sz w:val="14"/>
                <w:szCs w:val="14"/>
              </w:rPr>
              <w:t xml:space="preserve">No</w:t>
            </w:r>
          </w:p>
        </w:tc>
      </w:tr>
      <w:tr>
        <w:tc>
          <w:tcPr>
            <w:tcW w:type="dxa" w:w="2356"/>
            <w:shd w:fill="EAF3EE" w:val="clear"/>
            <w:tcMar>
              <w:top w:type="dxa" w:w="40"/>
              <w:left w:type="dxa" w:w="90"/>
              <w:bottom w:type="dxa" w:w="40"/>
              <w:right w:type="dxa" w:w="90"/>
            </w:tcMar>
            <w:vAlign w:val="center"/>
          </w:tcPr>
          <w:p>
            <w:r>
              <w:rPr>
                <w:sz w:val="14"/>
                <w:szCs w:val="14"/>
              </w:rPr>
              <w:t xml:space="preserve">Analyst</w:t>
            </w:r>
          </w:p>
        </w:tc>
        <w:tc>
          <w:tcPr>
            <w:tcW w:type="dxa" w:w="2552"/>
            <w:shd w:fill="EAF3EE" w:val="clear"/>
            <w:tcMar>
              <w:top w:type="dxa" w:w="40"/>
              <w:left w:type="dxa" w:w="90"/>
              <w:bottom w:type="dxa" w:w="40"/>
              <w:right w:type="dxa" w:w="90"/>
            </w:tcMar>
            <w:vAlign w:val="center"/>
          </w:tcPr>
          <w:p>
            <w:r>
              <w:rPr>
                <w:sz w:val="14"/>
                <w:szCs w:val="14"/>
              </w:rPr>
              <w:t xml:space="preserve">No</w:t>
            </w:r>
          </w:p>
        </w:tc>
        <w:tc>
          <w:tcPr>
            <w:tcW w:type="dxa" w:w="2356"/>
            <w:shd w:fill="EAF3EE" w:val="clear"/>
            <w:tcMar>
              <w:top w:type="dxa" w:w="40"/>
              <w:left w:type="dxa" w:w="90"/>
              <w:bottom w:type="dxa" w:w="40"/>
              <w:right w:type="dxa" w:w="90"/>
            </w:tcMar>
            <w:vAlign w:val="center"/>
          </w:tcPr>
          <w:p>
            <w:r>
              <w:rPr>
                <w:sz w:val="14"/>
                <w:szCs w:val="14"/>
              </w:rPr>
              <w:t xml:space="preserve">Yes</w:t>
            </w:r>
          </w:p>
        </w:tc>
        <w:tc>
          <w:tcPr>
            <w:tcW w:type="dxa" w:w="1963"/>
            <w:shd w:fill="EAF3EE" w:val="clear"/>
            <w:tcMar>
              <w:top w:type="dxa" w:w="40"/>
              <w:left w:type="dxa" w:w="90"/>
              <w:bottom w:type="dxa" w:w="40"/>
              <w:right w:type="dxa" w:w="90"/>
            </w:tcMar>
            <w:vAlign w:val="center"/>
          </w:tcPr>
          <w:p>
            <w:r>
              <w:rPr>
                <w:sz w:val="14"/>
                <w:szCs w:val="14"/>
              </w:rPr>
              <w:t xml:space="preserve">Yes</w:t>
            </w:r>
          </w:p>
        </w:tc>
        <w:tc>
          <w:tcPr>
            <w:tcW w:type="dxa" w:w="1374"/>
            <w:shd w:fill="EAF3EE" w:val="clear"/>
            <w:tcMar>
              <w:top w:type="dxa" w:w="40"/>
              <w:left w:type="dxa" w:w="90"/>
              <w:bottom w:type="dxa" w:w="40"/>
              <w:right w:type="dxa" w:w="90"/>
            </w:tcMar>
            <w:vAlign w:val="center"/>
          </w:tcPr>
          <w:p>
            <w:r>
              <w:rPr>
                <w:sz w:val="14"/>
                <w:szCs w:val="14"/>
              </w:rPr>
              <w:t xml:space="preserve">No</w:t>
            </w:r>
          </w:p>
        </w:tc>
      </w:tr>
      <w:tr>
        <w:tc>
          <w:tcPr>
            <w:tcW w:type="dxa" w:w="2356"/>
            <w:shd w:fill="FFFFFF" w:val="clear"/>
            <w:tcMar>
              <w:top w:type="dxa" w:w="40"/>
              <w:left w:type="dxa" w:w="90"/>
              <w:bottom w:type="dxa" w:w="40"/>
              <w:right w:type="dxa" w:w="90"/>
            </w:tcMar>
            <w:vAlign w:val="center"/>
          </w:tcPr>
          <w:p>
            <w:r>
              <w:rPr>
                <w:sz w:val="14"/>
                <w:szCs w:val="14"/>
              </w:rPr>
              <w:t xml:space="preserve">Field Coordinator</w:t>
            </w:r>
          </w:p>
        </w:tc>
        <w:tc>
          <w:tcPr>
            <w:tcW w:type="dxa" w:w="2552"/>
            <w:shd w:fill="FFFFFF" w:val="clear"/>
            <w:tcMar>
              <w:top w:type="dxa" w:w="40"/>
              <w:left w:type="dxa" w:w="90"/>
              <w:bottom w:type="dxa" w:w="40"/>
              <w:right w:type="dxa" w:w="90"/>
            </w:tcMar>
            <w:vAlign w:val="center"/>
          </w:tcPr>
          <w:p>
            <w:r>
              <w:rPr>
                <w:sz w:val="14"/>
                <w:szCs w:val="14"/>
              </w:rPr>
              <w:t xml:space="preserve">Yes (all)</w:t>
            </w:r>
          </w:p>
        </w:tc>
        <w:tc>
          <w:tcPr>
            <w:tcW w:type="dxa" w:w="2356"/>
            <w:shd w:fill="FFFFFF" w:val="clear"/>
            <w:tcMar>
              <w:top w:type="dxa" w:w="40"/>
              <w:left w:type="dxa" w:w="90"/>
              <w:bottom w:type="dxa" w:w="40"/>
              <w:right w:type="dxa" w:w="90"/>
            </w:tcMar>
            <w:vAlign w:val="center"/>
          </w:tcPr>
          <w:p>
            <w:r>
              <w:rPr>
                <w:sz w:val="14"/>
                <w:szCs w:val="14"/>
              </w:rPr>
              <w:t xml:space="preserve">Yes</w:t>
            </w:r>
          </w:p>
        </w:tc>
        <w:tc>
          <w:tcPr>
            <w:tcW w:type="dxa" w:w="1963"/>
            <w:shd w:fill="FFFFFF" w:val="clear"/>
            <w:tcMar>
              <w:top w:type="dxa" w:w="40"/>
              <w:left w:type="dxa" w:w="90"/>
              <w:bottom w:type="dxa" w:w="40"/>
              <w:right w:type="dxa" w:w="90"/>
            </w:tcMar>
            <w:vAlign w:val="center"/>
          </w:tcPr>
          <w:p>
            <w:r>
              <w:rPr>
                <w:sz w:val="14"/>
                <w:szCs w:val="14"/>
              </w:rPr>
              <w:t xml:space="preserve">No</w:t>
            </w:r>
          </w:p>
        </w:tc>
        <w:tc>
          <w:tcPr>
            <w:tcW w:type="dxa" w:w="1374"/>
            <w:shd w:fill="FFFFFF" w:val="clear"/>
            <w:tcMar>
              <w:top w:type="dxa" w:w="40"/>
              <w:left w:type="dxa" w:w="90"/>
              <w:bottom w:type="dxa" w:w="40"/>
              <w:right w:type="dxa" w:w="90"/>
            </w:tcMar>
            <w:vAlign w:val="center"/>
          </w:tcPr>
          <w:p>
            <w:r>
              <w:rPr>
                <w:sz w:val="14"/>
                <w:szCs w:val="14"/>
              </w:rPr>
              <w:t xml:space="preserve">No</w:t>
            </w:r>
          </w:p>
        </w:tc>
      </w:tr>
      <w:tr>
        <w:tc>
          <w:tcPr>
            <w:tcW w:type="dxa" w:w="2356"/>
            <w:shd w:fill="EAF3EE" w:val="clear"/>
            <w:tcMar>
              <w:top w:type="dxa" w:w="40"/>
              <w:left w:type="dxa" w:w="90"/>
              <w:bottom w:type="dxa" w:w="40"/>
              <w:right w:type="dxa" w:w="90"/>
            </w:tcMar>
            <w:vAlign w:val="center"/>
          </w:tcPr>
          <w:p>
            <w:r>
              <w:rPr>
                <w:sz w:val="14"/>
                <w:szCs w:val="14"/>
              </w:rPr>
              <w:t xml:space="preserve">PI / Admin</w:t>
            </w:r>
          </w:p>
        </w:tc>
        <w:tc>
          <w:tcPr>
            <w:tcW w:type="dxa" w:w="2552"/>
            <w:shd w:fill="EAF3EE" w:val="clear"/>
            <w:tcMar>
              <w:top w:type="dxa" w:w="40"/>
              <w:left w:type="dxa" w:w="90"/>
              <w:bottom w:type="dxa" w:w="40"/>
              <w:right w:type="dxa" w:w="90"/>
            </w:tcMar>
            <w:vAlign w:val="center"/>
          </w:tcPr>
          <w:p>
            <w:r>
              <w:rPr>
                <w:sz w:val="14"/>
                <w:szCs w:val="14"/>
              </w:rPr>
              <w:t xml:space="preserve">Yes (all)</w:t>
            </w:r>
          </w:p>
        </w:tc>
        <w:tc>
          <w:tcPr>
            <w:tcW w:type="dxa" w:w="2356"/>
            <w:shd w:fill="EAF3EE" w:val="clear"/>
            <w:tcMar>
              <w:top w:type="dxa" w:w="40"/>
              <w:left w:type="dxa" w:w="90"/>
              <w:bottom w:type="dxa" w:w="40"/>
              <w:right w:type="dxa" w:w="90"/>
            </w:tcMar>
            <w:vAlign w:val="center"/>
          </w:tcPr>
          <w:p>
            <w:r>
              <w:rPr>
                <w:sz w:val="14"/>
                <w:szCs w:val="14"/>
              </w:rPr>
              <w:t xml:space="preserve">Yes</w:t>
            </w:r>
          </w:p>
        </w:tc>
        <w:tc>
          <w:tcPr>
            <w:tcW w:type="dxa" w:w="1963"/>
            <w:shd w:fill="EAF3EE" w:val="clear"/>
            <w:tcMar>
              <w:top w:type="dxa" w:w="40"/>
              <w:left w:type="dxa" w:w="90"/>
              <w:bottom w:type="dxa" w:w="40"/>
              <w:right w:type="dxa" w:w="90"/>
            </w:tcMar>
            <w:vAlign w:val="center"/>
          </w:tcPr>
          <w:p>
            <w:r>
              <w:rPr>
                <w:sz w:val="14"/>
                <w:szCs w:val="14"/>
              </w:rPr>
              <w:t xml:space="preserve">Yes</w:t>
            </w:r>
          </w:p>
        </w:tc>
        <w:tc>
          <w:tcPr>
            <w:tcW w:type="dxa" w:w="1374"/>
            <w:shd w:fill="EAF3EE" w:val="clear"/>
            <w:tcMar>
              <w:top w:type="dxa" w:w="40"/>
              <w:left w:type="dxa" w:w="90"/>
              <w:bottom w:type="dxa" w:w="40"/>
              <w:right w:type="dxa" w:w="90"/>
            </w:tcMar>
            <w:vAlign w:val="center"/>
          </w:tcPr>
          <w:p>
            <w:r>
              <w:rPr>
                <w:sz w:val="14"/>
                <w:szCs w:val="14"/>
              </w:rPr>
              <w:t xml:space="preserve">Yes</w:t>
            </w:r>
          </w:p>
        </w:tc>
      </w:tr>
      <w:tr>
        <w:tc>
          <w:tcPr>
            <w:tcW w:type="dxa" w:w="2356"/>
            <w:shd w:fill="FFFFFF" w:val="clear"/>
            <w:tcMar>
              <w:top w:type="dxa" w:w="40"/>
              <w:left w:type="dxa" w:w="90"/>
              <w:bottom w:type="dxa" w:w="40"/>
              <w:right w:type="dxa" w:w="90"/>
            </w:tcMar>
            <w:vAlign w:val="center"/>
          </w:tcPr>
          <w:p>
            <w:r>
              <w:rPr>
                <w:sz w:val="14"/>
                <w:szCs w:val="14"/>
              </w:rPr>
              <w:t xml:space="preserve">Supervisor (read-only)</w:t>
            </w:r>
          </w:p>
        </w:tc>
        <w:tc>
          <w:tcPr>
            <w:tcW w:type="dxa" w:w="2552"/>
            <w:shd w:fill="FFFFFF" w:val="clear"/>
            <w:tcMar>
              <w:top w:type="dxa" w:w="40"/>
              <w:left w:type="dxa" w:w="90"/>
              <w:bottom w:type="dxa" w:w="40"/>
              <w:right w:type="dxa" w:w="90"/>
            </w:tcMar>
            <w:vAlign w:val="center"/>
          </w:tcPr>
          <w:p>
            <w:r>
              <w:rPr>
                <w:sz w:val="14"/>
                <w:szCs w:val="14"/>
              </w:rPr>
              <w:t xml:space="preserve">Read-only, all</w:t>
            </w:r>
          </w:p>
        </w:tc>
        <w:tc>
          <w:tcPr>
            <w:tcW w:type="dxa" w:w="2356"/>
            <w:shd w:fill="FFFFFF" w:val="clear"/>
            <w:tcMar>
              <w:top w:type="dxa" w:w="40"/>
              <w:left w:type="dxa" w:w="90"/>
              <w:bottom w:type="dxa" w:w="40"/>
              <w:right w:type="dxa" w:w="90"/>
            </w:tcMar>
            <w:vAlign w:val="center"/>
          </w:tcPr>
          <w:p>
            <w:r>
              <w:rPr>
                <w:sz w:val="14"/>
                <w:szCs w:val="14"/>
              </w:rPr>
              <w:t xml:space="preserve">Yes</w:t>
            </w:r>
          </w:p>
        </w:tc>
        <w:tc>
          <w:tcPr>
            <w:tcW w:type="dxa" w:w="1963"/>
            <w:shd w:fill="FFFFFF" w:val="clear"/>
            <w:tcMar>
              <w:top w:type="dxa" w:w="40"/>
              <w:left w:type="dxa" w:w="90"/>
              <w:bottom w:type="dxa" w:w="40"/>
              <w:right w:type="dxa" w:w="90"/>
            </w:tcMar>
            <w:vAlign w:val="center"/>
          </w:tcPr>
          <w:p>
            <w:r>
              <w:rPr>
                <w:sz w:val="14"/>
                <w:szCs w:val="14"/>
              </w:rPr>
              <w:t xml:space="preserve">No</w:t>
            </w:r>
          </w:p>
        </w:tc>
        <w:tc>
          <w:tcPr>
            <w:tcW w:type="dxa" w:w="1374"/>
            <w:shd w:fill="FFFFFF" w:val="clear"/>
            <w:tcMar>
              <w:top w:type="dxa" w:w="40"/>
              <w:left w:type="dxa" w:w="90"/>
              <w:bottom w:type="dxa" w:w="40"/>
              <w:right w:type="dxa" w:w="90"/>
            </w:tcMar>
            <w:vAlign w:val="center"/>
          </w:tcPr>
          <w:p>
            <w:r>
              <w:rPr>
                <w:sz w:val="14"/>
                <w:szCs w:val="14"/>
              </w:rPr>
              <w:t xml:space="preserve">No</w:t>
            </w:r>
          </w:p>
        </w:tc>
      </w:tr>
    </w:tbl>
    <w:p>
      <w:pPr>
        <w:spacing w:after="70" w:before="160"/>
      </w:pPr>
      <w:r>
        <w:rPr>
          <w:b/>
          <w:bCs/>
          <w:color w:val="042A1E"/>
          <w:sz w:val="20"/>
          <w:szCs w:val="20"/>
        </w:rPr>
        <w:t xml:space="preserve">15.3 General controls (carried from v1.0, unchanged)</w:t>
      </w:r>
    </w:p>
    <w:p>
      <w:pPr>
        <w:spacing w:after="50"/>
        <w:ind w:left="220" w:hanging="160"/>
      </w:pPr>
      <w:r>
        <w:rPr>
          <w:b/>
          <w:bCs/>
          <w:sz w:val="18"/>
          <w:szCs w:val="18"/>
        </w:rPr>
        <w:t xml:space="preserve">•  </w:t>
      </w:r>
      <w:r>
        <w:rPr>
          <w:sz w:val="18"/>
          <w:szCs w:val="18"/>
        </w:rPr>
        <w:t xml:space="preserve">HTTPS/TLS for all portal traffic.</w:t>
      </w:r>
    </w:p>
    <w:p>
      <w:pPr>
        <w:spacing w:after="50"/>
        <w:ind w:left="220" w:hanging="160"/>
      </w:pPr>
      <w:r>
        <w:rPr>
          <w:b/>
          <w:bCs/>
          <w:sz w:val="18"/>
          <w:szCs w:val="18"/>
        </w:rPr>
        <w:t xml:space="preserve">•  </w:t>
      </w:r>
      <w:r>
        <w:rPr>
          <w:sz w:val="18"/>
          <w:szCs w:val="18"/>
        </w:rPr>
        <w:t xml:space="preserve">Researcher accounts protected by strong passwords and preferably multi-factor authentication.</w:t>
      </w:r>
    </w:p>
    <w:p>
      <w:pPr>
        <w:spacing w:after="50"/>
        <w:ind w:left="220" w:hanging="160"/>
      </w:pPr>
      <w:r>
        <w:rPr>
          <w:b/>
          <w:bCs/>
          <w:sz w:val="18"/>
          <w:szCs w:val="18"/>
        </w:rPr>
        <w:t xml:space="preserve">•  </w:t>
      </w:r>
      <w:r>
        <w:rPr>
          <w:sz w:val="18"/>
          <w:szCs w:val="18"/>
        </w:rPr>
        <w:t xml:space="preserve">Invitation tokens stored hashed, never in plaintext (§26); never rely on predictable Sample_ID as a secret.</w:t>
      </w:r>
    </w:p>
    <w:p>
      <w:pPr>
        <w:spacing w:after="50"/>
        <w:ind w:left="220" w:hanging="160"/>
      </w:pPr>
      <w:r>
        <w:rPr>
          <w:b/>
          <w:bCs/>
          <w:sz w:val="18"/>
          <w:szCs w:val="18"/>
        </w:rPr>
        <w:t xml:space="preserve">•  </w:t>
      </w:r>
      <w:r>
        <w:rPr>
          <w:sz w:val="18"/>
          <w:szCs w:val="18"/>
        </w:rPr>
        <w:t xml:space="preserve">Least-privilege access: analysts receive de-identified research data rather than contact records.</w:t>
      </w:r>
    </w:p>
    <w:p>
      <w:pPr>
        <w:spacing w:after="50"/>
        <w:ind w:left="220" w:hanging="160"/>
      </w:pPr>
      <w:r>
        <w:rPr>
          <w:b/>
          <w:bCs/>
          <w:sz w:val="18"/>
          <w:szCs w:val="18"/>
        </w:rPr>
        <w:t xml:space="preserve">•  </w:t>
      </w:r>
      <w:r>
        <w:rPr>
          <w:sz w:val="18"/>
          <w:szCs w:val="18"/>
        </w:rPr>
        <w:t xml:space="preserve">Contact data logically segregated from analytical response data.</w:t>
      </w:r>
    </w:p>
    <w:p>
      <w:pPr>
        <w:spacing w:after="50"/>
        <w:ind w:left="220" w:hanging="160"/>
      </w:pPr>
      <w:r>
        <w:rPr>
          <w:b/>
          <w:bCs/>
          <w:sz w:val="18"/>
          <w:szCs w:val="18"/>
        </w:rPr>
        <w:t xml:space="preserve">•  </w:t>
      </w:r>
      <w:r>
        <w:rPr>
          <w:sz w:val="18"/>
          <w:szCs w:val="18"/>
        </w:rPr>
        <w:t xml:space="preserve">Encrypted backups and restricted file-sharing links (recordings and documents live in a secure, access-controlled store — never a generic cloud share link).</w:t>
      </w:r>
    </w:p>
    <w:p>
      <w:pPr>
        <w:spacing w:after="50"/>
        <w:ind w:left="220" w:hanging="160"/>
      </w:pPr>
      <w:r>
        <w:rPr>
          <w:b/>
          <w:bCs/>
          <w:sz w:val="18"/>
          <w:szCs w:val="18"/>
        </w:rPr>
        <w:t xml:space="preserve">•  </w:t>
      </w:r>
      <w:r>
        <w:rPr>
          <w:sz w:val="18"/>
          <w:szCs w:val="18"/>
        </w:rPr>
        <w:t xml:space="preserve">Audit events recorded for login-sensitive actions, consent changes, QA decisions and reserve activation.</w:t>
      </w:r>
    </w:p>
    <w:p>
      <w:pPr>
        <w:spacing w:after="50"/>
        <w:ind w:left="220" w:hanging="160"/>
      </w:pPr>
      <w:r>
        <w:rPr>
          <w:b/>
          <w:bCs/>
          <w:sz w:val="18"/>
          <w:szCs w:val="18"/>
        </w:rPr>
        <w:t xml:space="preserve">•  </w:t>
      </w:r>
      <w:r>
        <w:rPr>
          <w:sz w:val="18"/>
          <w:szCs w:val="18"/>
        </w:rPr>
        <w:t xml:space="preserve">Retention, withdrawal and destruction procedures follow the approved ethics protocol and applicable data-protection requirements.</w:t>
      </w:r>
    </w:p>
    <w:p>
      <w:pPr>
        <w:spacing w:after="50"/>
        <w:ind w:left="220" w:hanging="160"/>
      </w:pPr>
      <w:r>
        <w:rPr>
          <w:b/>
          <w:bCs/>
          <w:sz w:val="18"/>
          <w:szCs w:val="18"/>
        </w:rPr>
        <w:t xml:space="preserve">•  </w:t>
      </w:r>
      <w:r>
        <w:rPr>
          <w:sz w:val="18"/>
          <w:szCs w:val="18"/>
        </w:rPr>
        <w:t xml:space="preserve">Sensitive respondent data is never sent to unapproved AI services — the AI Field Coordinator agents (§13) operate on this application's own infrastructure only.</w:t>
      </w:r>
    </w:p>
    <w:p>
      <w:r>
        <w:br w:type="page"/>
      </w:r>
    </w:p>
    <w:p>
      <w:pPr>
        <w:pBdr>
          <w:bottom w:val="single" w:color="063D2B" w:sz="6" w:space="3"/>
        </w:pBdr>
        <w:spacing w:after="100" w:before="260"/>
      </w:pPr>
      <w:r>
        <w:rPr>
          <w:b/>
          <w:bCs/>
          <w:color w:val="063D2B"/>
          <w:sz w:val="25"/>
          <w:szCs w:val="25"/>
        </w:rPr>
        <w:t xml:space="preserve">16. Technology Stack — REVISED in v2.0</w:t>
      </w:r>
    </w:p>
    <w:p>
      <w:pPr>
        <w:spacing w:after="110"/>
        <w:jc w:val="both"/>
      </w:pPr>
      <w:r>
        <w:rPr>
          <w:sz w:val="19"/>
          <w:szCs w:val="19"/>
        </w:rPr>
        <w:t xml:space="preserve">v1.0 left the stack as an open architectural choice between options. v2.0 confirms it explicitly: Next.js/TypeScript frontend and Django/PostgreSQL backend, the same stack as the existing ABI research-demonstration application, so the two can share developer patterns and, in production, hosting infrastructure. See §30 for exactly what is and is not shared.</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696"/>
        <w:gridCol w:w="3816"/>
        <w:gridCol w:w="5088"/>
      </w:tblGrid>
      <w:tr>
        <w:trPr>
          <w:tblHeader/>
        </w:trPr>
        <w:tc>
          <w:tcPr>
            <w:tcW w:type="dxa" w:w="1696"/>
            <w:shd w:fill="063D2B" w:val="clear"/>
            <w:tcMar>
              <w:top w:type="dxa" w:w="45"/>
              <w:left w:type="dxa" w:w="90"/>
              <w:bottom w:type="dxa" w:w="45"/>
              <w:right w:type="dxa" w:w="90"/>
            </w:tcMar>
            <w:vAlign w:val="center"/>
          </w:tcPr>
          <w:p>
            <w:r>
              <w:rPr>
                <w:b/>
                <w:bCs/>
                <w:color w:val="FFFFFF"/>
                <w:sz w:val="14"/>
                <w:szCs w:val="14"/>
              </w:rPr>
              <w:t xml:space="preserve">Layer</w:t>
            </w:r>
          </w:p>
        </w:tc>
        <w:tc>
          <w:tcPr>
            <w:tcW w:type="dxa" w:w="3816"/>
            <w:shd w:fill="063D2B" w:val="clear"/>
            <w:tcMar>
              <w:top w:type="dxa" w:w="45"/>
              <w:left w:type="dxa" w:w="90"/>
              <w:bottom w:type="dxa" w:w="45"/>
              <w:right w:type="dxa" w:w="90"/>
            </w:tcMar>
            <w:vAlign w:val="center"/>
          </w:tcPr>
          <w:p>
            <w:r>
              <w:rPr>
                <w:b/>
                <w:bCs/>
                <w:color w:val="FFFFFF"/>
                <w:sz w:val="14"/>
                <w:szCs w:val="14"/>
              </w:rPr>
              <w:t xml:space="preserve">Decision</w:t>
            </w:r>
          </w:p>
        </w:tc>
        <w:tc>
          <w:tcPr>
            <w:tcW w:type="dxa" w:w="5088"/>
            <w:shd w:fill="063D2B" w:val="clear"/>
            <w:tcMar>
              <w:top w:type="dxa" w:w="45"/>
              <w:left w:type="dxa" w:w="90"/>
              <w:bottom w:type="dxa" w:w="45"/>
              <w:right w:type="dxa" w:w="90"/>
            </w:tcMar>
            <w:vAlign w:val="center"/>
          </w:tcPr>
          <w:p>
            <w:r>
              <w:rPr>
                <w:b/>
                <w:bCs/>
                <w:color w:val="FFFFFF"/>
                <w:sz w:val="14"/>
                <w:szCs w:val="14"/>
              </w:rPr>
              <w:t xml:space="preserve">Rationale</w:t>
            </w:r>
          </w:p>
        </w:tc>
      </w:tr>
      <w:tr>
        <w:tc>
          <w:tcPr>
            <w:tcW w:type="dxa" w:w="1696"/>
            <w:shd w:fill="FFFFFF" w:val="clear"/>
            <w:tcMar>
              <w:top w:type="dxa" w:w="45"/>
              <w:left w:type="dxa" w:w="90"/>
              <w:bottom w:type="dxa" w:w="45"/>
              <w:right w:type="dxa" w:w="90"/>
            </w:tcMar>
            <w:vAlign w:val="center"/>
          </w:tcPr>
          <w:p>
            <w:r>
              <w:rPr>
                <w:sz w:val="14"/>
                <w:szCs w:val="14"/>
              </w:rPr>
              <w:t xml:space="preserve">Frontend</w:t>
            </w:r>
          </w:p>
        </w:tc>
        <w:tc>
          <w:tcPr>
            <w:tcW w:type="dxa" w:w="3816"/>
            <w:shd w:fill="FFFFFF" w:val="clear"/>
            <w:tcMar>
              <w:top w:type="dxa" w:w="45"/>
              <w:left w:type="dxa" w:w="90"/>
              <w:bottom w:type="dxa" w:w="45"/>
              <w:right w:type="dxa" w:w="90"/>
            </w:tcMar>
            <w:vAlign w:val="center"/>
          </w:tcPr>
          <w:p>
            <w:r>
              <w:rPr>
                <w:sz w:val="14"/>
                <w:szCs w:val="14"/>
              </w:rPr>
              <w:t xml:space="preserve">Next.js 15+ (App Router) + TypeScript</w:t>
            </w:r>
          </w:p>
        </w:tc>
        <w:tc>
          <w:tcPr>
            <w:tcW w:type="dxa" w:w="5088"/>
            <w:shd w:fill="FFFFFF" w:val="clear"/>
            <w:tcMar>
              <w:top w:type="dxa" w:w="45"/>
              <w:left w:type="dxa" w:w="90"/>
              <w:bottom w:type="dxa" w:w="45"/>
              <w:right w:type="dxa" w:w="90"/>
            </w:tcMar>
            <w:vAlign w:val="center"/>
          </w:tcPr>
          <w:p>
            <w:r>
              <w:rPr>
                <w:sz w:val="14"/>
                <w:szCs w:val="14"/>
              </w:rPr>
              <w:t xml:space="preserve">Matches the existing ABI application's own stack exactly — a deliberate decision, not a coincidence, so the two projects can share developer familiarity and, in production, hosting infrastructure (§30).</w:t>
            </w:r>
          </w:p>
        </w:tc>
      </w:tr>
      <w:tr>
        <w:tc>
          <w:tcPr>
            <w:tcW w:type="dxa" w:w="1696"/>
            <w:shd w:fill="EAF3EE" w:val="clear"/>
            <w:tcMar>
              <w:top w:type="dxa" w:w="45"/>
              <w:left w:type="dxa" w:w="90"/>
              <w:bottom w:type="dxa" w:w="45"/>
              <w:right w:type="dxa" w:w="90"/>
            </w:tcMar>
            <w:vAlign w:val="center"/>
          </w:tcPr>
          <w:p>
            <w:r>
              <w:rPr>
                <w:sz w:val="14"/>
                <w:szCs w:val="14"/>
              </w:rPr>
              <w:t xml:space="preserve">Styling / components</w:t>
            </w:r>
          </w:p>
        </w:tc>
        <w:tc>
          <w:tcPr>
            <w:tcW w:type="dxa" w:w="3816"/>
            <w:shd w:fill="EAF3EE" w:val="clear"/>
            <w:tcMar>
              <w:top w:type="dxa" w:w="45"/>
              <w:left w:type="dxa" w:w="90"/>
              <w:bottom w:type="dxa" w:w="45"/>
              <w:right w:type="dxa" w:w="90"/>
            </w:tcMar>
            <w:vAlign w:val="center"/>
          </w:tcPr>
          <w:p>
            <w:r>
              <w:rPr>
                <w:sz w:val="14"/>
                <w:szCs w:val="14"/>
              </w:rPr>
              <w:t xml:space="preserve">Tailwind CSS + shadcn/ui</w:t>
            </w:r>
          </w:p>
        </w:tc>
        <w:tc>
          <w:tcPr>
            <w:tcW w:type="dxa" w:w="5088"/>
            <w:shd w:fill="EAF3EE" w:val="clear"/>
            <w:tcMar>
              <w:top w:type="dxa" w:w="45"/>
              <w:left w:type="dxa" w:w="90"/>
              <w:bottom w:type="dxa" w:w="45"/>
              <w:right w:type="dxa" w:w="90"/>
            </w:tcMar>
            <w:vAlign w:val="center"/>
          </w:tcPr>
          <w:p>
            <w:r>
              <w:rPr>
                <w:sz w:val="14"/>
                <w:szCs w:val="14"/>
              </w:rPr>
              <w:t xml:space="preserve">Same component approach as ABI.</w:t>
            </w:r>
          </w:p>
        </w:tc>
      </w:tr>
      <w:tr>
        <w:tc>
          <w:tcPr>
            <w:tcW w:type="dxa" w:w="1696"/>
            <w:shd w:fill="FFFFFF" w:val="clear"/>
            <w:tcMar>
              <w:top w:type="dxa" w:w="45"/>
              <w:left w:type="dxa" w:w="90"/>
              <w:bottom w:type="dxa" w:w="45"/>
              <w:right w:type="dxa" w:w="90"/>
            </w:tcMar>
            <w:vAlign w:val="center"/>
          </w:tcPr>
          <w:p>
            <w:r>
              <w:rPr>
                <w:sz w:val="14"/>
                <w:szCs w:val="14"/>
              </w:rPr>
              <w:t xml:space="preserve">Data fetching</w:t>
            </w:r>
          </w:p>
        </w:tc>
        <w:tc>
          <w:tcPr>
            <w:tcW w:type="dxa" w:w="3816"/>
            <w:shd w:fill="FFFFFF" w:val="clear"/>
            <w:tcMar>
              <w:top w:type="dxa" w:w="45"/>
              <w:left w:type="dxa" w:w="90"/>
              <w:bottom w:type="dxa" w:w="45"/>
              <w:right w:type="dxa" w:w="90"/>
            </w:tcMar>
            <w:vAlign w:val="center"/>
          </w:tcPr>
          <w:p>
            <w:r>
              <w:rPr>
                <w:sz w:val="14"/>
                <w:szCs w:val="14"/>
              </w:rPr>
              <w:t xml:space="preserve">TanStack Query</w:t>
            </w:r>
          </w:p>
        </w:tc>
        <w:tc>
          <w:tcPr>
            <w:tcW w:type="dxa" w:w="5088"/>
            <w:shd w:fill="FFFFFF" w:val="clear"/>
            <w:tcMar>
              <w:top w:type="dxa" w:w="45"/>
              <w:left w:type="dxa" w:w="90"/>
              <w:bottom w:type="dxa" w:w="45"/>
              <w:right w:type="dxa" w:w="90"/>
            </w:tcMar>
            <w:vAlign w:val="center"/>
          </w:tcPr>
          <w:p>
            <w:r>
              <w:rPr>
                <w:sz w:val="14"/>
                <w:szCs w:val="14"/>
              </w:rPr>
              <w:t xml:space="preserve">Server-state cache for API calls.</w:t>
            </w:r>
          </w:p>
        </w:tc>
      </w:tr>
      <w:tr>
        <w:tc>
          <w:tcPr>
            <w:tcW w:type="dxa" w:w="1696"/>
            <w:shd w:fill="EAF3EE" w:val="clear"/>
            <w:tcMar>
              <w:top w:type="dxa" w:w="45"/>
              <w:left w:type="dxa" w:w="90"/>
              <w:bottom w:type="dxa" w:w="45"/>
              <w:right w:type="dxa" w:w="90"/>
            </w:tcMar>
            <w:vAlign w:val="center"/>
          </w:tcPr>
          <w:p>
            <w:r>
              <w:rPr>
                <w:sz w:val="14"/>
                <w:szCs w:val="14"/>
              </w:rPr>
              <w:t xml:space="preserve">Forms</w:t>
            </w:r>
          </w:p>
        </w:tc>
        <w:tc>
          <w:tcPr>
            <w:tcW w:type="dxa" w:w="3816"/>
            <w:shd w:fill="EAF3EE" w:val="clear"/>
            <w:tcMar>
              <w:top w:type="dxa" w:w="45"/>
              <w:left w:type="dxa" w:w="90"/>
              <w:bottom w:type="dxa" w:w="45"/>
              <w:right w:type="dxa" w:w="90"/>
            </w:tcMar>
            <w:vAlign w:val="center"/>
          </w:tcPr>
          <w:p>
            <w:r>
              <w:rPr>
                <w:sz w:val="14"/>
                <w:szCs w:val="14"/>
              </w:rPr>
              <w:t xml:space="preserve">React Hook Form + Zod</w:t>
            </w:r>
          </w:p>
        </w:tc>
        <w:tc>
          <w:tcPr>
            <w:tcW w:type="dxa" w:w="5088"/>
            <w:shd w:fill="EAF3EE" w:val="clear"/>
            <w:tcMar>
              <w:top w:type="dxa" w:w="45"/>
              <w:left w:type="dxa" w:w="90"/>
              <w:bottom w:type="dxa" w:w="45"/>
              <w:right w:type="dxa" w:w="90"/>
            </w:tcMar>
            <w:vAlign w:val="center"/>
          </w:tcPr>
          <w:p>
            <w:r>
              <w:rPr>
                <w:sz w:val="14"/>
                <w:szCs w:val="14"/>
              </w:rPr>
              <w:t xml:space="preserve">Validation mirroring backend serializers.</w:t>
            </w:r>
          </w:p>
        </w:tc>
      </w:tr>
      <w:tr>
        <w:tc>
          <w:tcPr>
            <w:tcW w:type="dxa" w:w="1696"/>
            <w:shd w:fill="FFFFFF" w:val="clear"/>
            <w:tcMar>
              <w:top w:type="dxa" w:w="45"/>
              <w:left w:type="dxa" w:w="90"/>
              <w:bottom w:type="dxa" w:w="45"/>
              <w:right w:type="dxa" w:w="90"/>
            </w:tcMar>
            <w:vAlign w:val="center"/>
          </w:tcPr>
          <w:p>
            <w:r>
              <w:rPr>
                <w:sz w:val="14"/>
                <w:szCs w:val="14"/>
              </w:rPr>
              <w:t xml:space="preserve">Backend</w:t>
            </w:r>
          </w:p>
        </w:tc>
        <w:tc>
          <w:tcPr>
            <w:tcW w:type="dxa" w:w="3816"/>
            <w:shd w:fill="FFFFFF" w:val="clear"/>
            <w:tcMar>
              <w:top w:type="dxa" w:w="45"/>
              <w:left w:type="dxa" w:w="90"/>
              <w:bottom w:type="dxa" w:w="45"/>
              <w:right w:type="dxa" w:w="90"/>
            </w:tcMar>
            <w:vAlign w:val="center"/>
          </w:tcPr>
          <w:p>
            <w:r>
              <w:rPr>
                <w:sz w:val="14"/>
                <w:szCs w:val="14"/>
              </w:rPr>
              <w:t xml:space="preserve">Django 5.x + Django REST Framework (Python 3.12+)</w:t>
            </w:r>
          </w:p>
        </w:tc>
        <w:tc>
          <w:tcPr>
            <w:tcW w:type="dxa" w:w="5088"/>
            <w:shd w:fill="FFFFFF" w:val="clear"/>
            <w:tcMar>
              <w:top w:type="dxa" w:w="45"/>
              <w:left w:type="dxa" w:w="90"/>
              <w:bottom w:type="dxa" w:w="45"/>
              <w:right w:type="dxa" w:w="90"/>
            </w:tcMar>
            <w:vAlign w:val="center"/>
          </w:tcPr>
          <w:p>
            <w:r>
              <w:rPr>
                <w:sz w:val="14"/>
                <w:szCs w:val="14"/>
              </w:rPr>
              <w:t xml:space="preserve">Same backend framework as ABI.</w:t>
            </w:r>
          </w:p>
        </w:tc>
      </w:tr>
      <w:tr>
        <w:tc>
          <w:tcPr>
            <w:tcW w:type="dxa" w:w="1696"/>
            <w:shd w:fill="EAF3EE" w:val="clear"/>
            <w:tcMar>
              <w:top w:type="dxa" w:w="45"/>
              <w:left w:type="dxa" w:w="90"/>
              <w:bottom w:type="dxa" w:w="45"/>
              <w:right w:type="dxa" w:w="90"/>
            </w:tcMar>
            <w:vAlign w:val="center"/>
          </w:tcPr>
          <w:p>
            <w:r>
              <w:rPr>
                <w:sz w:val="14"/>
                <w:szCs w:val="14"/>
              </w:rPr>
              <w:t xml:space="preserve">Auth</w:t>
            </w:r>
          </w:p>
        </w:tc>
        <w:tc>
          <w:tcPr>
            <w:tcW w:type="dxa" w:w="3816"/>
            <w:shd w:fill="EAF3EE" w:val="clear"/>
            <w:tcMar>
              <w:top w:type="dxa" w:w="45"/>
              <w:left w:type="dxa" w:w="90"/>
              <w:bottom w:type="dxa" w:w="45"/>
              <w:right w:type="dxa" w:w="90"/>
            </w:tcMar>
            <w:vAlign w:val="center"/>
          </w:tcPr>
          <w:p>
            <w:r>
              <w:rPr>
                <w:sz w:val="14"/>
                <w:szCs w:val="14"/>
              </w:rPr>
              <w:t xml:space="preserve">JWT via djangorestframework-simplejwt</w:t>
            </w:r>
          </w:p>
        </w:tc>
        <w:tc>
          <w:tcPr>
            <w:tcW w:type="dxa" w:w="5088"/>
            <w:shd w:fill="EAF3EE" w:val="clear"/>
            <w:tcMar>
              <w:top w:type="dxa" w:w="45"/>
              <w:left w:type="dxa" w:w="90"/>
              <w:bottom w:type="dxa" w:w="45"/>
              <w:right w:type="dxa" w:w="90"/>
            </w:tcMar>
            <w:vAlign w:val="center"/>
          </w:tcPr>
          <w:p>
            <w:r>
              <w:rPr>
                <w:sz w:val="14"/>
                <w:szCs w:val="14"/>
              </w:rPr>
              <w:t xml:space="preserve">Internal users only — public respondents authenticate via invitation token (§26), never an account.</w:t>
            </w:r>
          </w:p>
        </w:tc>
      </w:tr>
      <w:tr>
        <w:tc>
          <w:tcPr>
            <w:tcW w:type="dxa" w:w="1696"/>
            <w:shd w:fill="FFFFFF" w:val="clear"/>
            <w:tcMar>
              <w:top w:type="dxa" w:w="45"/>
              <w:left w:type="dxa" w:w="90"/>
              <w:bottom w:type="dxa" w:w="45"/>
              <w:right w:type="dxa" w:w="90"/>
            </w:tcMar>
            <w:vAlign w:val="center"/>
          </w:tcPr>
          <w:p>
            <w:r>
              <w:rPr>
                <w:sz w:val="14"/>
                <w:szCs w:val="14"/>
              </w:rPr>
              <w:t xml:space="preserve">Database</w:t>
            </w:r>
          </w:p>
        </w:tc>
        <w:tc>
          <w:tcPr>
            <w:tcW w:type="dxa" w:w="3816"/>
            <w:shd w:fill="FFFFFF" w:val="clear"/>
            <w:tcMar>
              <w:top w:type="dxa" w:w="45"/>
              <w:left w:type="dxa" w:w="90"/>
              <w:bottom w:type="dxa" w:w="45"/>
              <w:right w:type="dxa" w:w="90"/>
            </w:tcMar>
            <w:vAlign w:val="center"/>
          </w:tcPr>
          <w:p>
            <w:r>
              <w:rPr>
                <w:sz w:val="14"/>
                <w:szCs w:val="14"/>
              </w:rPr>
              <w:t xml:space="preserve">PostgreSQL 15+, its own instance/schema (drp_db)</w:t>
            </w:r>
          </w:p>
        </w:tc>
        <w:tc>
          <w:tcPr>
            <w:tcW w:type="dxa" w:w="5088"/>
            <w:shd w:fill="FFFFFF" w:val="clear"/>
            <w:tcMar>
              <w:top w:type="dxa" w:w="45"/>
              <w:left w:type="dxa" w:w="90"/>
              <w:bottom w:type="dxa" w:w="45"/>
              <w:right w:type="dxa" w:w="90"/>
            </w:tcMar>
            <w:vAlign w:val="center"/>
          </w:tcPr>
          <w:p>
            <w:r>
              <w:rPr>
                <w:sz w:val="14"/>
                <w:szCs w:val="14"/>
              </w:rPr>
              <w:t xml:space="preserve">Kept structurally separate from ABI's own abi_db — no cross-database foreign keys, no shared ORM models (§30).</w:t>
            </w:r>
          </w:p>
        </w:tc>
      </w:tr>
      <w:tr>
        <w:tc>
          <w:tcPr>
            <w:tcW w:type="dxa" w:w="1696"/>
            <w:shd w:fill="EAF3EE" w:val="clear"/>
            <w:tcMar>
              <w:top w:type="dxa" w:w="45"/>
              <w:left w:type="dxa" w:w="90"/>
              <w:bottom w:type="dxa" w:w="45"/>
              <w:right w:type="dxa" w:w="90"/>
            </w:tcMar>
            <w:vAlign w:val="center"/>
          </w:tcPr>
          <w:p>
            <w:r>
              <w:rPr>
                <w:sz w:val="14"/>
                <w:szCs w:val="14"/>
              </w:rPr>
              <w:t xml:space="preserve">Async tasks</w:t>
            </w:r>
          </w:p>
        </w:tc>
        <w:tc>
          <w:tcPr>
            <w:tcW w:type="dxa" w:w="3816"/>
            <w:shd w:fill="EAF3EE" w:val="clear"/>
            <w:tcMar>
              <w:top w:type="dxa" w:w="45"/>
              <w:left w:type="dxa" w:w="90"/>
              <w:bottom w:type="dxa" w:w="45"/>
              <w:right w:type="dxa" w:w="90"/>
            </w:tcMar>
            <w:vAlign w:val="center"/>
          </w:tcPr>
          <w:p>
            <w:r>
              <w:rPr>
                <w:sz w:val="14"/>
                <w:szCs w:val="14"/>
              </w:rPr>
              <w:t xml:space="preserve">Celery + Redis</w:t>
            </w:r>
          </w:p>
        </w:tc>
        <w:tc>
          <w:tcPr>
            <w:tcW w:type="dxa" w:w="5088"/>
            <w:shd w:fill="EAF3EE" w:val="clear"/>
            <w:tcMar>
              <w:top w:type="dxa" w:w="45"/>
              <w:left w:type="dxa" w:w="90"/>
              <w:bottom w:type="dxa" w:w="45"/>
              <w:right w:type="dxa" w:w="90"/>
            </w:tcMar>
            <w:vAlign w:val="center"/>
          </w:tcPr>
          <w:p>
            <w:r>
              <w:rPr>
                <w:sz w:val="14"/>
                <w:szCs w:val="14"/>
              </w:rPr>
              <w:t xml:space="preserve">Used specifically for the scheduled Kobo reconciliation job (§6.4) and the reminder-queue dispatch (§9) — genuinely periodic background work, unlike ABI, which explicitly defers Celery/Redis because it has no equivalent need.</w:t>
            </w:r>
          </w:p>
        </w:tc>
      </w:tr>
      <w:tr>
        <w:tc>
          <w:tcPr>
            <w:tcW w:type="dxa" w:w="1696"/>
            <w:shd w:fill="FFFFFF" w:val="clear"/>
            <w:tcMar>
              <w:top w:type="dxa" w:w="45"/>
              <w:left w:type="dxa" w:w="90"/>
              <w:bottom w:type="dxa" w:w="45"/>
              <w:right w:type="dxa" w:w="90"/>
            </w:tcMar>
            <w:vAlign w:val="center"/>
          </w:tcPr>
          <w:p>
            <w:r>
              <w:rPr>
                <w:sz w:val="14"/>
                <w:szCs w:val="14"/>
              </w:rPr>
              <w:t xml:space="preserve">Messaging</w:t>
            </w:r>
          </w:p>
        </w:tc>
        <w:tc>
          <w:tcPr>
            <w:tcW w:type="dxa" w:w="3816"/>
            <w:shd w:fill="FFFFFF" w:val="clear"/>
            <w:tcMar>
              <w:top w:type="dxa" w:w="45"/>
              <w:left w:type="dxa" w:w="90"/>
              <w:bottom w:type="dxa" w:w="45"/>
              <w:right w:type="dxa" w:w="90"/>
            </w:tcMar>
            <w:vAlign w:val="center"/>
          </w:tcPr>
          <w:p>
            <w:r>
              <w:rPr>
                <w:sz w:val="14"/>
                <w:szCs w:val="14"/>
              </w:rPr>
              <w:t xml:space="preserve">WhatsApp Business Platform (Meta Cloud API) or a Business Solution Provider fronting it</w:t>
            </w:r>
          </w:p>
        </w:tc>
        <w:tc>
          <w:tcPr>
            <w:tcW w:type="dxa" w:w="5088"/>
            <w:shd w:fill="FFFFFF" w:val="clear"/>
            <w:tcMar>
              <w:top w:type="dxa" w:w="45"/>
              <w:left w:type="dxa" w:w="90"/>
              <w:bottom w:type="dxa" w:w="45"/>
              <w:right w:type="dxa" w:w="90"/>
            </w:tcMar>
            <w:vAlign w:val="center"/>
          </w:tcPr>
          <w:p>
            <w:r>
              <w:rPr>
                <w:sz w:val="14"/>
                <w:szCs w:val="14"/>
              </w:rPr>
              <w:t xml:space="preserve">See §9.3 for the account/template dependency this now carries as an explicit Phase 0 task.</w:t>
            </w:r>
          </w:p>
        </w:tc>
      </w:tr>
      <w:tr>
        <w:tc>
          <w:tcPr>
            <w:tcW w:type="dxa" w:w="1696"/>
            <w:shd w:fill="EAF3EE" w:val="clear"/>
            <w:tcMar>
              <w:top w:type="dxa" w:w="45"/>
              <w:left w:type="dxa" w:w="90"/>
              <w:bottom w:type="dxa" w:w="45"/>
              <w:right w:type="dxa" w:w="90"/>
            </w:tcMar>
            <w:vAlign w:val="center"/>
          </w:tcPr>
          <w:p>
            <w:r>
              <w:rPr>
                <w:sz w:val="14"/>
                <w:szCs w:val="14"/>
              </w:rPr>
              <w:t xml:space="preserve">Hosting</w:t>
            </w:r>
          </w:p>
        </w:tc>
        <w:tc>
          <w:tcPr>
            <w:tcW w:type="dxa" w:w="3816"/>
            <w:shd w:fill="EAF3EE" w:val="clear"/>
            <w:tcMar>
              <w:top w:type="dxa" w:w="45"/>
              <w:left w:type="dxa" w:w="90"/>
              <w:bottom w:type="dxa" w:w="45"/>
              <w:right w:type="dxa" w:w="90"/>
            </w:tcMar>
            <w:vAlign w:val="center"/>
          </w:tcPr>
          <w:p>
            <w:r>
              <w:rPr>
                <w:sz w:val="14"/>
                <w:szCs w:val="14"/>
              </w:rPr>
              <w:t xml:space="preserve">Same Linux VPS/Nginx/Certbot pattern as the ABI production deployment</w:t>
            </w:r>
          </w:p>
        </w:tc>
        <w:tc>
          <w:tcPr>
            <w:tcW w:type="dxa" w:w="5088"/>
            <w:shd w:fill="EAF3EE" w:val="clear"/>
            <w:tcMar>
              <w:top w:type="dxa" w:w="45"/>
              <w:left w:type="dxa" w:w="90"/>
              <w:bottom w:type="dxa" w:w="45"/>
              <w:right w:type="dxa" w:w="90"/>
            </w:tcMar>
            <w:vAlign w:val="center"/>
          </w:tcPr>
          <w:p>
            <w:r>
              <w:rPr>
                <w:sz w:val="14"/>
                <w:szCs w:val="14"/>
              </w:rPr>
              <w:t xml:space="preserve">Shared physical infrastructure, separate application and subdomain — see §30.</w:t>
            </w:r>
          </w:p>
        </w:tc>
      </w:tr>
    </w:tbl>
    <w:p>
      <w:pPr>
        <w:spacing w:after="110"/>
      </w:pPr>
      <w:r>
        <w:rPr>
          <w:i/>
          <w:iCs/>
          <w:color w:val="5A5A5A"/>
          <w:sz w:val="16"/>
          <w:szCs w:val="16"/>
        </w:rPr>
        <w:t xml:space="preserve">Survey engine (unchanged from v1.0): KoboToolbox for QUAN form logic and primary questionnaire capture, integrated per §6. Analytics (unchanged): SmartPLS for approved quantitative modelling; approved qualitative-analysis software for KII/document coding; spreadsheet/dashboard exports for operations.</w:t>
      </w:r>
    </w:p>
    <w:p>
      <w:pPr>
        <w:pBdr>
          <w:bottom w:val="single" w:color="063D2B" w:sz="6" w:space="3"/>
        </w:pBdr>
        <w:spacing w:after="100" w:before="260"/>
      </w:pPr>
      <w:r>
        <w:rPr>
          <w:b/>
          <w:bCs/>
          <w:color w:val="063D2B"/>
          <w:sz w:val="25"/>
          <w:szCs w:val="25"/>
        </w:rPr>
        <w:t xml:space="preserve">17. Minimum Viable Product (MVP) Scope</w:t>
      </w:r>
    </w:p>
    <w:p>
      <w:pPr>
        <w:spacing w:after="70" w:before="160"/>
      </w:pPr>
      <w:r>
        <w:rPr>
          <w:b/>
          <w:bCs/>
          <w:color w:val="042A1E"/>
          <w:sz w:val="20"/>
          <w:szCs w:val="20"/>
        </w:rPr>
        <w:t xml:space="preserve">17.1 Must-have before digital launch</w:t>
      </w:r>
    </w:p>
    <w:p>
      <w:pPr>
        <w:spacing w:after="50"/>
        <w:ind w:left="220" w:hanging="160"/>
      </w:pPr>
      <w:r>
        <w:rPr>
          <w:b/>
          <w:bCs/>
          <w:sz w:val="18"/>
          <w:szCs w:val="18"/>
        </w:rPr>
        <w:t xml:space="preserve">•  </w:t>
      </w:r>
      <w:r>
        <w:rPr>
          <w:sz w:val="18"/>
          <w:szCs w:val="18"/>
        </w:rPr>
        <w:t xml:space="preserve">Import Main-400 and locked Reserve-400, with the frozen identifier scheme (§25).</w:t>
      </w:r>
    </w:p>
    <w:p>
      <w:pPr>
        <w:spacing w:after="50"/>
        <w:ind w:left="220" w:hanging="160"/>
      </w:pPr>
      <w:r>
        <w:rPr>
          <w:b/>
          <w:bCs/>
          <w:sz w:val="18"/>
          <w:szCs w:val="18"/>
        </w:rPr>
        <w:t xml:space="preserve">•  </w:t>
      </w:r>
      <w:r>
        <w:rPr>
          <w:sz w:val="18"/>
          <w:szCs w:val="18"/>
        </w:rPr>
        <w:t xml:space="preserve">Researcher login and role-based access.</w:t>
      </w:r>
    </w:p>
    <w:p>
      <w:pPr>
        <w:spacing w:after="50"/>
        <w:ind w:left="220" w:hanging="160"/>
      </w:pPr>
      <w:r>
        <w:rPr>
          <w:b/>
          <w:bCs/>
          <w:sz w:val="18"/>
          <w:szCs w:val="18"/>
        </w:rPr>
        <w:t xml:space="preserve">•  </w:t>
      </w:r>
      <w:r>
        <w:rPr>
          <w:sz w:val="18"/>
          <w:szCs w:val="18"/>
        </w:rPr>
        <w:t xml:space="preserve">Invitation token generation and validation (§26).</w:t>
      </w:r>
    </w:p>
    <w:p>
      <w:pPr>
        <w:spacing w:after="50"/>
        <w:ind w:left="220" w:hanging="160"/>
      </w:pPr>
      <w:r>
        <w:rPr>
          <w:b/>
          <w:bCs/>
          <w:sz w:val="18"/>
          <w:szCs w:val="18"/>
        </w:rPr>
        <w:t xml:space="preserve">•  </w:t>
      </w:r>
      <w:r>
        <w:rPr>
          <w:sz w:val="18"/>
          <w:szCs w:val="18"/>
        </w:rPr>
        <w:t xml:space="preserve">Mobile participant-information and consent pages.</w:t>
      </w:r>
    </w:p>
    <w:p>
      <w:pPr>
        <w:spacing w:after="50"/>
        <w:ind w:left="220" w:hanging="160"/>
      </w:pPr>
      <w:r>
        <w:rPr>
          <w:b/>
          <w:bCs/>
          <w:sz w:val="18"/>
          <w:szCs w:val="18"/>
        </w:rPr>
        <w:t xml:space="preserve">•  </w:t>
      </w:r>
      <w:r>
        <w:rPr>
          <w:sz w:val="18"/>
          <w:szCs w:val="18"/>
        </w:rPr>
        <w:t xml:space="preserve">Eligibility gate and respondent-referral path.</w:t>
      </w:r>
    </w:p>
    <w:p>
      <w:pPr>
        <w:spacing w:after="50"/>
        <w:ind w:left="220" w:hanging="160"/>
      </w:pPr>
      <w:r>
        <w:rPr>
          <w:b/>
          <w:bCs/>
          <w:sz w:val="18"/>
          <w:szCs w:val="18"/>
        </w:rPr>
        <w:t xml:space="preserve">•  </w:t>
      </w:r>
      <w:r>
        <w:rPr>
          <w:sz w:val="18"/>
          <w:szCs w:val="18"/>
        </w:rPr>
        <w:t xml:space="preserve">Kobo launch with controlled Sample_ID/Master_ID/mode fields.</w:t>
      </w:r>
    </w:p>
    <w:p>
      <w:pPr>
        <w:spacing w:after="50"/>
        <w:ind w:left="220" w:hanging="160"/>
      </w:pPr>
      <w:r>
        <w:rPr>
          <w:b/>
          <w:bCs/>
          <w:sz w:val="18"/>
          <w:szCs w:val="18"/>
        </w:rPr>
        <w:t xml:space="preserve">•  </w:t>
      </w:r>
      <w:r>
        <w:rPr>
          <w:sz w:val="18"/>
          <w:szCs w:val="18"/>
        </w:rPr>
        <w:t xml:space="preserve">Contact and appointment register.</w:t>
      </w:r>
    </w:p>
    <w:p>
      <w:pPr>
        <w:spacing w:after="50"/>
        <w:ind w:left="220" w:hanging="160"/>
      </w:pPr>
      <w:r>
        <w:rPr>
          <w:b/>
          <w:bCs/>
          <w:sz w:val="18"/>
          <w:szCs w:val="18"/>
        </w:rPr>
        <w:t xml:space="preserve">•  </w:t>
      </w:r>
      <w:r>
        <w:rPr>
          <w:sz w:val="18"/>
          <w:szCs w:val="18"/>
        </w:rPr>
        <w:t xml:space="preserve">Basic Main-400 status dashboard.</w:t>
      </w:r>
    </w:p>
    <w:p>
      <w:pPr>
        <w:spacing w:after="50"/>
        <w:ind w:left="220" w:hanging="160"/>
      </w:pPr>
      <w:r>
        <w:rPr>
          <w:b/>
          <w:bCs/>
          <w:sz w:val="18"/>
          <w:szCs w:val="18"/>
        </w:rPr>
        <w:t xml:space="preserve">•  </w:t>
      </w:r>
      <w:r>
        <w:rPr>
          <w:sz w:val="18"/>
          <w:szCs w:val="18"/>
        </w:rPr>
        <w:t xml:space="preserve">Kobo submission reconciliation and QA status (§6.4, §27).</w:t>
      </w:r>
    </w:p>
    <w:p>
      <w:pPr>
        <w:spacing w:after="50"/>
        <w:ind w:left="220" w:hanging="160"/>
      </w:pPr>
      <w:r>
        <w:rPr>
          <w:b/>
          <w:bCs/>
          <w:sz w:val="18"/>
          <w:szCs w:val="18"/>
        </w:rPr>
        <w:t xml:space="preserve">•  </w:t>
      </w:r>
      <w:r>
        <w:rPr>
          <w:sz w:val="18"/>
          <w:szCs w:val="18"/>
        </w:rPr>
        <w:t xml:space="preserve">Audit log and backup against the RPO/RTO targets in §29.</w:t>
      </w:r>
    </w:p>
    <w:p>
      <w:pPr>
        <w:spacing w:after="70" w:before="160"/>
      </w:pPr>
      <w:r>
        <w:rPr>
          <w:b/>
          <w:bCs/>
          <w:color w:val="042A1E"/>
          <w:sz w:val="20"/>
          <w:szCs w:val="20"/>
        </w:rPr>
        <w:t xml:space="preserve">17.2 Should-have during October</w:t>
      </w:r>
    </w:p>
    <w:p>
      <w:pPr>
        <w:spacing w:after="50"/>
        <w:ind w:left="220" w:hanging="160"/>
      </w:pPr>
      <w:r>
        <w:rPr>
          <w:b/>
          <w:bCs/>
          <w:sz w:val="18"/>
          <w:szCs w:val="18"/>
        </w:rPr>
        <w:t xml:space="preserve">•  </w:t>
      </w:r>
      <w:r>
        <w:rPr>
          <w:sz w:val="18"/>
          <w:szCs w:val="18"/>
        </w:rPr>
        <w:t xml:space="preserve">KII scheduling and transcript tracker.</w:t>
      </w:r>
    </w:p>
    <w:p>
      <w:pPr>
        <w:spacing w:after="50"/>
        <w:ind w:left="220" w:hanging="160"/>
      </w:pPr>
      <w:r>
        <w:rPr>
          <w:b/>
          <w:bCs/>
          <w:sz w:val="18"/>
          <w:szCs w:val="18"/>
        </w:rPr>
        <w:t xml:space="preserve">•  </w:t>
      </w:r>
      <w:r>
        <w:rPr>
          <w:sz w:val="18"/>
          <w:szCs w:val="18"/>
        </w:rPr>
        <w:t xml:space="preserve">Documentary evidence repository.</w:t>
      </w:r>
    </w:p>
    <w:p>
      <w:pPr>
        <w:spacing w:after="50"/>
        <w:ind w:left="220" w:hanging="160"/>
      </w:pPr>
      <w:r>
        <w:rPr>
          <w:b/>
          <w:bCs/>
          <w:sz w:val="18"/>
          <w:szCs w:val="18"/>
        </w:rPr>
        <w:t xml:space="preserve">•  </w:t>
      </w:r>
      <w:r>
        <w:rPr>
          <w:sz w:val="18"/>
          <w:szCs w:val="18"/>
        </w:rPr>
        <w:t xml:space="preserve">Automated reminder queues.</w:t>
      </w:r>
    </w:p>
    <w:p>
      <w:pPr>
        <w:spacing w:after="50"/>
        <w:ind w:left="220" w:hanging="160"/>
      </w:pPr>
      <w:r>
        <w:rPr>
          <w:b/>
          <w:bCs/>
          <w:sz w:val="18"/>
          <w:szCs w:val="18"/>
        </w:rPr>
        <w:t xml:space="preserve">•  </w:t>
      </w:r>
      <w:r>
        <w:rPr>
          <w:sz w:val="18"/>
          <w:szCs w:val="18"/>
        </w:rPr>
        <w:t xml:space="preserve">Coverage dashboard and mode-effect monitoring.</w:t>
      </w:r>
    </w:p>
    <w:p>
      <w:pPr>
        <w:spacing w:after="50"/>
        <w:ind w:left="220" w:hanging="160"/>
      </w:pPr>
      <w:r>
        <w:rPr>
          <w:b/>
          <w:bCs/>
          <w:sz w:val="18"/>
          <w:szCs w:val="18"/>
        </w:rPr>
        <w:t xml:space="preserve">•  </w:t>
      </w:r>
      <w:r>
        <w:rPr>
          <w:sz w:val="18"/>
          <w:szCs w:val="18"/>
        </w:rPr>
        <w:t xml:space="preserve">Cost/burn-rate dashboard.</w:t>
      </w:r>
    </w:p>
    <w:p>
      <w:pPr>
        <w:spacing w:after="50"/>
        <w:ind w:left="220" w:hanging="160"/>
      </w:pPr>
      <w:r>
        <w:rPr>
          <w:b/>
          <w:bCs/>
          <w:sz w:val="18"/>
          <w:szCs w:val="18"/>
        </w:rPr>
        <w:t xml:space="preserve">•  </w:t>
      </w:r>
      <w:r>
        <w:rPr>
          <w:sz w:val="18"/>
          <w:szCs w:val="18"/>
        </w:rPr>
        <w:t xml:space="preserve">Physical-visit exception queue.</w:t>
      </w:r>
    </w:p>
    <w:p>
      <w:pPr>
        <w:spacing w:after="70" w:before="160"/>
      </w:pPr>
      <w:r>
        <w:rPr>
          <w:b/>
          <w:bCs/>
          <w:color w:val="042A1E"/>
          <w:sz w:val="20"/>
          <w:szCs w:val="20"/>
        </w:rPr>
        <w:t xml:space="preserve">17.3 Defer until after data lock</w:t>
      </w:r>
    </w:p>
    <w:p>
      <w:pPr>
        <w:spacing w:after="50"/>
        <w:ind w:left="220" w:hanging="160"/>
      </w:pPr>
      <w:r>
        <w:rPr>
          <w:b/>
          <w:bCs/>
          <w:sz w:val="18"/>
          <w:szCs w:val="18"/>
        </w:rPr>
        <w:t xml:space="preserve">•  </w:t>
      </w:r>
      <w:r>
        <w:rPr>
          <w:sz w:val="18"/>
          <w:szCs w:val="18"/>
        </w:rPr>
        <w:t xml:space="preserve">Public ABI self-assessment.</w:t>
      </w:r>
    </w:p>
    <w:p>
      <w:pPr>
        <w:spacing w:after="50"/>
        <w:ind w:left="220" w:hanging="160"/>
      </w:pPr>
      <w:r>
        <w:rPr>
          <w:b/>
          <w:bCs/>
          <w:sz w:val="18"/>
          <w:szCs w:val="18"/>
        </w:rPr>
        <w:t xml:space="preserve">•  </w:t>
      </w:r>
      <w:r>
        <w:rPr>
          <w:sz w:val="18"/>
          <w:szCs w:val="18"/>
        </w:rPr>
        <w:t xml:space="preserve">Automated bankability scoring.</w:t>
      </w:r>
    </w:p>
    <w:p>
      <w:pPr>
        <w:spacing w:after="50"/>
        <w:ind w:left="220" w:hanging="160"/>
      </w:pPr>
      <w:r>
        <w:rPr>
          <w:b/>
          <w:bCs/>
          <w:sz w:val="18"/>
          <w:szCs w:val="18"/>
        </w:rPr>
        <w:t xml:space="preserve">•  </w:t>
      </w:r>
      <w:r>
        <w:rPr>
          <w:sz w:val="18"/>
          <w:szCs w:val="18"/>
        </w:rPr>
        <w:t xml:space="preserve">Lender dashboards or credit recommendations.</w:t>
      </w:r>
    </w:p>
    <w:p>
      <w:pPr>
        <w:spacing w:after="50"/>
        <w:ind w:left="220" w:hanging="160"/>
      </w:pPr>
      <w:r>
        <w:rPr>
          <w:b/>
          <w:bCs/>
          <w:sz w:val="18"/>
          <w:szCs w:val="18"/>
        </w:rPr>
        <w:t xml:space="preserve">•  </w:t>
      </w:r>
      <w:r>
        <w:rPr>
          <w:sz w:val="18"/>
          <w:szCs w:val="18"/>
        </w:rPr>
        <w:t xml:space="preserve">Enterprise benchmarking.</w:t>
      </w:r>
    </w:p>
    <w:p>
      <w:pPr>
        <w:spacing w:after="50"/>
        <w:ind w:left="220" w:hanging="160"/>
      </w:pPr>
      <w:r>
        <w:rPr>
          <w:b/>
          <w:bCs/>
          <w:sz w:val="18"/>
          <w:szCs w:val="18"/>
        </w:rPr>
        <w:t xml:space="preserve">•  </w:t>
      </w:r>
      <w:r>
        <w:rPr>
          <w:sz w:val="18"/>
          <w:szCs w:val="18"/>
        </w:rPr>
        <w:t xml:space="preserve">AI-generated financing advice based on unvalidated ABI weights.</w:t>
      </w:r>
    </w:p>
    <w:p>
      <w:pPr>
        <w:spacing w:after="50"/>
        <w:ind w:left="220" w:hanging="160"/>
      </w:pPr>
      <w:r>
        <w:rPr>
          <w:b/>
          <w:bCs/>
          <w:sz w:val="18"/>
          <w:szCs w:val="18"/>
        </w:rPr>
        <w:t xml:space="preserve">•  </w:t>
      </w:r>
      <w:r>
        <w:rPr>
          <w:sz w:val="18"/>
          <w:szCs w:val="18"/>
        </w:rPr>
        <w:t xml:space="preserve">Native Android/iOS application unless a validated business need emerges.</w:t>
      </w:r>
    </w:p>
    <w:p>
      <w:pPr>
        <w:pBdr>
          <w:bottom w:val="single" w:color="063D2B" w:sz="6" w:space="3"/>
        </w:pBdr>
        <w:spacing w:after="100" w:before="260"/>
      </w:pPr>
      <w:r>
        <w:rPr>
          <w:b/>
          <w:bCs/>
          <w:color w:val="063D2B"/>
          <w:sz w:val="25"/>
          <w:szCs w:val="25"/>
        </w:rPr>
        <w:t xml:space="preserve">18. Future ABI Engine</w:t>
      </w:r>
    </w:p>
    <w:p>
      <w:pPr>
        <w:spacing w:after="110"/>
        <w:jc w:val="both"/>
      </w:pPr>
      <w:r>
        <w:rPr>
          <w:sz w:val="19"/>
          <w:szCs w:val="19"/>
        </w:rPr>
        <w:t xml:space="preserve">The ABI engine is architecturally anticipated but functionally absent from this application during primary data collection. After measurement-model validation and finalisation of scoring/weighting rules, a separate, sibling application (the existing ABI project) becomes the applied bankability tool, fed by this portal's de-identified analytical dataset.</w:t>
      </w:r>
    </w:p>
    <w:p>
      <w:pPr>
        <w:spacing w:after="50"/>
        <w:ind w:left="220" w:hanging="160"/>
      </w:pPr>
      <w:r>
        <w:rPr>
          <w:b/>
          <w:bCs/>
          <w:sz w:val="18"/>
          <w:szCs w:val="18"/>
        </w:rPr>
        <w:t xml:space="preserve">•  </w:t>
      </w:r>
      <w:r>
        <w:rPr>
          <w:sz w:val="18"/>
          <w:szCs w:val="18"/>
        </w:rPr>
        <w:t xml:space="preserve">Validated ABI input questionnaire.</w:t>
      </w:r>
    </w:p>
    <w:p>
      <w:pPr>
        <w:spacing w:after="50"/>
        <w:ind w:left="220" w:hanging="160"/>
      </w:pPr>
      <w:r>
        <w:rPr>
          <w:b/>
          <w:bCs/>
          <w:sz w:val="18"/>
          <w:szCs w:val="18"/>
        </w:rPr>
        <w:t xml:space="preserve">•  </w:t>
      </w:r>
      <w:r>
        <w:rPr>
          <w:sz w:val="18"/>
          <w:szCs w:val="18"/>
        </w:rPr>
        <w:t xml:space="preserve">Versioned scoring algorithm and dimension weights.</w:t>
      </w:r>
    </w:p>
    <w:p>
      <w:pPr>
        <w:spacing w:after="50"/>
        <w:ind w:left="220" w:hanging="160"/>
      </w:pPr>
      <w:r>
        <w:rPr>
          <w:b/>
          <w:bCs/>
          <w:sz w:val="18"/>
          <w:szCs w:val="18"/>
        </w:rPr>
        <w:t xml:space="preserve">•  </w:t>
      </w:r>
      <w:r>
        <w:rPr>
          <w:sz w:val="18"/>
          <w:szCs w:val="18"/>
        </w:rPr>
        <w:t xml:space="preserve">Overall ABI score normalised to 0–100 where methodologically approved.</w:t>
      </w:r>
    </w:p>
    <w:p>
      <w:pPr>
        <w:spacing w:after="50"/>
        <w:ind w:left="220" w:hanging="160"/>
      </w:pPr>
      <w:r>
        <w:rPr>
          <w:b/>
          <w:bCs/>
          <w:sz w:val="18"/>
          <w:szCs w:val="18"/>
        </w:rPr>
        <w:t xml:space="preserve">•  </w:t>
      </w:r>
      <w:r>
        <w:rPr>
          <w:sz w:val="18"/>
          <w:szCs w:val="18"/>
        </w:rPr>
        <w:t xml:space="preserve">Dimension-level profile and confidence/quality indicators.</w:t>
      </w:r>
    </w:p>
    <w:p>
      <w:pPr>
        <w:spacing w:after="50"/>
        <w:ind w:left="220" w:hanging="160"/>
      </w:pPr>
      <w:r>
        <w:rPr>
          <w:b/>
          <w:bCs/>
          <w:sz w:val="18"/>
          <w:szCs w:val="18"/>
        </w:rPr>
        <w:t xml:space="preserve">•  </w:t>
      </w:r>
      <w:r>
        <w:rPr>
          <w:sz w:val="18"/>
          <w:szCs w:val="18"/>
        </w:rPr>
        <w:t xml:space="preserve">Benchmarking against an appropriate reference population only after sufficient validated data.</w:t>
      </w:r>
    </w:p>
    <w:p>
      <w:pPr>
        <w:spacing w:after="50"/>
        <w:ind w:left="220" w:hanging="160"/>
      </w:pPr>
      <w:r>
        <w:rPr>
          <w:b/>
          <w:bCs/>
          <w:sz w:val="18"/>
          <w:szCs w:val="18"/>
        </w:rPr>
        <w:t xml:space="preserve">•  </w:t>
      </w:r>
      <w:r>
        <w:rPr>
          <w:sz w:val="18"/>
          <w:szCs w:val="18"/>
        </w:rPr>
        <w:t xml:space="preserve">Action-oriented bankability improvement recommendations clearly separated from lender credit decisions.</w:t>
      </w:r>
    </w:p>
    <w:p>
      <w:pPr>
        <w:spacing w:after="50"/>
        <w:ind w:left="220" w:hanging="160"/>
      </w:pPr>
      <w:r>
        <w:rPr>
          <w:b/>
          <w:bCs/>
          <w:sz w:val="18"/>
          <w:szCs w:val="18"/>
        </w:rPr>
        <w:t xml:space="preserve">•  </w:t>
      </w:r>
      <w:r>
        <w:rPr>
          <w:sz w:val="18"/>
          <w:szCs w:val="18"/>
        </w:rPr>
        <w:t xml:space="preserve">Algorithm/version audit trail so a score can be reproduced.</w:t>
      </w:r>
    </w:p>
    <w:p>
      <w:pPr>
        <w:pBdr>
          <w:left w:val="single" w:color="0B3B66" w:sz="16" w:space="6"/>
        </w:pBdr>
        <w:shd w:fill="E8F1FA" w:val="clear"/>
        <w:spacing w:after="100" w:before="40"/>
        <w:ind w:left="100"/>
      </w:pPr>
      <w:r>
        <w:rPr>
          <w:color w:val="0B2E4F"/>
          <w:sz w:val="17"/>
          <w:szCs w:val="17"/>
        </w:rPr>
        <w:t xml:space="preserve">v2.0 clarification: this is a data pipeline into the separate ABI codebase, not a shared codebase or shared deployment — see §30.</w:t>
      </w:r>
    </w:p>
    <w:p>
      <w:pPr>
        <w:pBdr>
          <w:bottom w:val="single" w:color="063D2B" w:sz="6" w:space="3"/>
        </w:pBdr>
        <w:spacing w:after="100" w:before="260"/>
      </w:pPr>
      <w:r>
        <w:rPr>
          <w:b/>
          <w:bCs/>
          <w:color w:val="063D2B"/>
          <w:sz w:val="25"/>
          <w:szCs w:val="25"/>
        </w:rPr>
        <w:t xml:space="preserve">19. Development and Deployment Roadmap</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908"/>
        <w:gridCol w:w="1696"/>
        <w:gridCol w:w="6996"/>
      </w:tblGrid>
      <w:tr>
        <w:trPr>
          <w:tblHeader/>
        </w:trPr>
        <w:tc>
          <w:tcPr>
            <w:tcW w:type="dxa" w:w="1908"/>
            <w:shd w:fill="063D2B" w:val="clear"/>
            <w:tcMar>
              <w:top w:type="dxa" w:w="45"/>
              <w:left w:type="dxa" w:w="90"/>
              <w:bottom w:type="dxa" w:w="45"/>
              <w:right w:type="dxa" w:w="90"/>
            </w:tcMar>
            <w:vAlign w:val="center"/>
          </w:tcPr>
          <w:p>
            <w:r>
              <w:rPr>
                <w:b/>
                <w:bCs/>
                <w:color w:val="FFFFFF"/>
                <w:sz w:val="14"/>
                <w:szCs w:val="14"/>
              </w:rPr>
              <w:t xml:space="preserve">Phase</w:t>
            </w:r>
          </w:p>
        </w:tc>
        <w:tc>
          <w:tcPr>
            <w:tcW w:type="dxa" w:w="1696"/>
            <w:shd w:fill="063D2B" w:val="clear"/>
            <w:tcMar>
              <w:top w:type="dxa" w:w="45"/>
              <w:left w:type="dxa" w:w="90"/>
              <w:bottom w:type="dxa" w:w="45"/>
              <w:right w:type="dxa" w:w="90"/>
            </w:tcMar>
            <w:vAlign w:val="center"/>
          </w:tcPr>
          <w:p>
            <w:r>
              <w:rPr>
                <w:b/>
                <w:bCs/>
                <w:color w:val="FFFFFF"/>
                <w:sz w:val="14"/>
                <w:szCs w:val="14"/>
              </w:rPr>
              <w:t xml:space="preserve">Target</w:t>
            </w:r>
          </w:p>
        </w:tc>
        <w:tc>
          <w:tcPr>
            <w:tcW w:type="dxa" w:w="6996"/>
            <w:shd w:fill="063D2B" w:val="clear"/>
            <w:tcMar>
              <w:top w:type="dxa" w:w="45"/>
              <w:left w:type="dxa" w:w="90"/>
              <w:bottom w:type="dxa" w:w="45"/>
              <w:right w:type="dxa" w:w="90"/>
            </w:tcMar>
            <w:vAlign w:val="center"/>
          </w:tcPr>
          <w:p>
            <w:r>
              <w:rPr>
                <w:b/>
                <w:bCs/>
                <w:color w:val="FFFFFF"/>
                <w:sz w:val="14"/>
                <w:szCs w:val="14"/>
              </w:rPr>
              <w:t xml:space="preserve">Scope</w:t>
            </w:r>
          </w:p>
        </w:tc>
      </w:tr>
      <w:tr>
        <w:tc>
          <w:tcPr>
            <w:tcW w:type="dxa" w:w="1908"/>
            <w:shd w:fill="FFFFFF" w:val="clear"/>
            <w:tcMar>
              <w:top w:type="dxa" w:w="45"/>
              <w:left w:type="dxa" w:w="90"/>
              <w:bottom w:type="dxa" w:w="45"/>
              <w:right w:type="dxa" w:w="90"/>
            </w:tcMar>
            <w:vAlign w:val="center"/>
          </w:tcPr>
          <w:p>
            <w:r>
              <w:rPr>
                <w:sz w:val="14"/>
                <w:szCs w:val="14"/>
              </w:rPr>
              <w:t xml:space="preserve">Phase 0 — Governance &amp; specification</w:t>
            </w:r>
          </w:p>
        </w:tc>
        <w:tc>
          <w:tcPr>
            <w:tcW w:type="dxa" w:w="1696"/>
            <w:shd w:fill="FFFFFF" w:val="clear"/>
            <w:tcMar>
              <w:top w:type="dxa" w:w="45"/>
              <w:left w:type="dxa" w:w="90"/>
              <w:bottom w:type="dxa" w:w="45"/>
              <w:right w:type="dxa" w:w="90"/>
            </w:tcMar>
            <w:vAlign w:val="center"/>
          </w:tcPr>
          <w:p>
            <w:r>
              <w:rPr>
                <w:sz w:val="14"/>
                <w:szCs w:val="14"/>
              </w:rPr>
              <w:t xml:space="preserve">Immediate</w:t>
            </w:r>
          </w:p>
        </w:tc>
        <w:tc>
          <w:tcPr>
            <w:tcW w:type="dxa" w:w="6996"/>
            <w:shd w:fill="FFFFFF" w:val="clear"/>
            <w:tcMar>
              <w:top w:type="dxa" w:w="45"/>
              <w:left w:type="dxa" w:w="90"/>
              <w:bottom w:type="dxa" w:w="45"/>
              <w:right w:type="dxa" w:w="90"/>
            </w:tcMar>
            <w:vAlign w:val="center"/>
          </w:tcPr>
          <w:p>
            <w:r>
              <w:rPr>
                <w:sz w:val="14"/>
                <w:szCs w:val="14"/>
              </w:rPr>
              <w:t xml:space="preserve">Freeze identifiers (§25) and Kobo fields; resolve ethics + POTRAZ position (§15.1); provision hosting, Kobo API, WhatsApp Business Platform account + submit templates (§9.3, 3–5 business day lead time — start now, do not wait); assign developer/team; PI approval of this blueprint and the accompanying docs/ set per AGENTS.md ground rule 1.</w:t>
            </w:r>
          </w:p>
        </w:tc>
      </w:tr>
      <w:tr>
        <w:tc>
          <w:tcPr>
            <w:tcW w:type="dxa" w:w="1908"/>
            <w:shd w:fill="EAF3EE" w:val="clear"/>
            <w:tcMar>
              <w:top w:type="dxa" w:w="45"/>
              <w:left w:type="dxa" w:w="90"/>
              <w:bottom w:type="dxa" w:w="45"/>
              <w:right w:type="dxa" w:w="90"/>
            </w:tcMar>
            <w:vAlign w:val="center"/>
          </w:tcPr>
          <w:p>
            <w:r>
              <w:rPr>
                <w:sz w:val="14"/>
                <w:szCs w:val="14"/>
              </w:rPr>
              <w:t xml:space="preserve">Phase 1 — Research Operations MVP</w:t>
            </w:r>
          </w:p>
        </w:tc>
        <w:tc>
          <w:tcPr>
            <w:tcW w:type="dxa" w:w="1696"/>
            <w:shd w:fill="EAF3EE" w:val="clear"/>
            <w:tcMar>
              <w:top w:type="dxa" w:w="45"/>
              <w:left w:type="dxa" w:w="90"/>
              <w:bottom w:type="dxa" w:w="45"/>
              <w:right w:type="dxa" w:w="90"/>
            </w:tcMar>
            <w:vAlign w:val="center"/>
          </w:tcPr>
          <w:p>
            <w:r>
              <w:rPr>
                <w:sz w:val="14"/>
                <w:szCs w:val="14"/>
              </w:rPr>
              <w:t xml:space="preserve">September 2026</w:t>
            </w:r>
          </w:p>
        </w:tc>
        <w:tc>
          <w:tcPr>
            <w:tcW w:type="dxa" w:w="6996"/>
            <w:shd w:fill="EAF3EE" w:val="clear"/>
            <w:tcMar>
              <w:top w:type="dxa" w:w="45"/>
              <w:left w:type="dxa" w:w="90"/>
              <w:bottom w:type="dxa" w:w="45"/>
              <w:right w:type="dxa" w:w="90"/>
            </w:tcMar>
            <w:vAlign w:val="center"/>
          </w:tcPr>
          <w:p>
            <w:r>
              <w:rPr>
                <w:sz w:val="14"/>
                <w:szCs w:val="14"/>
              </w:rPr>
              <w:t xml:space="preserve">Invitation, eligibility, consent, Kobo routing, Main-400 workflow, contact/appointment register, QA, basic dashboard. Stand up dev/staging/production environments and CI (§29). Pilot internally and with authorised synthetic/test records before live Main data.</w:t>
            </w:r>
          </w:p>
        </w:tc>
      </w:tr>
      <w:tr>
        <w:tc>
          <w:tcPr>
            <w:tcW w:type="dxa" w:w="1908"/>
            <w:shd w:fill="FFFFFF" w:val="clear"/>
            <w:tcMar>
              <w:top w:type="dxa" w:w="45"/>
              <w:left w:type="dxa" w:w="90"/>
              <w:bottom w:type="dxa" w:w="45"/>
              <w:right w:type="dxa" w:w="90"/>
            </w:tcMar>
            <w:vAlign w:val="center"/>
          </w:tcPr>
          <w:p>
            <w:r>
              <w:rPr>
                <w:sz w:val="14"/>
                <w:szCs w:val="14"/>
              </w:rPr>
              <w:t xml:space="preserve">Phase 2 — Field Operations Expansion</w:t>
            </w:r>
          </w:p>
        </w:tc>
        <w:tc>
          <w:tcPr>
            <w:tcW w:type="dxa" w:w="1696"/>
            <w:shd w:fill="FFFFFF" w:val="clear"/>
            <w:tcMar>
              <w:top w:type="dxa" w:w="45"/>
              <w:left w:type="dxa" w:w="90"/>
              <w:bottom w:type="dxa" w:w="45"/>
              <w:right w:type="dxa" w:w="90"/>
            </w:tcMar>
            <w:vAlign w:val="center"/>
          </w:tcPr>
          <w:p>
            <w:r>
              <w:rPr>
                <w:sz w:val="14"/>
                <w:szCs w:val="14"/>
              </w:rPr>
              <w:t xml:space="preserve">October 2026</w:t>
            </w:r>
          </w:p>
        </w:tc>
        <w:tc>
          <w:tcPr>
            <w:tcW w:type="dxa" w:w="6996"/>
            <w:shd w:fill="FFFFFF" w:val="clear"/>
            <w:tcMar>
              <w:top w:type="dxa" w:w="45"/>
              <w:left w:type="dxa" w:w="90"/>
              <w:bottom w:type="dxa" w:w="45"/>
              <w:right w:type="dxa" w:w="90"/>
            </w:tcMar>
            <w:vAlign w:val="center"/>
          </w:tcPr>
          <w:p>
            <w:r>
              <w:rPr>
                <w:sz w:val="14"/>
                <w:szCs w:val="14"/>
              </w:rPr>
              <w:t xml:space="preserve">KII/document modules, cost dashboard, coverage analytics, reminder queues, physical-exception workflow.</w:t>
            </w:r>
          </w:p>
        </w:tc>
      </w:tr>
      <w:tr>
        <w:tc>
          <w:tcPr>
            <w:tcW w:type="dxa" w:w="1908"/>
            <w:shd w:fill="EAF3EE" w:val="clear"/>
            <w:tcMar>
              <w:top w:type="dxa" w:w="45"/>
              <w:left w:type="dxa" w:w="90"/>
              <w:bottom w:type="dxa" w:w="45"/>
              <w:right w:type="dxa" w:w="90"/>
            </w:tcMar>
            <w:vAlign w:val="center"/>
          </w:tcPr>
          <w:p>
            <w:r>
              <w:rPr>
                <w:sz w:val="14"/>
                <w:szCs w:val="14"/>
              </w:rPr>
              <w:t xml:space="preserve">Phase 3 — Data-Lock Hardening</w:t>
            </w:r>
          </w:p>
        </w:tc>
        <w:tc>
          <w:tcPr>
            <w:tcW w:type="dxa" w:w="1696"/>
            <w:shd w:fill="EAF3EE" w:val="clear"/>
            <w:tcMar>
              <w:top w:type="dxa" w:w="45"/>
              <w:left w:type="dxa" w:w="90"/>
              <w:bottom w:type="dxa" w:w="45"/>
              <w:right w:type="dxa" w:w="90"/>
            </w:tcMar>
            <w:vAlign w:val="center"/>
          </w:tcPr>
          <w:p>
            <w:r>
              <w:rPr>
                <w:sz w:val="14"/>
                <w:szCs w:val="14"/>
              </w:rPr>
              <w:t xml:space="preserve">November 2026, closing 30 Nov</w:t>
            </w:r>
          </w:p>
        </w:tc>
        <w:tc>
          <w:tcPr>
            <w:tcW w:type="dxa" w:w="6996"/>
            <w:shd w:fill="EAF3EE" w:val="clear"/>
            <w:tcMar>
              <w:top w:type="dxa" w:w="45"/>
              <w:left w:type="dxa" w:w="90"/>
              <w:bottom w:type="dxa" w:w="45"/>
              <w:right w:type="dxa" w:w="90"/>
            </w:tcMar>
            <w:vAlign w:val="center"/>
          </w:tcPr>
          <w:p>
            <w:r>
              <w:rPr>
                <w:sz w:val="14"/>
                <w:szCs w:val="14"/>
              </w:rPr>
              <w:t xml:space="preserve">Reliability, reconciliation robustness, backup/restore drill against the RPO/RTO targets in §29, final de-identification. Freeze feature work in the final two weeks except security/critical fixes.</w:t>
            </w:r>
          </w:p>
        </w:tc>
      </w:tr>
      <w:tr>
        <w:tc>
          <w:tcPr>
            <w:tcW w:type="dxa" w:w="1908"/>
            <w:shd w:fill="FFFFFF" w:val="clear"/>
            <w:tcMar>
              <w:top w:type="dxa" w:w="45"/>
              <w:left w:type="dxa" w:w="90"/>
              <w:bottom w:type="dxa" w:w="45"/>
              <w:right w:type="dxa" w:w="90"/>
            </w:tcMar>
            <w:vAlign w:val="center"/>
          </w:tcPr>
          <w:p>
            <w:r>
              <w:rPr>
                <w:sz w:val="14"/>
                <w:szCs w:val="14"/>
              </w:rPr>
              <w:t xml:space="preserve">Phase 4 — ABI Platform</w:t>
            </w:r>
          </w:p>
        </w:tc>
        <w:tc>
          <w:tcPr>
            <w:tcW w:type="dxa" w:w="1696"/>
            <w:shd w:fill="FFFFFF" w:val="clear"/>
            <w:tcMar>
              <w:top w:type="dxa" w:w="45"/>
              <w:left w:type="dxa" w:w="90"/>
              <w:bottom w:type="dxa" w:w="45"/>
              <w:right w:type="dxa" w:w="90"/>
            </w:tcMar>
            <w:vAlign w:val="center"/>
          </w:tcPr>
          <w:p>
            <w:r>
              <w:rPr>
                <w:sz w:val="14"/>
                <w:szCs w:val="14"/>
              </w:rPr>
              <w:t xml:space="preserve">Post-validation</w:t>
            </w:r>
          </w:p>
        </w:tc>
        <w:tc>
          <w:tcPr>
            <w:tcW w:type="dxa" w:w="6996"/>
            <w:shd w:fill="FFFFFF" w:val="clear"/>
            <w:tcMar>
              <w:top w:type="dxa" w:w="45"/>
              <w:left w:type="dxa" w:w="90"/>
              <w:bottom w:type="dxa" w:w="45"/>
              <w:right w:type="dxa" w:w="90"/>
            </w:tcMar>
            <w:vAlign w:val="center"/>
          </w:tcPr>
          <w:p>
            <w:r>
              <w:rPr>
                <w:sz w:val="14"/>
                <w:szCs w:val="14"/>
              </w:rPr>
              <w:t xml:space="preserve">A one-way, PI-approved data export from this portal's de-identified dataset into the separate, sibling ABI application — see §18 and §30. Not built in this repository.</w:t>
            </w:r>
          </w:p>
        </w:tc>
      </w:tr>
    </w:tbl>
    <w:p>
      <w:pPr>
        <w:pBdr>
          <w:bottom w:val="single" w:color="063D2B" w:sz="6" w:space="3"/>
        </w:pBdr>
        <w:spacing w:after="100" w:before="260"/>
      </w:pPr>
      <w:r>
        <w:rPr>
          <w:b/>
          <w:bCs/>
          <w:color w:val="063D2B"/>
          <w:sz w:val="25"/>
          <w:szCs w:val="25"/>
        </w:rPr>
        <w:t xml:space="preserve">20. Acceptance Tests Before Live Deployment — UPDATED in v2.0</w:t>
      </w:r>
    </w:p>
    <w:p>
      <w:pPr>
        <w:spacing w:after="55"/>
        <w:ind w:left="220" w:hanging="220"/>
      </w:pPr>
      <w:r>
        <w:rPr>
          <w:sz w:val="18"/>
          <w:szCs w:val="18"/>
        </w:rPr>
        <w:t xml:space="preserve">☐  </w:t>
      </w:r>
      <w:r>
        <w:rPr>
          <w:sz w:val="18"/>
          <w:szCs w:val="18"/>
        </w:rPr>
        <w:t xml:space="preserve">An unauthorised/public visitor cannot access the Main questionnaire.</w:t>
      </w:r>
    </w:p>
    <w:p>
      <w:pPr>
        <w:spacing w:after="55"/>
        <w:ind w:left="220" w:hanging="220"/>
      </w:pPr>
      <w:r>
        <w:rPr>
          <w:sz w:val="18"/>
          <w:szCs w:val="18"/>
        </w:rPr>
        <w:t xml:space="preserve">☐  </w:t>
      </w:r>
      <w:r>
        <w:rPr>
          <w:sz w:val="18"/>
          <w:szCs w:val="18"/>
        </w:rPr>
        <w:t xml:space="preserve">A valid Main invitation opens the correct organisation/case without revealing unnecessary data.</w:t>
      </w:r>
    </w:p>
    <w:p>
      <w:pPr>
        <w:spacing w:after="55"/>
        <w:ind w:left="220" w:hanging="220"/>
      </w:pPr>
      <w:r>
        <w:rPr>
          <w:sz w:val="18"/>
          <w:szCs w:val="18"/>
        </w:rPr>
        <w:t xml:space="preserve">☐  </w:t>
      </w:r>
      <w:r>
        <w:rPr>
          <w:sz w:val="18"/>
          <w:szCs w:val="18"/>
        </w:rPr>
        <w:t xml:space="preserve">A locked Reserve cannot receive an invitation.</w:t>
      </w:r>
    </w:p>
    <w:p>
      <w:pPr>
        <w:spacing w:after="55"/>
        <w:ind w:left="220" w:hanging="220"/>
      </w:pPr>
      <w:r>
        <w:rPr>
          <w:sz w:val="18"/>
          <w:szCs w:val="18"/>
        </w:rPr>
        <w:t xml:space="preserve">☐  </w:t>
      </w:r>
      <w:r>
        <w:rPr>
          <w:sz w:val="18"/>
          <w:szCs w:val="18"/>
        </w:rPr>
        <w:t xml:space="preserve">An ineligible respondent is routed to referral rather than questionnaire completion.</w:t>
      </w:r>
    </w:p>
    <w:p>
      <w:pPr>
        <w:spacing w:after="55"/>
        <w:ind w:left="220" w:hanging="220"/>
      </w:pPr>
      <w:r>
        <w:rPr>
          <w:sz w:val="18"/>
          <w:szCs w:val="18"/>
        </w:rPr>
        <w:t xml:space="preserve">☐  </w:t>
      </w:r>
      <w:r>
        <w:rPr>
          <w:sz w:val="18"/>
          <w:szCs w:val="18"/>
        </w:rPr>
        <w:t xml:space="preserve">No questionnaire starts without the required consent state.</w:t>
      </w:r>
    </w:p>
    <w:p>
      <w:pPr>
        <w:spacing w:after="55"/>
        <w:ind w:left="220" w:hanging="220"/>
      </w:pPr>
      <w:r>
        <w:rPr>
          <w:sz w:val="18"/>
          <w:szCs w:val="18"/>
        </w:rPr>
        <w:t xml:space="preserve">☐  </w:t>
      </w:r>
      <w:r>
        <w:rPr>
          <w:sz w:val="18"/>
          <w:szCs w:val="18"/>
        </w:rPr>
        <w:t xml:space="preserve">Sample_ID and administration mode arrive correctly in Kobo.</w:t>
      </w:r>
    </w:p>
    <w:p>
      <w:pPr>
        <w:spacing w:after="55"/>
        <w:ind w:left="220" w:hanging="220"/>
      </w:pPr>
      <w:r>
        <w:rPr>
          <w:sz w:val="18"/>
          <w:szCs w:val="18"/>
        </w:rPr>
        <w:t xml:space="preserve">☐  </w:t>
      </w:r>
      <w:r>
        <w:rPr>
          <w:sz w:val="18"/>
          <w:szCs w:val="18"/>
        </w:rPr>
        <w:t xml:space="preserve">Duplicate or reused tokens are handled according to the policy in §26.</w:t>
      </w:r>
    </w:p>
    <w:p>
      <w:pPr>
        <w:spacing w:after="55"/>
        <w:ind w:left="220" w:hanging="220"/>
      </w:pPr>
      <w:r>
        <w:rPr>
          <w:sz w:val="18"/>
          <w:szCs w:val="18"/>
        </w:rPr>
        <w:t xml:space="preserve">☐  </w:t>
      </w:r>
      <w:r>
        <w:rPr>
          <w:sz w:val="18"/>
          <w:szCs w:val="18"/>
        </w:rPr>
        <w:t xml:space="preserve">A Kobo submission — new or edited — updates the portal and enters QA (proves the §6.4 reconciliation design actually works, not just new-submission handling).</w:t>
      </w:r>
    </w:p>
    <w:p>
      <w:pPr>
        <w:spacing w:after="55"/>
        <w:ind w:left="220" w:hanging="220"/>
      </w:pPr>
      <w:r>
        <w:rPr>
          <w:sz w:val="18"/>
          <w:szCs w:val="18"/>
        </w:rPr>
        <w:t xml:space="preserve">☐  </w:t>
      </w:r>
      <w:r>
        <w:rPr>
          <w:sz w:val="18"/>
          <w:szCs w:val="18"/>
        </w:rPr>
        <w:t xml:space="preserve">Contact data is not present in the de-identified analytical export.</w:t>
      </w:r>
    </w:p>
    <w:p>
      <w:pPr>
        <w:spacing w:after="55"/>
        <w:ind w:left="220" w:hanging="220"/>
      </w:pPr>
      <w:r>
        <w:rPr>
          <w:sz w:val="18"/>
          <w:szCs w:val="18"/>
        </w:rPr>
        <w:t xml:space="preserve">☐  </w:t>
      </w:r>
      <w:r>
        <w:rPr>
          <w:sz w:val="18"/>
          <w:szCs w:val="18"/>
        </w:rPr>
        <w:t xml:space="preserve">Role-based permissions prevent RAs from seeing records outside their duties.</w:t>
      </w:r>
    </w:p>
    <w:p>
      <w:pPr>
        <w:spacing w:after="55"/>
        <w:ind w:left="220" w:hanging="220"/>
      </w:pPr>
      <w:r>
        <w:rPr>
          <w:sz w:val="18"/>
          <w:szCs w:val="18"/>
        </w:rPr>
        <w:t xml:space="preserve">☐  </w:t>
      </w:r>
      <w:r>
        <w:rPr>
          <w:sz w:val="18"/>
          <w:szCs w:val="18"/>
        </w:rPr>
        <w:t xml:space="preserve">Reserve activation creates an audit event with reason and authoriser.</w:t>
      </w:r>
    </w:p>
    <w:p>
      <w:pPr>
        <w:spacing w:after="55"/>
        <w:ind w:left="220" w:hanging="220"/>
      </w:pPr>
      <w:r>
        <w:rPr>
          <w:sz w:val="18"/>
          <w:szCs w:val="18"/>
        </w:rPr>
        <w:t xml:space="preserve">☐  </w:t>
      </w:r>
      <w:r>
        <w:rPr>
          <w:sz w:val="18"/>
          <w:szCs w:val="18"/>
        </w:rPr>
        <w:t xml:space="preserve">Backup and restore are tested against the RPO/RTO targets in §29.</w:t>
      </w:r>
    </w:p>
    <w:p>
      <w:pPr>
        <w:spacing w:after="55"/>
        <w:ind w:left="220" w:hanging="220"/>
      </w:pPr>
      <w:r>
        <w:rPr>
          <w:sz w:val="18"/>
          <w:szCs w:val="18"/>
        </w:rPr>
        <w:t xml:space="preserve">☐  </w:t>
      </w:r>
      <w:r>
        <w:rPr>
          <w:sz w:val="18"/>
          <w:szCs w:val="18"/>
        </w:rPr>
        <w:t xml:space="preserve">Mobile pages work on typical Android screens and poor/variable connectivity.</w:t>
      </w:r>
    </w:p>
    <w:p>
      <w:pPr>
        <w:spacing w:after="55"/>
        <w:ind w:left="220" w:hanging="220"/>
      </w:pPr>
      <w:r>
        <w:rPr>
          <w:sz w:val="18"/>
          <w:szCs w:val="18"/>
        </w:rPr>
        <w:t xml:space="preserve">☐  </w:t>
      </w:r>
      <w:r>
        <w:rPr>
          <w:sz w:val="18"/>
          <w:szCs w:val="18"/>
        </w:rPr>
        <w:t xml:space="preserve">Withdrawal and consent-revocation procedures are operationally testable.</w:t>
      </w:r>
    </w:p>
    <w:p>
      <w:pPr>
        <w:spacing w:after="55"/>
        <w:ind w:left="220" w:hanging="220"/>
      </w:pPr>
      <w:r>
        <w:rPr>
          <w:sz w:val="18"/>
          <w:szCs w:val="18"/>
        </w:rPr>
        <w:t xml:space="preserve">☐  </w:t>
      </w:r>
      <w:r>
        <w:rPr>
          <w:sz w:val="18"/>
          <w:szCs w:val="18"/>
        </w:rPr>
        <w:t xml:space="preserve">NEW — The POTRAZ/data-protection position (§15.1) is resolved in writing and reflected in the deployed access-control configuration.</w:t>
      </w:r>
    </w:p>
    <w:p>
      <w:pPr>
        <w:pBdr>
          <w:bottom w:val="single" w:color="063D2B" w:sz="6" w:space="3"/>
        </w:pBdr>
        <w:spacing w:after="100" w:before="260"/>
      </w:pPr>
      <w:r>
        <w:rPr>
          <w:b/>
          <w:bCs/>
          <w:color w:val="063D2B"/>
          <w:sz w:val="25"/>
          <w:szCs w:val="25"/>
        </w:rPr>
        <w:t xml:space="preserve">21. Operational Governance</w:t>
      </w:r>
    </w:p>
    <w:p>
      <w:pPr>
        <w:spacing w:after="50"/>
        <w:ind w:left="220" w:hanging="160"/>
      </w:pPr>
      <w:r>
        <w:rPr>
          <w:b/>
          <w:bCs/>
          <w:sz w:val="18"/>
          <w:szCs w:val="18"/>
        </w:rPr>
        <w:t xml:space="preserve">•  </w:t>
      </w:r>
      <w:r>
        <w:rPr>
          <w:sz w:val="18"/>
          <w:szCs w:val="18"/>
        </w:rPr>
        <w:t xml:space="preserve">PI owns scientific and ethical accountability.</w:t>
      </w:r>
    </w:p>
    <w:p>
      <w:pPr>
        <w:spacing w:after="50"/>
        <w:ind w:left="220" w:hanging="160"/>
      </w:pPr>
      <w:r>
        <w:rPr>
          <w:b/>
          <w:bCs/>
          <w:sz w:val="18"/>
          <w:szCs w:val="18"/>
        </w:rPr>
        <w:t xml:space="preserve">•  </w:t>
      </w:r>
      <w:r>
        <w:rPr>
          <w:sz w:val="18"/>
          <w:szCs w:val="18"/>
        </w:rPr>
        <w:t xml:space="preserve">Field/Digital Coordinator owns daily workflow, assignment and exception control.</w:t>
      </w:r>
    </w:p>
    <w:p>
      <w:pPr>
        <w:spacing w:after="50"/>
        <w:ind w:left="220" w:hanging="160"/>
      </w:pPr>
      <w:r>
        <w:rPr>
          <w:b/>
          <w:bCs/>
          <w:sz w:val="18"/>
          <w:szCs w:val="18"/>
        </w:rPr>
        <w:t xml:space="preserve">•  </w:t>
      </w:r>
      <w:r>
        <w:rPr>
          <w:sz w:val="18"/>
          <w:szCs w:val="18"/>
        </w:rPr>
        <w:t xml:space="preserve">System administrator owns technical availability, backups and security but does not decide respondent eligibility.</w:t>
      </w:r>
    </w:p>
    <w:p>
      <w:pPr>
        <w:spacing w:after="50"/>
        <w:ind w:left="220" w:hanging="160"/>
      </w:pPr>
      <w:r>
        <w:rPr>
          <w:b/>
          <w:bCs/>
          <w:sz w:val="18"/>
          <w:szCs w:val="18"/>
        </w:rPr>
        <w:t xml:space="preserve">•  </w:t>
      </w:r>
      <w:r>
        <w:rPr>
          <w:sz w:val="18"/>
          <w:szCs w:val="18"/>
        </w:rPr>
        <w:t xml:space="preserve">QUAN/Kobo QA RA owns submission reconciliation and QA queue management.</w:t>
      </w:r>
    </w:p>
    <w:p>
      <w:pPr>
        <w:spacing w:after="50"/>
        <w:ind w:left="220" w:hanging="160"/>
      </w:pPr>
      <w:r>
        <w:rPr>
          <w:b/>
          <w:bCs/>
          <w:sz w:val="18"/>
          <w:szCs w:val="18"/>
        </w:rPr>
        <w:t xml:space="preserve">•  </w:t>
      </w:r>
      <w:r>
        <w:rPr>
          <w:sz w:val="18"/>
          <w:szCs w:val="18"/>
        </w:rPr>
        <w:t xml:space="preserve">KII/Documentary RA owns KII/document status, not final thematic interpretation.</w:t>
      </w:r>
    </w:p>
    <w:p>
      <w:pPr>
        <w:spacing w:after="50"/>
        <w:ind w:left="220" w:hanging="160"/>
      </w:pPr>
      <w:r>
        <w:rPr>
          <w:b/>
          <w:bCs/>
          <w:sz w:val="18"/>
          <w:szCs w:val="18"/>
        </w:rPr>
        <w:t xml:space="preserve">•  </w:t>
      </w:r>
      <w:r>
        <w:rPr>
          <w:sz w:val="18"/>
          <w:szCs w:val="18"/>
        </w:rPr>
        <w:t xml:space="preserve">Every production change to questionnaire fields, consent wording, scoring or sampling rules requires version control and PI approval.</w:t>
      </w:r>
    </w:p>
    <w:p>
      <w:pPr>
        <w:spacing w:after="50"/>
        <w:ind w:left="220" w:hanging="160"/>
      </w:pPr>
      <w:r>
        <w:rPr>
          <w:b/>
          <w:bCs/>
          <w:sz w:val="18"/>
          <w:szCs w:val="18"/>
        </w:rPr>
        <w:t xml:space="preserve">•  </w:t>
      </w:r>
      <w:r>
        <w:rPr>
          <w:sz w:val="18"/>
          <w:szCs w:val="18"/>
        </w:rPr>
        <w:t xml:space="preserve">High-risk software changes are frozen during the final two weeks before data lock except security/critical fixes.</w:t>
      </w:r>
    </w:p>
    <w:p>
      <w:pPr>
        <w:pBdr>
          <w:bottom w:val="single" w:color="063D2B" w:sz="6" w:space="3"/>
        </w:pBdr>
        <w:spacing w:after="100" w:before="260"/>
      </w:pPr>
      <w:r>
        <w:rPr>
          <w:b/>
          <w:bCs/>
          <w:color w:val="063D2B"/>
          <w:sz w:val="25"/>
          <w:szCs w:val="25"/>
        </w:rPr>
        <w:t xml:space="preserve">22. Recommended Immediate Build Sequence</w:t>
      </w:r>
    </w:p>
    <w:p>
      <w:pPr>
        <w:spacing w:after="50"/>
        <w:ind w:left="260" w:hanging="220"/>
      </w:pPr>
      <w:r>
        <w:rPr>
          <w:b/>
          <w:bCs/>
          <w:sz w:val="18"/>
          <w:szCs w:val="18"/>
        </w:rPr>
        <w:t xml:space="preserve">1.  </w:t>
      </w:r>
      <w:r>
        <w:rPr>
          <w:sz w:val="18"/>
          <w:szCs w:val="18"/>
        </w:rPr>
        <w:t xml:space="preserve">Freeze the Main-400/Reserve-400 import schema and unique identifiers (§25).</w:t>
      </w:r>
    </w:p>
    <w:p>
      <w:pPr>
        <w:spacing w:after="50"/>
        <w:ind w:left="260" w:hanging="220"/>
      </w:pPr>
      <w:r>
        <w:rPr>
          <w:b/>
          <w:bCs/>
          <w:sz w:val="18"/>
          <w:szCs w:val="18"/>
        </w:rPr>
        <w:t xml:space="preserve">2.  </w:t>
      </w:r>
      <w:r>
        <w:rPr>
          <w:sz w:val="18"/>
          <w:szCs w:val="18"/>
        </w:rPr>
        <w:t xml:space="preserve">Freeze the final Kobo field names needed for portal integration, and the Kobo integration contract (test asset UID, API token scope, webhook secret — §6.4).</w:t>
      </w:r>
    </w:p>
    <w:p>
      <w:pPr>
        <w:spacing w:after="50"/>
        <w:ind w:left="260" w:hanging="220"/>
      </w:pPr>
      <w:r>
        <w:rPr>
          <w:b/>
          <w:bCs/>
          <w:sz w:val="18"/>
          <w:szCs w:val="18"/>
        </w:rPr>
        <w:t xml:space="preserve">3.  </w:t>
      </w:r>
      <w:r>
        <w:rPr>
          <w:sz w:val="18"/>
          <w:szCs w:val="18"/>
        </w:rPr>
        <w:t xml:space="preserve">Prepare the approved Participant Information Sheet and electronic-consent wording.</w:t>
      </w:r>
    </w:p>
    <w:p>
      <w:pPr>
        <w:spacing w:after="50"/>
        <w:ind w:left="260" w:hanging="220"/>
      </w:pPr>
      <w:r>
        <w:rPr>
          <w:b/>
          <w:bCs/>
          <w:sz w:val="18"/>
          <w:szCs w:val="18"/>
        </w:rPr>
        <w:t xml:space="preserve">4.  </w:t>
      </w:r>
      <w:r>
        <w:rPr>
          <w:sz w:val="18"/>
          <w:szCs w:val="18"/>
        </w:rPr>
        <w:t xml:space="preserve">Design the respondent screens: Invitation, Eligibility, Consent, Participation Choice.</w:t>
      </w:r>
    </w:p>
    <w:p>
      <w:pPr>
        <w:spacing w:after="50"/>
        <w:ind w:left="260" w:hanging="220"/>
      </w:pPr>
      <w:r>
        <w:rPr>
          <w:b/>
          <w:bCs/>
          <w:sz w:val="18"/>
          <w:szCs w:val="18"/>
        </w:rPr>
        <w:t xml:space="preserve">5.  </w:t>
      </w:r>
      <w:r>
        <w:rPr>
          <w:sz w:val="18"/>
          <w:szCs w:val="18"/>
        </w:rPr>
        <w:t xml:space="preserve">Build researcher login, Main-400 dashboard and contact register.</w:t>
      </w:r>
    </w:p>
    <w:p>
      <w:pPr>
        <w:spacing w:after="50"/>
        <w:ind w:left="260" w:hanging="220"/>
      </w:pPr>
      <w:r>
        <w:rPr>
          <w:b/>
          <w:bCs/>
          <w:sz w:val="18"/>
          <w:szCs w:val="18"/>
        </w:rPr>
        <w:t xml:space="preserve">6.  </w:t>
      </w:r>
      <w:r>
        <w:rPr>
          <w:sz w:val="18"/>
          <w:szCs w:val="18"/>
        </w:rPr>
        <w:t xml:space="preserve">Implement tokenised Kobo redirect and scheduled submission reconciliation.</w:t>
      </w:r>
    </w:p>
    <w:p>
      <w:pPr>
        <w:spacing w:after="50"/>
        <w:ind w:left="260" w:hanging="220"/>
      </w:pPr>
      <w:r>
        <w:rPr>
          <w:b/>
          <w:bCs/>
          <w:sz w:val="18"/>
          <w:szCs w:val="18"/>
        </w:rPr>
        <w:t xml:space="preserve">7.  </w:t>
      </w:r>
      <w:r>
        <w:rPr>
          <w:sz w:val="18"/>
          <w:szCs w:val="18"/>
        </w:rPr>
        <w:t xml:space="preserve">Test with synthetic/test cases only, against the dedicated staging environment and Kobo test asset (§29); verify reserve locks and de-identified export.</w:t>
      </w:r>
    </w:p>
    <w:p>
      <w:pPr>
        <w:spacing w:after="50"/>
        <w:ind w:left="260" w:hanging="220"/>
      </w:pPr>
      <w:r>
        <w:rPr>
          <w:b/>
          <w:bCs/>
          <w:sz w:val="18"/>
          <w:szCs w:val="18"/>
        </w:rPr>
        <w:t xml:space="preserve">8.  </w:t>
      </w:r>
      <w:r>
        <w:rPr>
          <w:sz w:val="18"/>
          <w:szCs w:val="18"/>
        </w:rPr>
        <w:t xml:space="preserve">Conduct user acceptance testing with PI, Coordinator and one RA.</w:t>
      </w:r>
    </w:p>
    <w:p>
      <w:pPr>
        <w:spacing w:after="50"/>
        <w:ind w:left="260" w:hanging="220"/>
      </w:pPr>
      <w:r>
        <w:rPr>
          <w:b/>
          <w:bCs/>
          <w:sz w:val="18"/>
          <w:szCs w:val="18"/>
        </w:rPr>
        <w:t xml:space="preserve">9.  </w:t>
      </w:r>
      <w:r>
        <w:rPr>
          <w:sz w:val="18"/>
          <w:szCs w:val="18"/>
        </w:rPr>
        <w:t xml:space="preserve">Document defects and close critical issues.</w:t>
      </w:r>
    </w:p>
    <w:p>
      <w:pPr>
        <w:spacing w:after="50"/>
        <w:ind w:left="260" w:hanging="220"/>
      </w:pPr>
      <w:r>
        <w:rPr>
          <w:b/>
          <w:bCs/>
          <w:sz w:val="18"/>
          <w:szCs w:val="18"/>
        </w:rPr>
        <w:t xml:space="preserve">10.  </w:t>
      </w:r>
      <w:r>
        <w:rPr>
          <w:sz w:val="18"/>
          <w:szCs w:val="18"/>
        </w:rPr>
        <w:t xml:space="preserve">Confirm the POTRAZ/data-protection position (§15.1) is resolved.</w:t>
      </w:r>
    </w:p>
    <w:p>
      <w:pPr>
        <w:spacing w:after="50"/>
        <w:ind w:left="260" w:hanging="220"/>
      </w:pPr>
      <w:r>
        <w:rPr>
          <w:b/>
          <w:bCs/>
          <w:sz w:val="18"/>
          <w:szCs w:val="18"/>
        </w:rPr>
        <w:t xml:space="preserve">11.  </w:t>
      </w:r>
      <w:r>
        <w:rPr>
          <w:sz w:val="18"/>
          <w:szCs w:val="18"/>
        </w:rPr>
        <w:t xml:space="preserve">Only then issue the first live Main-400 invitations.</w:t>
      </w:r>
    </w:p>
    <w:p>
      <w:pPr>
        <w:pBdr>
          <w:bottom w:val="single" w:color="063D2B" w:sz="6" w:space="3"/>
        </w:pBdr>
        <w:spacing w:after="100" w:before="260"/>
      </w:pPr>
      <w:r>
        <w:rPr>
          <w:b/>
          <w:bCs/>
          <w:color w:val="063D2B"/>
          <w:sz w:val="25"/>
          <w:szCs w:val="25"/>
        </w:rPr>
        <w:t xml:space="preserve">23. Proposed System Name and Branding</w:t>
      </w:r>
    </w:p>
    <w:p>
      <w:pPr>
        <w:spacing w:after="110"/>
        <w:jc w:val="both"/>
      </w:pPr>
      <w:r>
        <w:rPr>
          <w:sz w:val="19"/>
          <w:szCs w:val="19"/>
        </w:rPr>
        <w:t xml:space="preserve">Umbrella platform: ABF-FST Digital Research &amp; Bankability Platform. Respondent-facing module: ABF-FST Digital Respondent Portal. Researcher module: ABF-FST Research Operations Centre. Future validated module: ABI Assessment &amp; Bankability Dashboard (a separate application — §30).</w:t>
      </w:r>
    </w:p>
    <w:p>
      <w:pPr>
        <w:spacing w:after="110"/>
        <w:jc w:val="both"/>
      </w:pPr>
      <w:r>
        <w:rPr>
          <w:sz w:val="19"/>
          <w:szCs w:val="19"/>
        </w:rPr>
        <w:t xml:space="preserve">Branding emphasises university research legitimacy and confidentiality. It avoids commercial branding that could make respondents believe participation is a financing application or that a lender will see their responses.</w:t>
      </w:r>
    </w:p>
    <w:p>
      <w:pPr>
        <w:pBdr>
          <w:bottom w:val="single" w:color="063D2B" w:sz="6" w:space="3"/>
        </w:pBdr>
        <w:spacing w:after="100" w:before="260"/>
      </w:pPr>
      <w:r>
        <w:rPr>
          <w:b/>
          <w:bCs/>
          <w:color w:val="063D2B"/>
          <w:sz w:val="25"/>
          <w:szCs w:val="25"/>
        </w:rPr>
        <w:t xml:space="preserve">24. Final Architecture Recommendation</w:t>
      </w:r>
    </w:p>
    <w:p>
      <w:pPr>
        <w:spacing w:after="110"/>
        <w:jc w:val="both"/>
      </w:pPr>
      <w:r>
        <w:rPr>
          <w:sz w:val="19"/>
          <w:szCs w:val="19"/>
        </w:rPr>
        <w:t xml:space="preserve">Proceed with a lightweight, invitation-controlled portal integrated with KoboToolbox, built on Next.js/TypeScript and Django/PostgreSQL to match and share infrastructure with the sibling ABI application. Build only the features required to authenticate selected respondents, capture consent, route participation, manage contact and appointments, reconcile submissions, protect the Main-400/Reserve-400 design, run KIIs/documents, perform QA and monitor cost. The portal is designed for eventual ABI data hand-off, but the ABI scoring engine remains a separate, post-validation application. This architecture directly supports the cost-containment objective by maximising web/telephone/WhatsApp completion, sharing hosting infrastructure with ABI, and reserving physical travel for documented exceptions.</w:t>
      </w:r>
    </w:p>
    <w:p>
      <w:r>
        <w:br w:type="page"/>
      </w:r>
    </w:p>
    <w:p>
      <w:pPr>
        <w:pBdr>
          <w:bottom w:val="single" w:color="063D2B" w:sz="6" w:space="3"/>
        </w:pBdr>
        <w:spacing w:after="100" w:before="260"/>
      </w:pPr>
      <w:r>
        <w:rPr>
          <w:b/>
          <w:bCs/>
          <w:color w:val="063D2B"/>
          <w:sz w:val="25"/>
          <w:szCs w:val="25"/>
        </w:rPr>
        <w:t xml:space="preserve">25. Identifier Scheme Specification — NEW in v2.0</w:t>
      </w:r>
    </w:p>
    <w:p>
      <w:pPr>
        <w:spacing w:after="110"/>
        <w:jc w:val="both"/>
      </w:pPr>
      <w:r>
        <w:rPr>
          <w:sz w:val="19"/>
          <w:szCs w:val="19"/>
        </w:rPr>
        <w:t xml:space="preserve">This closes the review's high-priority gap: Master_ID and Sample_ID were referenced throughout v1.0 without a specified format, which blocked v1.0's own §22 Step 1 ('freeze the identifier schema').</w:t>
      </w:r>
    </w:p>
    <w:p>
      <w:pPr>
        <w:spacing w:after="70" w:before="160"/>
      </w:pPr>
      <w:r>
        <w:rPr>
          <w:b/>
          <w:bCs/>
          <w:color w:val="042A1E"/>
          <w:sz w:val="20"/>
          <w:szCs w:val="20"/>
        </w:rPr>
        <w:t xml:space="preserve">25.1 Master_ID — permanent organisation identifier</w:t>
      </w:r>
    </w:p>
    <w:p>
      <w:pPr>
        <w:shd w:fill="F4F4F4" w:val="clear"/>
        <w:spacing w:after="110" w:before="40"/>
      </w:pPr>
      <w:r>
        <w:rPr>
          <w:rFonts w:ascii="Consolas" w:cs="Consolas" w:eastAsia="Consolas" w:hAnsi="Consolas"/>
          <w:sz w:val="15"/>
          <w:szCs w:val="15"/>
        </w:rPr>
        <w:t xml:space="preserve">Format: MID-&lt;province-code(2)&gt;-&lt;sequence(6)&gt;</w:t>
      </w:r>
      <w:r>
        <w:rPr>
          <w:rFonts w:ascii="Consolas" w:cs="Consolas" w:eastAsia="Consolas" w:hAnsi="Consolas"/>
          <w:sz w:val="15"/>
          <w:szCs w:val="15"/>
        </w:rPr>
        <w:br/>
        <w:t xml:space="preserve">Example: MID-HA-000418</w:t>
      </w:r>
    </w:p>
    <w:p>
      <w:pPr>
        <w:spacing w:after="110"/>
        <w:jc w:val="both"/>
      </w:pPr>
      <w:r>
        <w:rPr>
          <w:sz w:val="19"/>
          <w:szCs w:val="19"/>
        </w:rPr>
        <w:t xml:space="preserve">System-generated at organisation import, never user-entered; immutable for the life of the organisation record, independent of Main/Reserve status. The sequence is a database-assigned monotonic integer, unique within the province code, so collision is structurally impossible rather than merely policy-discouraged.</w:t>
      </w:r>
    </w:p>
    <w:p>
      <w:pPr>
        <w:spacing w:after="70" w:before="160"/>
      </w:pPr>
      <w:r>
        <w:rPr>
          <w:b/>
          <w:bCs/>
          <w:color w:val="042A1E"/>
          <w:sz w:val="20"/>
          <w:szCs w:val="20"/>
        </w:rPr>
        <w:t xml:space="preserve">25.2 Sample_ID — sampling-instance identifier</w:t>
      </w:r>
    </w:p>
    <w:p>
      <w:pPr>
        <w:shd w:fill="F4F4F4" w:val="clear"/>
        <w:spacing w:after="110" w:before="40"/>
      </w:pPr>
      <w:r>
        <w:rPr>
          <w:rFonts w:ascii="Consolas" w:cs="Consolas" w:eastAsia="Consolas" w:hAnsi="Consolas"/>
          <w:sz w:val="15"/>
          <w:szCs w:val="15"/>
        </w:rPr>
        <w:t xml:space="preserve">Format: SID-&lt;year(4)&gt;-&lt;sequence(6)&gt;</w:t>
      </w:r>
      <w:r>
        <w:rPr>
          <w:rFonts w:ascii="Consolas" w:cs="Consolas" w:eastAsia="Consolas" w:hAnsi="Consolas"/>
          <w:sz w:val="15"/>
          <w:szCs w:val="15"/>
        </w:rPr>
        <w:br/>
        <w:t xml:space="preserve">Example: SID-2026-000418</w:t>
      </w:r>
    </w:p>
    <w:p>
      <w:pPr>
        <w:spacing w:after="110"/>
        <w:jc w:val="both"/>
      </w:pPr>
      <w:r>
        <w:rPr>
          <w:sz w:val="19"/>
          <w:szCs w:val="19"/>
        </w:rPr>
        <w:t xml:space="preserve">One organisation has exactly one active Sample_ID per study wave; a re-sampled organisation in a later wave receives a new Sample_ID against the same Master_ID, never overwriting the historical case. A Main case and its matched Reserve case are two distinct Sample_IDs, linked by a matched-case reference — this is what lets the reserve lock be enforced as a query condition rather than a manual list.</w:t>
      </w:r>
    </w:p>
    <w:p>
      <w:pPr>
        <w:spacing w:after="110"/>
        <w:jc w:val="both"/>
      </w:pPr>
      <w:r>
        <w:rPr>
          <w:sz w:val="19"/>
          <w:szCs w:val="19"/>
        </w:rPr>
        <w:t xml:space="preserve">Both identifiers are generated exclusively by the sampling import routine at Main-400/Reserve-400 load time — never typed in by a user, never derived from personal data. Human-readable enough to read aloud by phone or SMS, but never used as a secret; the invitation token (§26), not the identifier, is the access-control boundary.</w:t>
      </w:r>
    </w:p>
    <w:p>
      <w:pPr>
        <w:pBdr>
          <w:bottom w:val="single" w:color="063D2B" w:sz="6" w:space="3"/>
        </w:pBdr>
        <w:spacing w:after="100" w:before="260"/>
      </w:pPr>
      <w:r>
        <w:rPr>
          <w:b/>
          <w:bCs/>
          <w:color w:val="063D2B"/>
          <w:sz w:val="25"/>
          <w:szCs w:val="25"/>
        </w:rPr>
        <w:t xml:space="preserve">26. Invitation Token Design — NEW in v2.0</w:t>
      </w:r>
    </w:p>
    <w:p>
      <w:pPr>
        <w:spacing w:after="110"/>
        <w:jc w:val="both"/>
      </w:pPr>
      <w:r>
        <w:rPr>
          <w:sz w:val="19"/>
          <w:szCs w:val="19"/>
        </w:rPr>
        <w:t xml:space="preserve">This closes the review's medium-priority gap: 'random high-entropy token' and 'stored hashed where feasible' were directionally right but not implementable as written.</w:t>
      </w:r>
    </w:p>
    <w:p>
      <w:pPr>
        <w:spacing w:after="50"/>
        <w:ind w:left="220" w:hanging="160"/>
      </w:pPr>
      <w:r>
        <w:rPr>
          <w:b/>
          <w:bCs/>
          <w:sz w:val="18"/>
          <w:szCs w:val="18"/>
        </w:rPr>
        <w:t xml:space="preserve">•  </w:t>
      </w:r>
      <w:r>
        <w:rPr>
          <w:sz w:val="18"/>
          <w:szCs w:val="18"/>
        </w:rPr>
        <w:t xml:space="preserve">Shape: an opaque random token, not a JWT — revocability matters more than statelessness at this scale, and a JWT cannot be un-issued short of a blocklist.</w:t>
      </w:r>
    </w:p>
    <w:p>
      <w:pPr>
        <w:spacing w:after="50"/>
        <w:ind w:left="220" w:hanging="160"/>
      </w:pPr>
      <w:r>
        <w:rPr>
          <w:b/>
          <w:bCs/>
          <w:sz w:val="18"/>
          <w:szCs w:val="18"/>
        </w:rPr>
        <w:t xml:space="preserve">•  </w:t>
      </w:r>
      <w:r>
        <w:rPr>
          <w:sz w:val="18"/>
          <w:szCs w:val="18"/>
        </w:rPr>
        <w:t xml:space="preserve">Length/entropy: 32 bytes (256 bits) of CSPRNG output, base64url-encoded (43 characters, URL-safe).</w:t>
      </w:r>
    </w:p>
    <w:p>
      <w:pPr>
        <w:spacing w:after="50"/>
        <w:ind w:left="220" w:hanging="160"/>
      </w:pPr>
      <w:r>
        <w:rPr>
          <w:b/>
          <w:bCs/>
          <w:sz w:val="18"/>
          <w:szCs w:val="18"/>
        </w:rPr>
        <w:t xml:space="preserve">•  </w:t>
      </w:r>
      <w:r>
        <w:rPr>
          <w:sz w:val="18"/>
          <w:szCs w:val="18"/>
        </w:rPr>
        <w:t xml:space="preserve">Storage: only a salted SHA-256 hash is persisted; the raw token exists only in the message sent to the respondent and briefly in server memory during issuance/validation — never logged.</w:t>
      </w:r>
    </w:p>
    <w:p>
      <w:pPr>
        <w:spacing w:after="50"/>
        <w:ind w:left="220" w:hanging="160"/>
      </w:pPr>
      <w:r>
        <w:rPr>
          <w:b/>
          <w:bCs/>
          <w:sz w:val="18"/>
          <w:szCs w:val="18"/>
        </w:rPr>
        <w:t xml:space="preserve">•  </w:t>
      </w:r>
      <w:r>
        <w:rPr>
          <w:sz w:val="18"/>
          <w:szCs w:val="18"/>
        </w:rPr>
        <w:t xml:space="preserve">Transport: https://research.agribizframework.com/i/&lt;token&gt; via WhatsApp, email, SMS, or QR; a shorter 8-character manual entry code (also hashed) is available for telephone/printed-letter delivery.</w:t>
      </w:r>
    </w:p>
    <w:p>
      <w:pPr>
        <w:spacing w:after="50"/>
        <w:ind w:left="220" w:hanging="160"/>
      </w:pPr>
      <w:r>
        <w:rPr>
          <w:b/>
          <w:bCs/>
          <w:sz w:val="18"/>
          <w:szCs w:val="18"/>
        </w:rPr>
        <w:t xml:space="preserve">•  </w:t>
      </w:r>
      <w:r>
        <w:rPr>
          <w:sz w:val="18"/>
          <w:szCs w:val="18"/>
        </w:rPr>
        <w:t xml:space="preserve">Expiry: default 14 days from issuance, configurable without a redeploy (a database-driven setting, not a hardcoded constant).</w:t>
      </w:r>
    </w:p>
    <w:p>
      <w:pPr>
        <w:spacing w:after="50"/>
        <w:ind w:left="220" w:hanging="160"/>
      </w:pPr>
      <w:r>
        <w:rPr>
          <w:b/>
          <w:bCs/>
          <w:sz w:val="18"/>
          <w:szCs w:val="18"/>
        </w:rPr>
        <w:t xml:space="preserve">•  </w:t>
      </w:r>
      <w:r>
        <w:rPr>
          <w:sz w:val="18"/>
          <w:szCs w:val="18"/>
        </w:rPr>
        <w:t xml:space="preserve">Single-valid-token rule: multiple tokens may exist per Sample_ID over time (full audit history), but only the most recently issued, non-expired, non-revoked one is valid; issuing a new token automatically supersedes any prior open token.</w:t>
      </w:r>
    </w:p>
    <w:p>
      <w:pPr>
        <w:spacing w:after="50"/>
        <w:ind w:left="220" w:hanging="160"/>
      </w:pPr>
      <w:r>
        <w:rPr>
          <w:b/>
          <w:bCs/>
          <w:sz w:val="18"/>
          <w:szCs w:val="18"/>
        </w:rPr>
        <w:t xml:space="preserve">•  </w:t>
      </w:r>
      <w:r>
        <w:rPr>
          <w:sz w:val="18"/>
          <w:szCs w:val="18"/>
        </w:rPr>
        <w:t xml:space="preserve">Revocation: an RA can revoke a token immediately (e.g. on a confirmed wrong number), writing an audit event.</w:t>
      </w:r>
    </w:p>
    <w:p>
      <w:pPr>
        <w:spacing w:after="50"/>
        <w:ind w:left="220" w:hanging="160"/>
      </w:pPr>
      <w:r>
        <w:rPr>
          <w:b/>
          <w:bCs/>
          <w:sz w:val="18"/>
          <w:szCs w:val="18"/>
        </w:rPr>
        <w:t xml:space="preserve">•  </w:t>
      </w:r>
      <w:r>
        <w:rPr>
          <w:sz w:val="18"/>
          <w:szCs w:val="18"/>
        </w:rPr>
        <w:t xml:space="preserve">Rate limiting: validation attempts are throttled per token and per source IP.</w:t>
      </w:r>
    </w:p>
    <w:p>
      <w:pPr>
        <w:spacing w:after="50"/>
        <w:ind w:left="220" w:hanging="160"/>
      </w:pPr>
      <w:r>
        <w:rPr>
          <w:b/>
          <w:bCs/>
          <w:sz w:val="18"/>
          <w:szCs w:val="18"/>
        </w:rPr>
        <w:t xml:space="preserve">•  </w:t>
      </w:r>
      <w:r>
        <w:rPr>
          <w:sz w:val="18"/>
          <w:szCs w:val="18"/>
        </w:rPr>
        <w:t xml:space="preserve">Not device-bound: the token itself, not the device, is the credential — respondents may switch devices.</w:t>
      </w:r>
    </w:p>
    <w:p>
      <w:r>
        <w:br w:type="page"/>
      </w:r>
    </w:p>
    <w:p>
      <w:pPr>
        <w:pBdr>
          <w:bottom w:val="single" w:color="063D2B" w:sz="6" w:space="3"/>
        </w:pBdr>
        <w:spacing w:after="100" w:before="260"/>
      </w:pPr>
      <w:r>
        <w:rPr>
          <w:b/>
          <w:bCs/>
          <w:color w:val="063D2B"/>
          <w:sz w:val="25"/>
          <w:szCs w:val="25"/>
        </w:rPr>
        <w:t xml:space="preserve">27. QA Rule Thresholds — NEW in v2.0</w:t>
      </w:r>
    </w:p>
    <w:p>
      <w:pPr>
        <w:spacing w:after="110"/>
        <w:jc w:val="both"/>
      </w:pPr>
      <w:r>
        <w:rPr>
          <w:sz w:val="19"/>
          <w:szCs w:val="19"/>
        </w:rPr>
        <w:t xml:space="preserve">This closes the review's medium-priority gap: 'unusual duration', 'logic failures' and 'coverage issues' were named as QA triggers without numeric definitions. The values below are proposed engineering defaults for Principal Researcher sign-off before Phase 1 QA-engine work starts — not yet a confirmed research decision, but concrete enough to approve or adjust rather than define from scratch.</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180"/>
        <w:gridCol w:w="2120"/>
        <w:gridCol w:w="5300"/>
      </w:tblGrid>
      <w:tr>
        <w:trPr>
          <w:tblHeader/>
        </w:trPr>
        <w:tc>
          <w:tcPr>
            <w:tcW w:type="dxa" w:w="3180"/>
            <w:shd w:fill="063D2B" w:val="clear"/>
            <w:tcMar>
              <w:top w:type="dxa" w:w="45"/>
              <w:left w:type="dxa" w:w="90"/>
              <w:bottom w:type="dxa" w:w="45"/>
              <w:right w:type="dxa" w:w="90"/>
            </w:tcMar>
            <w:vAlign w:val="center"/>
          </w:tcPr>
          <w:p>
            <w:r>
              <w:rPr>
                <w:b/>
                <w:bCs/>
                <w:color w:val="FFFFFF"/>
                <w:sz w:val="15"/>
                <w:szCs w:val="15"/>
              </w:rPr>
              <w:t xml:space="preserve">Threshold</w:t>
            </w:r>
          </w:p>
        </w:tc>
        <w:tc>
          <w:tcPr>
            <w:tcW w:type="dxa" w:w="2120"/>
            <w:shd w:fill="063D2B" w:val="clear"/>
            <w:tcMar>
              <w:top w:type="dxa" w:w="45"/>
              <w:left w:type="dxa" w:w="90"/>
              <w:bottom w:type="dxa" w:w="45"/>
              <w:right w:type="dxa" w:w="90"/>
            </w:tcMar>
            <w:vAlign w:val="center"/>
          </w:tcPr>
          <w:p>
            <w:r>
              <w:rPr>
                <w:b/>
                <w:bCs/>
                <w:color w:val="FFFFFF"/>
                <w:sz w:val="15"/>
                <w:szCs w:val="15"/>
              </w:rPr>
              <w:t xml:space="preserve">Proposed default</w:t>
            </w:r>
          </w:p>
        </w:tc>
        <w:tc>
          <w:tcPr>
            <w:tcW w:type="dxa" w:w="5300"/>
            <w:shd w:fill="063D2B" w:val="clear"/>
            <w:tcMar>
              <w:top w:type="dxa" w:w="45"/>
              <w:left w:type="dxa" w:w="90"/>
              <w:bottom w:type="dxa" w:w="45"/>
              <w:right w:type="dxa" w:w="90"/>
            </w:tcMar>
            <w:vAlign w:val="center"/>
          </w:tcPr>
          <w:p>
            <w:r>
              <w:rPr>
                <w:b/>
                <w:bCs/>
                <w:color w:val="FFFFFF"/>
                <w:sz w:val="15"/>
                <w:szCs w:val="15"/>
              </w:rPr>
              <w:t xml:space="preserve">Trigger</w:t>
            </w:r>
          </w:p>
        </w:tc>
      </w:tr>
      <w:tr>
        <w:tc>
          <w:tcPr>
            <w:tcW w:type="dxa" w:w="3180"/>
            <w:shd w:fill="FFFFFF" w:val="clear"/>
            <w:tcMar>
              <w:top w:type="dxa" w:w="45"/>
              <w:left w:type="dxa" w:w="90"/>
              <w:bottom w:type="dxa" w:w="45"/>
              <w:right w:type="dxa" w:w="90"/>
            </w:tcMar>
            <w:vAlign w:val="center"/>
          </w:tcPr>
          <w:p>
            <w:r>
              <w:rPr>
                <w:sz w:val="15"/>
                <w:szCs w:val="15"/>
              </w:rPr>
              <w:t xml:space="preserve">min_plausible_duration_seconds</w:t>
            </w:r>
          </w:p>
        </w:tc>
        <w:tc>
          <w:tcPr>
            <w:tcW w:type="dxa" w:w="2120"/>
            <w:shd w:fill="FFFFFF" w:val="clear"/>
            <w:tcMar>
              <w:top w:type="dxa" w:w="45"/>
              <w:left w:type="dxa" w:w="90"/>
              <w:bottom w:type="dxa" w:w="45"/>
              <w:right w:type="dxa" w:w="90"/>
            </w:tcMar>
            <w:vAlign w:val="center"/>
          </w:tcPr>
          <w:p>
            <w:r>
              <w:rPr>
                <w:sz w:val="15"/>
                <w:szCs w:val="15"/>
              </w:rPr>
              <w:t xml:space="preserve">300 (5 min)</w:t>
            </w:r>
          </w:p>
        </w:tc>
        <w:tc>
          <w:tcPr>
            <w:tcW w:type="dxa" w:w="5300"/>
            <w:shd w:fill="FFFFFF" w:val="clear"/>
            <w:tcMar>
              <w:top w:type="dxa" w:w="45"/>
              <w:left w:type="dxa" w:w="90"/>
              <w:bottom w:type="dxa" w:w="45"/>
              <w:right w:type="dxa" w:w="90"/>
            </w:tcMar>
            <w:vAlign w:val="center"/>
          </w:tcPr>
          <w:p>
            <w:r>
              <w:rPr>
                <w:sz w:val="15"/>
                <w:szCs w:val="15"/>
              </w:rPr>
              <w:t xml:space="preserve">Flag if QUAN completion time is below this — implausibly fast.</w:t>
            </w:r>
          </w:p>
        </w:tc>
      </w:tr>
      <w:tr>
        <w:tc>
          <w:tcPr>
            <w:tcW w:type="dxa" w:w="3180"/>
            <w:shd w:fill="EAF3EE" w:val="clear"/>
            <w:tcMar>
              <w:top w:type="dxa" w:w="45"/>
              <w:left w:type="dxa" w:w="90"/>
              <w:bottom w:type="dxa" w:w="45"/>
              <w:right w:type="dxa" w:w="90"/>
            </w:tcMar>
            <w:vAlign w:val="center"/>
          </w:tcPr>
          <w:p>
            <w:r>
              <w:rPr>
                <w:sz w:val="15"/>
                <w:szCs w:val="15"/>
              </w:rPr>
              <w:t xml:space="preserve">max_plausible_duration_seconds</w:t>
            </w:r>
          </w:p>
        </w:tc>
        <w:tc>
          <w:tcPr>
            <w:tcW w:type="dxa" w:w="2120"/>
            <w:shd w:fill="EAF3EE" w:val="clear"/>
            <w:tcMar>
              <w:top w:type="dxa" w:w="45"/>
              <w:left w:type="dxa" w:w="90"/>
              <w:bottom w:type="dxa" w:w="45"/>
              <w:right w:type="dxa" w:w="90"/>
            </w:tcMar>
            <w:vAlign w:val="center"/>
          </w:tcPr>
          <w:p>
            <w:r>
              <w:rPr>
                <w:sz w:val="15"/>
                <w:szCs w:val="15"/>
              </w:rPr>
              <w:t xml:space="preserve">5400 (90 min)</w:t>
            </w:r>
          </w:p>
        </w:tc>
        <w:tc>
          <w:tcPr>
            <w:tcW w:type="dxa" w:w="5300"/>
            <w:shd w:fill="EAF3EE" w:val="clear"/>
            <w:tcMar>
              <w:top w:type="dxa" w:w="45"/>
              <w:left w:type="dxa" w:w="90"/>
              <w:bottom w:type="dxa" w:w="45"/>
              <w:right w:type="dxa" w:w="90"/>
            </w:tcMar>
            <w:vAlign w:val="center"/>
          </w:tcPr>
          <w:p>
            <w:r>
              <w:rPr>
                <w:sz w:val="15"/>
                <w:szCs w:val="15"/>
              </w:rPr>
              <w:t xml:space="preserve">Flag if above this — likely left open/abandoned and resumed.</w:t>
            </w:r>
          </w:p>
        </w:tc>
      </w:tr>
      <w:tr>
        <w:tc>
          <w:tcPr>
            <w:tcW w:type="dxa" w:w="3180"/>
            <w:shd w:fill="FFFFFF" w:val="clear"/>
            <w:tcMar>
              <w:top w:type="dxa" w:w="45"/>
              <w:left w:type="dxa" w:w="90"/>
              <w:bottom w:type="dxa" w:w="45"/>
              <w:right w:type="dxa" w:w="90"/>
            </w:tcMar>
            <w:vAlign w:val="center"/>
          </w:tcPr>
          <w:p>
            <w:r>
              <w:rPr>
                <w:sz w:val="15"/>
                <w:szCs w:val="15"/>
              </w:rPr>
              <w:t xml:space="preserve">max_missing_optional_fields_percent</w:t>
            </w:r>
          </w:p>
        </w:tc>
        <w:tc>
          <w:tcPr>
            <w:tcW w:type="dxa" w:w="2120"/>
            <w:shd w:fill="FFFFFF" w:val="clear"/>
            <w:tcMar>
              <w:top w:type="dxa" w:w="45"/>
              <w:left w:type="dxa" w:w="90"/>
              <w:bottom w:type="dxa" w:w="45"/>
              <w:right w:type="dxa" w:w="90"/>
            </w:tcMar>
            <w:vAlign w:val="center"/>
          </w:tcPr>
          <w:p>
            <w:r>
              <w:rPr>
                <w:sz w:val="15"/>
                <w:szCs w:val="15"/>
              </w:rPr>
              <w:t xml:space="preserve">10%</w:t>
            </w:r>
          </w:p>
        </w:tc>
        <w:tc>
          <w:tcPr>
            <w:tcW w:type="dxa" w:w="5300"/>
            <w:shd w:fill="FFFFFF" w:val="clear"/>
            <w:tcMar>
              <w:top w:type="dxa" w:w="45"/>
              <w:left w:type="dxa" w:w="90"/>
              <w:bottom w:type="dxa" w:w="45"/>
              <w:right w:type="dxa" w:w="90"/>
            </w:tcMar>
            <w:vAlign w:val="center"/>
          </w:tcPr>
          <w:p>
            <w:r>
              <w:rPr>
                <w:sz w:val="15"/>
                <w:szCs w:val="15"/>
              </w:rPr>
              <w:t xml:space="preserve">Soft-flag if more than this share of optional fields are blank.</w:t>
            </w:r>
          </w:p>
        </w:tc>
      </w:tr>
      <w:tr>
        <w:tc>
          <w:tcPr>
            <w:tcW w:type="dxa" w:w="3180"/>
            <w:shd w:fill="EAF3EE" w:val="clear"/>
            <w:tcMar>
              <w:top w:type="dxa" w:w="45"/>
              <w:left w:type="dxa" w:w="90"/>
              <w:bottom w:type="dxa" w:w="45"/>
              <w:right w:type="dxa" w:w="90"/>
            </w:tcMar>
            <w:vAlign w:val="center"/>
          </w:tcPr>
          <w:p>
            <w:r>
              <w:rPr>
                <w:sz w:val="15"/>
                <w:szCs w:val="15"/>
              </w:rPr>
              <w:t xml:space="preserve">hard_stop_missing_required_fields</w:t>
            </w:r>
          </w:p>
        </w:tc>
        <w:tc>
          <w:tcPr>
            <w:tcW w:type="dxa" w:w="2120"/>
            <w:shd w:fill="EAF3EE" w:val="clear"/>
            <w:tcMar>
              <w:top w:type="dxa" w:w="45"/>
              <w:left w:type="dxa" w:w="90"/>
              <w:bottom w:type="dxa" w:w="45"/>
              <w:right w:type="dxa" w:w="90"/>
            </w:tcMar>
            <w:vAlign w:val="center"/>
          </w:tcPr>
          <w:p>
            <w:r>
              <w:rPr>
                <w:sz w:val="15"/>
                <w:szCs w:val="15"/>
              </w:rPr>
              <w:t xml:space="preserve">any</w:t>
            </w:r>
          </w:p>
        </w:tc>
        <w:tc>
          <w:tcPr>
            <w:tcW w:type="dxa" w:w="5300"/>
            <w:shd w:fill="EAF3EE" w:val="clear"/>
            <w:tcMar>
              <w:top w:type="dxa" w:w="45"/>
              <w:left w:type="dxa" w:w="90"/>
              <w:bottom w:type="dxa" w:w="45"/>
              <w:right w:type="dxa" w:w="90"/>
            </w:tcMar>
            <w:vAlign w:val="center"/>
          </w:tcPr>
          <w:p>
            <w:r>
              <w:rPr>
                <w:sz w:val="15"/>
                <w:szCs w:val="15"/>
              </w:rPr>
              <w:t xml:space="preserve">Any required field missing is always a hard stop.</w:t>
            </w:r>
          </w:p>
        </w:tc>
      </w:tr>
      <w:tr>
        <w:tc>
          <w:tcPr>
            <w:tcW w:type="dxa" w:w="3180"/>
            <w:shd w:fill="FFFFFF" w:val="clear"/>
            <w:tcMar>
              <w:top w:type="dxa" w:w="45"/>
              <w:left w:type="dxa" w:w="90"/>
              <w:bottom w:type="dxa" w:w="45"/>
              <w:right w:type="dxa" w:w="90"/>
            </w:tcMar>
            <w:vAlign w:val="center"/>
          </w:tcPr>
          <w:p>
            <w:r>
              <w:rPr>
                <w:sz w:val="15"/>
                <w:szCs w:val="15"/>
              </w:rPr>
              <w:t xml:space="preserve">duplicate_master_id_window_hours</w:t>
            </w:r>
          </w:p>
        </w:tc>
        <w:tc>
          <w:tcPr>
            <w:tcW w:type="dxa" w:w="2120"/>
            <w:shd w:fill="FFFFFF" w:val="clear"/>
            <w:tcMar>
              <w:top w:type="dxa" w:w="45"/>
              <w:left w:type="dxa" w:w="90"/>
              <w:bottom w:type="dxa" w:w="45"/>
              <w:right w:type="dxa" w:w="90"/>
            </w:tcMar>
            <w:vAlign w:val="center"/>
          </w:tcPr>
          <w:p>
            <w:r>
              <w:rPr>
                <w:sz w:val="15"/>
                <w:szCs w:val="15"/>
              </w:rPr>
              <w:t xml:space="preserve">24</w:t>
            </w:r>
          </w:p>
        </w:tc>
        <w:tc>
          <w:tcPr>
            <w:tcW w:type="dxa" w:w="5300"/>
            <w:shd w:fill="FFFFFF" w:val="clear"/>
            <w:tcMar>
              <w:top w:type="dxa" w:w="45"/>
              <w:left w:type="dxa" w:w="90"/>
              <w:bottom w:type="dxa" w:w="45"/>
              <w:right w:type="dxa" w:w="90"/>
            </w:tcMar>
            <w:vAlign w:val="center"/>
          </w:tcPr>
          <w:p>
            <w:r>
              <w:rPr>
                <w:sz w:val="15"/>
                <w:szCs w:val="15"/>
              </w:rPr>
              <w:t xml:space="preserve">Flag two submissions sharing a Master_ID within this window.</w:t>
            </w:r>
          </w:p>
        </w:tc>
      </w:tr>
      <w:tr>
        <w:tc>
          <w:tcPr>
            <w:tcW w:type="dxa" w:w="3180"/>
            <w:shd w:fill="EAF3EE" w:val="clear"/>
            <w:tcMar>
              <w:top w:type="dxa" w:w="45"/>
              <w:left w:type="dxa" w:w="90"/>
              <w:bottom w:type="dxa" w:w="45"/>
              <w:right w:type="dxa" w:w="90"/>
            </w:tcMar>
            <w:vAlign w:val="center"/>
          </w:tcPr>
          <w:p>
            <w:r>
              <w:rPr>
                <w:sz w:val="15"/>
                <w:szCs w:val="15"/>
              </w:rPr>
              <w:t xml:space="preserve">mode_imbalance_alert_ratio</w:t>
            </w:r>
          </w:p>
        </w:tc>
        <w:tc>
          <w:tcPr>
            <w:tcW w:type="dxa" w:w="2120"/>
            <w:shd w:fill="EAF3EE" w:val="clear"/>
            <w:tcMar>
              <w:top w:type="dxa" w:w="45"/>
              <w:left w:type="dxa" w:w="90"/>
              <w:bottom w:type="dxa" w:w="45"/>
              <w:right w:type="dxa" w:w="90"/>
            </w:tcMar>
            <w:vAlign w:val="center"/>
          </w:tcPr>
          <w:p>
            <w:r>
              <w:rPr>
                <w:sz w:val="15"/>
                <w:szCs w:val="15"/>
              </w:rPr>
              <w:t xml:space="preserve">70% in 7 days</w:t>
            </w:r>
          </w:p>
        </w:tc>
        <w:tc>
          <w:tcPr>
            <w:tcW w:type="dxa" w:w="5300"/>
            <w:shd w:fill="EAF3EE" w:val="clear"/>
            <w:tcMar>
              <w:top w:type="dxa" w:w="45"/>
              <w:left w:type="dxa" w:w="90"/>
              <w:bottom w:type="dxa" w:w="45"/>
              <w:right w:type="dxa" w:w="90"/>
            </w:tcMar>
            <w:vAlign w:val="center"/>
          </w:tcPr>
          <w:p>
            <w:r>
              <w:rPr>
                <w:sz w:val="15"/>
                <w:szCs w:val="15"/>
              </w:rPr>
              <w:t xml:space="preserve">Flags the dashboard, not an individual submission, if one administration mode dominates.</w:t>
            </w:r>
          </w:p>
        </w:tc>
      </w:tr>
    </w:tbl>
    <w:p>
      <w:pPr>
        <w:spacing w:after="110"/>
        <w:jc w:val="both"/>
      </w:pPr>
      <w:r>
        <w:rPr>
          <w:sz w:val="19"/>
          <w:szCs w:val="19"/>
        </w:rPr>
        <w:t xml:space="preserve">A hard stop blocks a submission from QA-PASSED status until corrected or explicitly overridden by a human reviewer with a note; a soft flag places the submission in the QA queue for reviewer judgement without blocking progress by itself. Logic-violation rules split the same way: a structurally-impossible answer combination (data corruption/tampering-class) is always a hard stop; a substantively implausible but structurally valid combination is a soft flag for reviewer judgement. Every threshold is stored as configuration, not a hardcoded value in application code, so the PI can tune it without a redeploy.</w:t>
      </w:r>
    </w:p>
    <w:p>
      <w:pPr>
        <w:pBdr>
          <w:bottom w:val="single" w:color="063D2B" w:sz="6" w:space="3"/>
        </w:pBdr>
        <w:spacing w:after="100" w:before="260"/>
      </w:pPr>
      <w:r>
        <w:rPr>
          <w:b/>
          <w:bCs/>
          <w:color w:val="063D2B"/>
          <w:sz w:val="25"/>
          <w:szCs w:val="25"/>
        </w:rPr>
        <w:t xml:space="preserve">28. Language of Respondent-Facing Screens — NEW in v2.0</w:t>
      </w:r>
    </w:p>
    <w:p>
      <w:pPr>
        <w:spacing w:after="110"/>
        <w:jc w:val="both"/>
      </w:pPr>
      <w:r>
        <w:rPr>
          <w:sz w:val="19"/>
          <w:szCs w:val="19"/>
        </w:rPr>
        <w:t xml:space="preserve">This closes the review's medium-priority gap: v1.0 implicitly assumed English-only content without documenting the decision — an ethics reviewer is likely to ask this question directly.</w:t>
      </w:r>
    </w:p>
    <w:p>
      <w:pPr>
        <w:pBdr>
          <w:left w:val="single" w:color="0B3B66" w:sz="16" w:space="6"/>
        </w:pBdr>
        <w:shd w:fill="E8F1FA" w:val="clear"/>
        <w:spacing w:after="100" w:before="40"/>
        <w:ind w:left="100"/>
      </w:pPr>
      <w:r>
        <w:rPr>
          <w:color w:val="0B2E4F"/>
          <w:sz w:val="17"/>
          <w:szCs w:val="17"/>
        </w:rPr>
        <w:t xml:space="preserve">Decision: English-only for v1.0, explicitly documented rather than left implicit. Given the national sampling frame, some respondents or gatekeepers may be materially better served in Shona or Ndebele, particularly for informed-consent comprehension — this is recognised, not dismissed, but full interface localisation is deferred past the immediate Phase 1 MVP window given the timeline pressure against the 30 November 2026 data lock.</w:t>
      </w:r>
    </w:p>
    <w:p>
      <w:pPr>
        <w:spacing w:after="110"/>
        <w:jc w:val="both"/>
      </w:pPr>
      <w:r>
        <w:rPr>
          <w:sz w:val="19"/>
          <w:szCs w:val="19"/>
        </w:rPr>
        <w:t xml:space="preserve">Mitigation within the English-only decision: participant information and consent text is written in plain, unambiguous English, reviewed for comprehension before use; phone-assisted and WhatsApp-call-assisted administration modes (§6.2, codes 03–05) allow an RA to verbally clarify consent and questionnaire content in Shona or Ndebele as needed — this is the primary v1.0 accessibility mitigation, not a translated interface. Whether to produce translated Participant Information Sheets even without a fully localised interface is flagged as an open question for the PI ahead of Phase 1.</w:t>
      </w:r>
    </w:p>
    <w:p>
      <w:pPr>
        <w:pBdr>
          <w:bottom w:val="single" w:color="063D2B" w:sz="6" w:space="3"/>
        </w:pBdr>
        <w:spacing w:after="100" w:before="260"/>
      </w:pPr>
      <w:r>
        <w:rPr>
          <w:b/>
          <w:bCs/>
          <w:color w:val="063D2B"/>
          <w:sz w:val="25"/>
          <w:szCs w:val="25"/>
        </w:rPr>
        <w:t xml:space="preserve">29. Environments, CI/CD &amp; Recovery Targets — NEW in v2.0</w:t>
      </w:r>
    </w:p>
    <w:p>
      <w:pPr>
        <w:spacing w:after="110"/>
        <w:jc w:val="both"/>
      </w:pPr>
      <w:r>
        <w:rPr>
          <w:sz w:val="19"/>
          <w:szCs w:val="19"/>
        </w:rPr>
        <w:t xml:space="preserve">This closes two review gaps: no dev/staging/prod or CI strategy was named, and no backup RPO/RTO targets were defined — both of which v1.0's own §22 needed (testing 'with synthetic/test cases only' is not executable without a real staging environment).</w:t>
      </w:r>
    </w:p>
    <w:p>
      <w:pPr>
        <w:spacing w:after="70" w:before="160"/>
      </w:pPr>
      <w:r>
        <w:rPr>
          <w:b/>
          <w:bCs/>
          <w:color w:val="042A1E"/>
          <w:sz w:val="20"/>
          <w:szCs w:val="20"/>
        </w:rPr>
        <w:t xml:space="preserve">29.1 Environments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696"/>
        <w:gridCol w:w="2756"/>
        <w:gridCol w:w="2968"/>
        <w:gridCol w:w="3180"/>
      </w:tblGrid>
      <w:tr>
        <w:trPr>
          <w:tblHeader/>
        </w:trPr>
        <w:tc>
          <w:tcPr>
            <w:tcW w:type="dxa" w:w="1696"/>
            <w:shd w:fill="063D2B" w:val="clear"/>
            <w:tcMar>
              <w:top w:type="dxa" w:w="40"/>
              <w:left w:type="dxa" w:w="90"/>
              <w:bottom w:type="dxa" w:w="40"/>
              <w:right w:type="dxa" w:w="90"/>
            </w:tcMar>
            <w:vAlign w:val="center"/>
          </w:tcPr>
          <w:p>
            <w:r>
              <w:rPr>
                <w:b/>
                <w:bCs/>
                <w:color w:val="FFFFFF"/>
                <w:sz w:val="14"/>
                <w:szCs w:val="14"/>
              </w:rPr>
              <w:t xml:space="preserve">Environment</w:t>
            </w:r>
          </w:p>
        </w:tc>
        <w:tc>
          <w:tcPr>
            <w:tcW w:type="dxa" w:w="2756"/>
            <w:shd w:fill="063D2B" w:val="clear"/>
            <w:tcMar>
              <w:top w:type="dxa" w:w="40"/>
              <w:left w:type="dxa" w:w="90"/>
              <w:bottom w:type="dxa" w:w="40"/>
              <w:right w:type="dxa" w:w="90"/>
            </w:tcMar>
            <w:vAlign w:val="center"/>
          </w:tcPr>
          <w:p>
            <w:r>
              <w:rPr>
                <w:b/>
                <w:bCs/>
                <w:color w:val="FFFFFF"/>
                <w:sz w:val="14"/>
                <w:szCs w:val="14"/>
              </w:rPr>
              <w:t xml:space="preserve">Purpose</w:t>
            </w:r>
          </w:p>
        </w:tc>
        <w:tc>
          <w:tcPr>
            <w:tcW w:type="dxa" w:w="2968"/>
            <w:shd w:fill="063D2B" w:val="clear"/>
            <w:tcMar>
              <w:top w:type="dxa" w:w="40"/>
              <w:left w:type="dxa" w:w="90"/>
              <w:bottom w:type="dxa" w:w="40"/>
              <w:right w:type="dxa" w:w="90"/>
            </w:tcMar>
            <w:vAlign w:val="center"/>
          </w:tcPr>
          <w:p>
            <w:r>
              <w:rPr>
                <w:b/>
                <w:bCs/>
                <w:color w:val="FFFFFF"/>
                <w:sz w:val="14"/>
                <w:szCs w:val="14"/>
              </w:rPr>
              <w:t xml:space="preserve">Kobo asset</w:t>
            </w:r>
          </w:p>
        </w:tc>
        <w:tc>
          <w:tcPr>
            <w:tcW w:type="dxa" w:w="3180"/>
            <w:shd w:fill="063D2B" w:val="clear"/>
            <w:tcMar>
              <w:top w:type="dxa" w:w="40"/>
              <w:left w:type="dxa" w:w="90"/>
              <w:bottom w:type="dxa" w:w="40"/>
              <w:right w:type="dxa" w:w="90"/>
            </w:tcMar>
            <w:vAlign w:val="center"/>
          </w:tcPr>
          <w:p>
            <w:r>
              <w:rPr>
                <w:b/>
                <w:bCs/>
                <w:color w:val="FFFFFF"/>
                <w:sz w:val="14"/>
                <w:szCs w:val="14"/>
              </w:rPr>
              <w:t xml:space="preserve">Data</w:t>
            </w:r>
          </w:p>
        </w:tc>
      </w:tr>
      <w:tr>
        <w:tc>
          <w:tcPr>
            <w:tcW w:type="dxa" w:w="1696"/>
            <w:shd w:fill="FFFFFF" w:val="clear"/>
            <w:tcMar>
              <w:top w:type="dxa" w:w="40"/>
              <w:left w:type="dxa" w:w="90"/>
              <w:bottom w:type="dxa" w:w="40"/>
              <w:right w:type="dxa" w:w="90"/>
            </w:tcMar>
            <w:vAlign w:val="center"/>
          </w:tcPr>
          <w:p>
            <w:r>
              <w:rPr>
                <w:sz w:val="14"/>
                <w:szCs w:val="14"/>
              </w:rPr>
              <w:t xml:space="preserve">Local/dev</w:t>
            </w:r>
          </w:p>
        </w:tc>
        <w:tc>
          <w:tcPr>
            <w:tcW w:type="dxa" w:w="2756"/>
            <w:shd w:fill="FFFFFF" w:val="clear"/>
            <w:tcMar>
              <w:top w:type="dxa" w:w="40"/>
              <w:left w:type="dxa" w:w="90"/>
              <w:bottom w:type="dxa" w:w="40"/>
              <w:right w:type="dxa" w:w="90"/>
            </w:tcMar>
            <w:vAlign w:val="center"/>
          </w:tcPr>
          <w:p>
            <w:r>
              <w:rPr>
                <w:sz w:val="14"/>
                <w:szCs w:val="14"/>
              </w:rPr>
              <w:t xml:space="preserve">Individual developer machines</w:t>
            </w:r>
          </w:p>
        </w:tc>
        <w:tc>
          <w:tcPr>
            <w:tcW w:type="dxa" w:w="2968"/>
            <w:shd w:fill="FFFFFF" w:val="clear"/>
            <w:tcMar>
              <w:top w:type="dxa" w:w="40"/>
              <w:left w:type="dxa" w:w="90"/>
              <w:bottom w:type="dxa" w:w="40"/>
              <w:right w:type="dxa" w:w="90"/>
            </w:tcMar>
            <w:vAlign w:val="center"/>
          </w:tcPr>
          <w:p>
            <w:r>
              <w:rPr>
                <w:sz w:val="14"/>
                <w:szCs w:val="14"/>
              </w:rPr>
              <w:t xml:space="preserve">Dedicated Kobo test/staging asset</w:t>
            </w:r>
          </w:p>
        </w:tc>
        <w:tc>
          <w:tcPr>
            <w:tcW w:type="dxa" w:w="3180"/>
            <w:shd w:fill="FFFFFF" w:val="clear"/>
            <w:tcMar>
              <w:top w:type="dxa" w:w="40"/>
              <w:left w:type="dxa" w:w="90"/>
              <w:bottom w:type="dxa" w:w="40"/>
              <w:right w:type="dxa" w:w="90"/>
            </w:tcMar>
            <w:vAlign w:val="center"/>
          </w:tcPr>
          <w:p>
            <w:r>
              <w:rPr>
                <w:sz w:val="14"/>
                <w:szCs w:val="14"/>
              </w:rPr>
              <w:t xml:space="preserve">Synthetic fixtures only</w:t>
            </w:r>
          </w:p>
        </w:tc>
      </w:tr>
      <w:tr>
        <w:tc>
          <w:tcPr>
            <w:tcW w:type="dxa" w:w="1696"/>
            <w:shd w:fill="EAF3EE" w:val="clear"/>
            <w:tcMar>
              <w:top w:type="dxa" w:w="40"/>
              <w:left w:type="dxa" w:w="90"/>
              <w:bottom w:type="dxa" w:w="40"/>
              <w:right w:type="dxa" w:w="90"/>
            </w:tcMar>
            <w:vAlign w:val="center"/>
          </w:tcPr>
          <w:p>
            <w:r>
              <w:rPr>
                <w:sz w:val="14"/>
                <w:szCs w:val="14"/>
              </w:rPr>
              <w:t xml:space="preserve">Staging</w:t>
            </w:r>
          </w:p>
        </w:tc>
        <w:tc>
          <w:tcPr>
            <w:tcW w:type="dxa" w:w="2756"/>
            <w:shd w:fill="EAF3EE" w:val="clear"/>
            <w:tcMar>
              <w:top w:type="dxa" w:w="40"/>
              <w:left w:type="dxa" w:w="90"/>
              <w:bottom w:type="dxa" w:w="40"/>
              <w:right w:type="dxa" w:w="90"/>
            </w:tcMar>
            <w:vAlign w:val="center"/>
          </w:tcPr>
          <w:p>
            <w:r>
              <w:rPr>
                <w:sz w:val="14"/>
                <w:szCs w:val="14"/>
              </w:rPr>
              <w:t xml:space="preserve">Pre-live rehearsal, UAT</w:t>
            </w:r>
          </w:p>
        </w:tc>
        <w:tc>
          <w:tcPr>
            <w:tcW w:type="dxa" w:w="2968"/>
            <w:shd w:fill="EAF3EE" w:val="clear"/>
            <w:tcMar>
              <w:top w:type="dxa" w:w="40"/>
              <w:left w:type="dxa" w:w="90"/>
              <w:bottom w:type="dxa" w:w="40"/>
              <w:right w:type="dxa" w:w="90"/>
            </w:tcMar>
            <w:vAlign w:val="center"/>
          </w:tcPr>
          <w:p>
            <w:r>
              <w:rPr>
                <w:sz w:val="14"/>
                <w:szCs w:val="14"/>
              </w:rPr>
              <w:t xml:space="preserve">Same Kobo test/staging asset</w:t>
            </w:r>
          </w:p>
        </w:tc>
        <w:tc>
          <w:tcPr>
            <w:tcW w:type="dxa" w:w="3180"/>
            <w:shd w:fill="EAF3EE" w:val="clear"/>
            <w:tcMar>
              <w:top w:type="dxa" w:w="40"/>
              <w:left w:type="dxa" w:w="90"/>
              <w:bottom w:type="dxa" w:w="40"/>
              <w:right w:type="dxa" w:w="90"/>
            </w:tcMar>
            <w:vAlign w:val="center"/>
          </w:tcPr>
          <w:p>
            <w:r>
              <w:rPr>
                <w:sz w:val="14"/>
                <w:szCs w:val="14"/>
              </w:rPr>
              <w:t xml:space="preserve">Synthetic/test cases only — never real Main-400 records</w:t>
            </w:r>
          </w:p>
        </w:tc>
      </w:tr>
      <w:tr>
        <w:tc>
          <w:tcPr>
            <w:tcW w:type="dxa" w:w="1696"/>
            <w:shd w:fill="FFFFFF" w:val="clear"/>
            <w:tcMar>
              <w:top w:type="dxa" w:w="40"/>
              <w:left w:type="dxa" w:w="90"/>
              <w:bottom w:type="dxa" w:w="40"/>
              <w:right w:type="dxa" w:w="90"/>
            </w:tcMar>
            <w:vAlign w:val="center"/>
          </w:tcPr>
          <w:p>
            <w:r>
              <w:rPr>
                <w:sz w:val="14"/>
                <w:szCs w:val="14"/>
              </w:rPr>
              <w:t xml:space="preserve">Production</w:t>
            </w:r>
          </w:p>
        </w:tc>
        <w:tc>
          <w:tcPr>
            <w:tcW w:type="dxa" w:w="2756"/>
            <w:shd w:fill="FFFFFF" w:val="clear"/>
            <w:tcMar>
              <w:top w:type="dxa" w:w="40"/>
              <w:left w:type="dxa" w:w="90"/>
              <w:bottom w:type="dxa" w:w="40"/>
              <w:right w:type="dxa" w:w="90"/>
            </w:tcMar>
            <w:vAlign w:val="center"/>
          </w:tcPr>
          <w:p>
            <w:r>
              <w:rPr>
                <w:sz w:val="14"/>
                <w:szCs w:val="14"/>
              </w:rPr>
              <w:t xml:space="preserve">Live fieldwork</w:t>
            </w:r>
          </w:p>
        </w:tc>
        <w:tc>
          <w:tcPr>
            <w:tcW w:type="dxa" w:w="2968"/>
            <w:shd w:fill="FFFFFF" w:val="clear"/>
            <w:tcMar>
              <w:top w:type="dxa" w:w="40"/>
              <w:left w:type="dxa" w:w="90"/>
              <w:bottom w:type="dxa" w:w="40"/>
              <w:right w:type="dxa" w:w="90"/>
            </w:tcMar>
            <w:vAlign w:val="center"/>
          </w:tcPr>
          <w:p>
            <w:r>
              <w:rPr>
                <w:sz w:val="14"/>
                <w:szCs w:val="14"/>
              </w:rPr>
              <w:t xml:space="preserve">Live production Kobo asset</w:t>
            </w:r>
          </w:p>
        </w:tc>
        <w:tc>
          <w:tcPr>
            <w:tcW w:type="dxa" w:w="3180"/>
            <w:shd w:fill="FFFFFF" w:val="clear"/>
            <w:tcMar>
              <w:top w:type="dxa" w:w="40"/>
              <w:left w:type="dxa" w:w="90"/>
              <w:bottom w:type="dxa" w:w="40"/>
              <w:right w:type="dxa" w:w="90"/>
            </w:tcMar>
            <w:vAlign w:val="center"/>
          </w:tcPr>
          <w:p>
            <w:r>
              <w:rPr>
                <w:sz w:val="14"/>
                <w:szCs w:val="14"/>
              </w:rPr>
              <w:t xml:space="preserve">Real Main-400/Reserve-400 data, from go-live onward</w:t>
            </w:r>
          </w:p>
        </w:tc>
      </w:tr>
    </w:tbl>
    <w:p>
      <w:pPr>
        <w:spacing w:after="110"/>
        <w:jc w:val="both"/>
      </w:pPr>
      <w:r>
        <w:rPr>
          <w:sz w:val="19"/>
          <w:szCs w:val="19"/>
        </w:rPr>
        <w:t xml:space="preserve">CI pipeline (run on every push/PR): lint, type-check, backend pytest, frontend component tests, and — on merge toward staging/production — the full Playwright end-to-end suite against a fresh database. A build phase is not markable complete until CI is green for that phase's changes. Staging is rehearsed against the full go-live acceptance checklist (§20) before every production deploy during active fieldwork, and high-risk changes are frozen in the final two weeks before data lock, per §21.</w:t>
      </w:r>
    </w:p>
    <w:p>
      <w:pPr>
        <w:spacing w:after="70" w:before="160"/>
      </w:pPr>
      <w:r>
        <w:rPr>
          <w:b/>
          <w:bCs/>
          <w:color w:val="042A1E"/>
          <w:sz w:val="20"/>
          <w:szCs w:val="20"/>
        </w:rPr>
        <w:t xml:space="preserve">29.2 Backup recovery targets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544"/>
        <w:gridCol w:w="3604"/>
        <w:gridCol w:w="4452"/>
      </w:tblGrid>
      <w:tr>
        <w:trPr>
          <w:tblHeader/>
        </w:trPr>
        <w:tc>
          <w:tcPr>
            <w:tcW w:type="dxa" w:w="2544"/>
            <w:shd w:fill="063D2B" w:val="clear"/>
            <w:tcMar>
              <w:top w:type="dxa" w:w="45"/>
              <w:left w:type="dxa" w:w="90"/>
              <w:bottom w:type="dxa" w:w="45"/>
              <w:right w:type="dxa" w:w="90"/>
            </w:tcMar>
            <w:vAlign w:val="center"/>
          </w:tcPr>
          <w:p>
            <w:r>
              <w:rPr>
                <w:b/>
                <w:bCs/>
                <w:color w:val="FFFFFF"/>
                <w:sz w:val="14"/>
                <w:szCs w:val="14"/>
              </w:rPr>
              <w:t xml:space="preserve">Target</w:t>
            </w:r>
          </w:p>
        </w:tc>
        <w:tc>
          <w:tcPr>
            <w:tcW w:type="dxa" w:w="3604"/>
            <w:shd w:fill="063D2B" w:val="clear"/>
            <w:tcMar>
              <w:top w:type="dxa" w:w="45"/>
              <w:left w:type="dxa" w:w="90"/>
              <w:bottom w:type="dxa" w:w="45"/>
              <w:right w:type="dxa" w:w="90"/>
            </w:tcMar>
            <w:vAlign w:val="center"/>
          </w:tcPr>
          <w:p>
            <w:r>
              <w:rPr>
                <w:b/>
                <w:bCs/>
                <w:color w:val="FFFFFF"/>
                <w:sz w:val="14"/>
                <w:szCs w:val="14"/>
              </w:rPr>
              <w:t xml:space="preserve">Value</w:t>
            </w:r>
          </w:p>
        </w:tc>
        <w:tc>
          <w:tcPr>
            <w:tcW w:type="dxa" w:w="4452"/>
            <w:shd w:fill="063D2B" w:val="clear"/>
            <w:tcMar>
              <w:top w:type="dxa" w:w="45"/>
              <w:left w:type="dxa" w:w="90"/>
              <w:bottom w:type="dxa" w:w="45"/>
              <w:right w:type="dxa" w:w="90"/>
            </w:tcMar>
            <w:vAlign w:val="center"/>
          </w:tcPr>
          <w:p>
            <w:r>
              <w:rPr>
                <w:b/>
                <w:bCs/>
                <w:color w:val="FFFFFF"/>
                <w:sz w:val="14"/>
                <w:szCs w:val="14"/>
              </w:rPr>
              <w:t xml:space="preserve">Rationale</w:t>
            </w:r>
          </w:p>
        </w:tc>
      </w:tr>
      <w:tr>
        <w:tc>
          <w:tcPr>
            <w:tcW w:type="dxa" w:w="2544"/>
            <w:shd w:fill="FFFFFF" w:val="clear"/>
            <w:tcMar>
              <w:top w:type="dxa" w:w="45"/>
              <w:left w:type="dxa" w:w="90"/>
              <w:bottom w:type="dxa" w:w="45"/>
              <w:right w:type="dxa" w:w="90"/>
            </w:tcMar>
            <w:vAlign w:val="center"/>
          </w:tcPr>
          <w:p>
            <w:r>
              <w:rPr>
                <w:sz w:val="14"/>
                <w:szCs w:val="14"/>
              </w:rPr>
              <w:t xml:space="preserve">Recovery Point Objective (RPO)</w:t>
            </w:r>
          </w:p>
        </w:tc>
        <w:tc>
          <w:tcPr>
            <w:tcW w:type="dxa" w:w="3604"/>
            <w:shd w:fill="FFFFFF" w:val="clear"/>
            <w:tcMar>
              <w:top w:type="dxa" w:w="45"/>
              <w:left w:type="dxa" w:w="90"/>
              <w:bottom w:type="dxa" w:w="45"/>
              <w:right w:type="dxa" w:w="90"/>
            </w:tcMar>
            <w:vAlign w:val="center"/>
          </w:tcPr>
          <w:p>
            <w:r>
              <w:rPr>
                <w:sz w:val="14"/>
                <w:szCs w:val="14"/>
              </w:rPr>
              <w:t xml:space="preserve">≤ 4 hours during active fieldwork (Phases 1–3); ≤ 24 hours otherwise</w:t>
            </w:r>
          </w:p>
        </w:tc>
        <w:tc>
          <w:tcPr>
            <w:tcW w:type="dxa" w:w="4452"/>
            <w:shd w:fill="FFFFFF" w:val="clear"/>
            <w:tcMar>
              <w:top w:type="dxa" w:w="45"/>
              <w:left w:type="dxa" w:w="90"/>
              <w:bottom w:type="dxa" w:w="45"/>
              <w:right w:type="dxa" w:w="90"/>
            </w:tcMar>
            <w:vAlign w:val="center"/>
          </w:tcPr>
          <w:p>
            <w:r>
              <w:rPr>
                <w:sz w:val="14"/>
                <w:szCs w:val="14"/>
              </w:rPr>
              <w:t xml:space="preserve">Fieldwork-window data (consent, QA decisions, reserve activations) is expensive and time-sensitive to recreate.</w:t>
            </w:r>
          </w:p>
        </w:tc>
      </w:tr>
      <w:tr>
        <w:tc>
          <w:tcPr>
            <w:tcW w:type="dxa" w:w="2544"/>
            <w:shd w:fill="EAF3EE" w:val="clear"/>
            <w:tcMar>
              <w:top w:type="dxa" w:w="45"/>
              <w:left w:type="dxa" w:w="90"/>
              <w:bottom w:type="dxa" w:w="45"/>
              <w:right w:type="dxa" w:w="90"/>
            </w:tcMar>
            <w:vAlign w:val="center"/>
          </w:tcPr>
          <w:p>
            <w:r>
              <w:rPr>
                <w:sz w:val="14"/>
                <w:szCs w:val="14"/>
              </w:rPr>
              <w:t xml:space="preserve">Recovery Time Objective (RTO)</w:t>
            </w:r>
          </w:p>
        </w:tc>
        <w:tc>
          <w:tcPr>
            <w:tcW w:type="dxa" w:w="3604"/>
            <w:shd w:fill="EAF3EE" w:val="clear"/>
            <w:tcMar>
              <w:top w:type="dxa" w:w="45"/>
              <w:left w:type="dxa" w:w="90"/>
              <w:bottom w:type="dxa" w:w="45"/>
              <w:right w:type="dxa" w:w="90"/>
            </w:tcMar>
            <w:vAlign w:val="center"/>
          </w:tcPr>
          <w:p>
            <w:r>
              <w:rPr>
                <w:sz w:val="14"/>
                <w:szCs w:val="14"/>
              </w:rPr>
              <w:t xml:space="preserve">≤ 4 hours during active fieldwork; ≤ 24 hours otherwise</w:t>
            </w:r>
          </w:p>
        </w:tc>
        <w:tc>
          <w:tcPr>
            <w:tcW w:type="dxa" w:w="4452"/>
            <w:shd w:fill="EAF3EE" w:val="clear"/>
            <w:tcMar>
              <w:top w:type="dxa" w:w="45"/>
              <w:left w:type="dxa" w:w="90"/>
              <w:bottom w:type="dxa" w:w="45"/>
              <w:right w:type="dxa" w:w="90"/>
            </w:tcMar>
            <w:vAlign w:val="center"/>
          </w:tcPr>
          <w:p>
            <w:r>
              <w:rPr>
                <w:sz w:val="14"/>
                <w:szCs w:val="14"/>
              </w:rPr>
              <w:t xml:space="preserve">A multi-day outage during September–November directly threatens the 30 November data lock.</w:t>
            </w:r>
          </w:p>
        </w:tc>
      </w:tr>
    </w:tbl>
    <w:p>
      <w:pPr>
        <w:spacing w:after="110"/>
        <w:jc w:val="both"/>
      </w:pPr>
      <w:r>
        <w:rPr>
          <w:sz w:val="19"/>
          <w:szCs w:val="19"/>
        </w:rPr>
        <w:t xml:space="preserve">Implementation: automated PostgreSQL backups no less frequently than every 4 hours during Phases 1–3 (continuous point-in-time recovery via a managed database, or a scripted dump cron matching the interval if self-managed), stored off the application server, with a documented and tested restore procedure — an untested backup does not count. A restore drill is required before go-live (§20) and is not assumed to work.</w:t>
      </w:r>
    </w:p>
    <w:p>
      <w:r>
        <w:br w:type="page"/>
      </w:r>
    </w:p>
    <w:p>
      <w:pPr>
        <w:pBdr>
          <w:bottom w:val="single" w:color="063D2B" w:sz="6" w:space="3"/>
        </w:pBdr>
        <w:spacing w:after="100" w:before="260"/>
      </w:pPr>
      <w:r>
        <w:rPr>
          <w:b/>
          <w:bCs/>
          <w:color w:val="063D2B"/>
          <w:sz w:val="25"/>
          <w:szCs w:val="25"/>
        </w:rPr>
        <w:t xml:space="preserve">30. Embedding with the ABI Project — NEW in v2.0</w:t>
      </w:r>
    </w:p>
    <w:p>
      <w:pPr>
        <w:spacing w:after="110"/>
        <w:jc w:val="both"/>
      </w:pPr>
      <w:r>
        <w:rPr>
          <w:sz w:val="19"/>
          <w:szCs w:val="19"/>
        </w:rPr>
        <w:t xml:space="preserve">This formalises the shared-infrastructure decision already agreed with the sponsor, and directly supersedes any reading of §1/§16 as implying a single merged application.</w:t>
      </w:r>
    </w:p>
    <w:p>
      <w:pPr>
        <w:spacing w:after="70" w:before="160"/>
      </w:pPr>
      <w:r>
        <w:rPr>
          <w:b/>
          <w:bCs/>
          <w:color w:val="042A1E"/>
          <w:sz w:val="20"/>
          <w:szCs w:val="20"/>
        </w:rPr>
        <w:t xml:space="preserve">30.1 Why not fully merge into the ABI codebase</w:t>
      </w:r>
    </w:p>
    <w:p>
      <w:pPr>
        <w:pBdr>
          <w:left w:val="single" w:color="8A1F11" w:sz="16" w:space="6"/>
        </w:pBdr>
        <w:shd w:fill="FBEAE6" w:val="clear"/>
        <w:spacing w:after="100" w:before="40"/>
        <w:ind w:left="100"/>
      </w:pPr>
      <w:r>
        <w:rPr>
          <w:b/>
          <w:bCs/>
          <w:color w:val="5C0F04"/>
          <w:sz w:val="17"/>
          <w:szCs w:val="17"/>
        </w:rPr>
        <w:t xml:space="preserve">The live ABI production deployment (agribizframework.com) already publicly exposes a 'Start ABI Assessment' self-assessment flow that generates and displays a provisional 0–100 bankability score. That is by design for ABI's own purpose, but it directly conflicts with this study's own principle (§5.6, §17.3): a Main-400 respondent must never see a provisional ABI score during primary data collection, since it could bias subsequent responses and implies a financing determination the research has not validated. Building the respondent portal as a sub-path of the same ABI application would risk exactly that exposure through shared navigation, shared session state, or a future ABI feature added without this constraint in mind.</w:t>
      </w:r>
    </w:p>
    <w:p>
      <w:pPr>
        <w:spacing w:after="70" w:before="160"/>
      </w:pPr>
      <w:r>
        <w:rPr>
          <w:b/>
          <w:bCs/>
          <w:color w:val="042A1E"/>
          <w:sz w:val="20"/>
          <w:szCs w:val="20"/>
        </w:rPr>
        <w:t xml:space="preserve">30.2 What is shared and what is not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332"/>
        <w:gridCol w:w="1696"/>
        <w:gridCol w:w="6572"/>
      </w:tblGrid>
      <w:tr>
        <w:trPr>
          <w:tblHeader/>
        </w:trPr>
        <w:tc>
          <w:tcPr>
            <w:tcW w:type="dxa" w:w="2332"/>
            <w:shd w:fill="063D2B" w:val="clear"/>
            <w:tcMar>
              <w:top w:type="dxa" w:w="45"/>
              <w:left w:type="dxa" w:w="90"/>
              <w:bottom w:type="dxa" w:w="45"/>
              <w:right w:type="dxa" w:w="90"/>
            </w:tcMar>
            <w:vAlign w:val="center"/>
          </w:tcPr>
          <w:p>
            <w:r>
              <w:rPr>
                <w:b/>
                <w:bCs/>
                <w:color w:val="FFFFFF"/>
                <w:sz w:val="14"/>
                <w:szCs w:val="14"/>
              </w:rPr>
              <w:t xml:space="preserve">Aspect</w:t>
            </w:r>
          </w:p>
        </w:tc>
        <w:tc>
          <w:tcPr>
            <w:tcW w:type="dxa" w:w="1696"/>
            <w:shd w:fill="063D2B" w:val="clear"/>
            <w:tcMar>
              <w:top w:type="dxa" w:w="45"/>
              <w:left w:type="dxa" w:w="90"/>
              <w:bottom w:type="dxa" w:w="45"/>
              <w:right w:type="dxa" w:w="90"/>
            </w:tcMar>
            <w:vAlign w:val="center"/>
          </w:tcPr>
          <w:p>
            <w:r>
              <w:rPr>
                <w:b/>
                <w:bCs/>
                <w:color w:val="FFFFFF"/>
                <w:sz w:val="14"/>
                <w:szCs w:val="14"/>
              </w:rPr>
              <w:t xml:space="preserve">Shared?</w:t>
            </w:r>
          </w:p>
        </w:tc>
        <w:tc>
          <w:tcPr>
            <w:tcW w:type="dxa" w:w="6572"/>
            <w:shd w:fill="063D2B" w:val="clear"/>
            <w:tcMar>
              <w:top w:type="dxa" w:w="45"/>
              <w:left w:type="dxa" w:w="90"/>
              <w:bottom w:type="dxa" w:w="45"/>
              <w:right w:type="dxa" w:w="90"/>
            </w:tcMar>
            <w:vAlign w:val="center"/>
          </w:tcPr>
          <w:p>
            <w:r>
              <w:rPr>
                <w:b/>
                <w:bCs/>
                <w:color w:val="FFFFFF"/>
                <w:sz w:val="14"/>
                <w:szCs w:val="14"/>
              </w:rPr>
              <w:t xml:space="preserve">Detail</w:t>
            </w:r>
          </w:p>
        </w:tc>
      </w:tr>
      <w:tr>
        <w:tc>
          <w:tcPr>
            <w:tcW w:type="dxa" w:w="2332"/>
            <w:shd w:fill="FFFFFF" w:val="clear"/>
            <w:tcMar>
              <w:top w:type="dxa" w:w="45"/>
              <w:left w:type="dxa" w:w="90"/>
              <w:bottom w:type="dxa" w:w="45"/>
              <w:right w:type="dxa" w:w="90"/>
            </w:tcMar>
            <w:vAlign w:val="center"/>
          </w:tcPr>
          <w:p>
            <w:r>
              <w:rPr>
                <w:sz w:val="14"/>
                <w:szCs w:val="14"/>
              </w:rPr>
              <w:t xml:space="preserve">Technology stack</w:t>
            </w:r>
          </w:p>
        </w:tc>
        <w:tc>
          <w:tcPr>
            <w:tcW w:type="dxa" w:w="1696"/>
            <w:shd w:fill="FFFFFF" w:val="clear"/>
            <w:tcMar>
              <w:top w:type="dxa" w:w="45"/>
              <w:left w:type="dxa" w:w="90"/>
              <w:bottom w:type="dxa" w:w="45"/>
              <w:right w:type="dxa" w:w="90"/>
            </w:tcMar>
            <w:vAlign w:val="center"/>
          </w:tcPr>
          <w:p>
            <w:r>
              <w:rPr>
                <w:sz w:val="14"/>
                <w:szCs w:val="14"/>
              </w:rPr>
              <w:t xml:space="preserve">Shared</w:t>
            </w:r>
          </w:p>
        </w:tc>
        <w:tc>
          <w:tcPr>
            <w:tcW w:type="dxa" w:w="6572"/>
            <w:shd w:fill="FFFFFF" w:val="clear"/>
            <w:tcMar>
              <w:top w:type="dxa" w:w="45"/>
              <w:left w:type="dxa" w:w="90"/>
              <w:bottom w:type="dxa" w:w="45"/>
              <w:right w:type="dxa" w:w="90"/>
            </w:tcMar>
            <w:vAlign w:val="center"/>
          </w:tcPr>
          <w:p>
            <w:r>
              <w:rPr>
                <w:sz w:val="14"/>
                <w:szCs w:val="14"/>
              </w:rPr>
              <w:t xml:space="preserve">Next.js/TypeScript + Django/PostgreSQL, same major versions where practical.</w:t>
            </w:r>
          </w:p>
        </w:tc>
      </w:tr>
      <w:tr>
        <w:tc>
          <w:tcPr>
            <w:tcW w:type="dxa" w:w="2332"/>
            <w:shd w:fill="EAF3EE" w:val="clear"/>
            <w:tcMar>
              <w:top w:type="dxa" w:w="45"/>
              <w:left w:type="dxa" w:w="90"/>
              <w:bottom w:type="dxa" w:w="45"/>
              <w:right w:type="dxa" w:w="90"/>
            </w:tcMar>
            <w:vAlign w:val="center"/>
          </w:tcPr>
          <w:p>
            <w:r>
              <w:rPr>
                <w:sz w:val="14"/>
                <w:szCs w:val="14"/>
              </w:rPr>
              <w:t xml:space="preserve">Production hosting</w:t>
            </w:r>
          </w:p>
        </w:tc>
        <w:tc>
          <w:tcPr>
            <w:tcW w:type="dxa" w:w="1696"/>
            <w:shd w:fill="EAF3EE" w:val="clear"/>
            <w:tcMar>
              <w:top w:type="dxa" w:w="45"/>
              <w:left w:type="dxa" w:w="90"/>
              <w:bottom w:type="dxa" w:w="45"/>
              <w:right w:type="dxa" w:w="90"/>
            </w:tcMar>
            <w:vAlign w:val="center"/>
          </w:tcPr>
          <w:p>
            <w:r>
              <w:rPr>
                <w:sz w:val="14"/>
                <w:szCs w:val="14"/>
              </w:rPr>
              <w:t xml:space="preserve">Shared</w:t>
            </w:r>
          </w:p>
        </w:tc>
        <w:tc>
          <w:tcPr>
            <w:tcW w:type="dxa" w:w="6572"/>
            <w:shd w:fill="EAF3EE" w:val="clear"/>
            <w:tcMar>
              <w:top w:type="dxa" w:w="45"/>
              <w:left w:type="dxa" w:w="90"/>
              <w:bottom w:type="dxa" w:w="45"/>
              <w:right w:type="dxa" w:w="90"/>
            </w:tcMar>
            <w:vAlign w:val="center"/>
          </w:tcPr>
          <w:p>
            <w:r>
              <w:rPr>
                <w:sz w:val="14"/>
                <w:szCs w:val="14"/>
              </w:rPr>
              <w:t xml:space="preserve">Same Linux VPS, same Nginx instance (one server{} block per subdomain), same Certbot/TLS pattern.</w:t>
            </w:r>
          </w:p>
        </w:tc>
      </w:tr>
      <w:tr>
        <w:tc>
          <w:tcPr>
            <w:tcW w:type="dxa" w:w="2332"/>
            <w:shd w:fill="FFFFFF" w:val="clear"/>
            <w:tcMar>
              <w:top w:type="dxa" w:w="45"/>
              <w:left w:type="dxa" w:w="90"/>
              <w:bottom w:type="dxa" w:w="45"/>
              <w:right w:type="dxa" w:w="90"/>
            </w:tcMar>
            <w:vAlign w:val="center"/>
          </w:tcPr>
          <w:p>
            <w:r>
              <w:rPr>
                <w:sz w:val="14"/>
                <w:szCs w:val="14"/>
              </w:rPr>
              <w:t xml:space="preserve">Codebase / repository</w:t>
            </w:r>
          </w:p>
        </w:tc>
        <w:tc>
          <w:tcPr>
            <w:tcW w:type="dxa" w:w="1696"/>
            <w:shd w:fill="FFFFFF" w:val="clear"/>
            <w:tcMar>
              <w:top w:type="dxa" w:w="45"/>
              <w:left w:type="dxa" w:w="90"/>
              <w:bottom w:type="dxa" w:w="45"/>
              <w:right w:type="dxa" w:w="90"/>
            </w:tcMar>
            <w:vAlign w:val="center"/>
          </w:tcPr>
          <w:p>
            <w:r>
              <w:rPr>
                <w:sz w:val="14"/>
                <w:szCs w:val="14"/>
              </w:rPr>
              <w:t xml:space="preserve">Separate</w:t>
            </w:r>
          </w:p>
        </w:tc>
        <w:tc>
          <w:tcPr>
            <w:tcW w:type="dxa" w:w="6572"/>
            <w:shd w:fill="FFFFFF" w:val="clear"/>
            <w:tcMar>
              <w:top w:type="dxa" w:w="45"/>
              <w:left w:type="dxa" w:w="90"/>
              <w:bottom w:type="dxa" w:w="45"/>
              <w:right w:type="dxa" w:w="90"/>
            </w:tcMar>
            <w:vAlign w:val="center"/>
          </w:tcPr>
          <w:p>
            <w:r>
              <w:rPr>
                <w:sz w:val="14"/>
                <w:szCs w:val="14"/>
              </w:rPr>
              <w:t xml:space="preserve">Two repositories, each with its own frontend/ and backend/.</w:t>
            </w:r>
          </w:p>
        </w:tc>
      </w:tr>
      <w:tr>
        <w:tc>
          <w:tcPr>
            <w:tcW w:type="dxa" w:w="2332"/>
            <w:shd w:fill="EAF3EE" w:val="clear"/>
            <w:tcMar>
              <w:top w:type="dxa" w:w="45"/>
              <w:left w:type="dxa" w:w="90"/>
              <w:bottom w:type="dxa" w:w="45"/>
              <w:right w:type="dxa" w:w="90"/>
            </w:tcMar>
            <w:vAlign w:val="center"/>
          </w:tcPr>
          <w:p>
            <w:r>
              <w:rPr>
                <w:sz w:val="14"/>
                <w:szCs w:val="14"/>
              </w:rPr>
              <w:t xml:space="preserve">Database</w:t>
            </w:r>
          </w:p>
        </w:tc>
        <w:tc>
          <w:tcPr>
            <w:tcW w:type="dxa" w:w="1696"/>
            <w:shd w:fill="EAF3EE" w:val="clear"/>
            <w:tcMar>
              <w:top w:type="dxa" w:w="45"/>
              <w:left w:type="dxa" w:w="90"/>
              <w:bottom w:type="dxa" w:w="45"/>
              <w:right w:type="dxa" w:w="90"/>
            </w:tcMar>
            <w:vAlign w:val="center"/>
          </w:tcPr>
          <w:p>
            <w:r>
              <w:rPr>
                <w:sz w:val="14"/>
                <w:szCs w:val="14"/>
              </w:rPr>
              <w:t xml:space="preserve">Separate</w:t>
            </w:r>
          </w:p>
        </w:tc>
        <w:tc>
          <w:tcPr>
            <w:tcW w:type="dxa" w:w="6572"/>
            <w:shd w:fill="EAF3EE" w:val="clear"/>
            <w:tcMar>
              <w:top w:type="dxa" w:w="45"/>
              <w:left w:type="dxa" w:w="90"/>
              <w:bottom w:type="dxa" w:w="45"/>
              <w:right w:type="dxa" w:w="90"/>
            </w:tcMar>
            <w:vAlign w:val="center"/>
          </w:tcPr>
          <w:p>
            <w:r>
              <w:rPr>
                <w:sz w:val="14"/>
                <w:szCs w:val="14"/>
              </w:rPr>
              <w:t xml:space="preserve">drp_db is a distinct PostgreSQL database from ABI's abi_db — no cross-database foreign keys.</w:t>
            </w:r>
          </w:p>
        </w:tc>
      </w:tr>
      <w:tr>
        <w:tc>
          <w:tcPr>
            <w:tcW w:type="dxa" w:w="2332"/>
            <w:shd w:fill="FFFFFF" w:val="clear"/>
            <w:tcMar>
              <w:top w:type="dxa" w:w="45"/>
              <w:left w:type="dxa" w:w="90"/>
              <w:bottom w:type="dxa" w:w="45"/>
              <w:right w:type="dxa" w:w="90"/>
            </w:tcMar>
            <w:vAlign w:val="center"/>
          </w:tcPr>
          <w:p>
            <w:r>
              <w:rPr>
                <w:sz w:val="14"/>
                <w:szCs w:val="14"/>
              </w:rPr>
              <w:t xml:space="preserve">Domain</w:t>
            </w:r>
          </w:p>
        </w:tc>
        <w:tc>
          <w:tcPr>
            <w:tcW w:type="dxa" w:w="1696"/>
            <w:shd w:fill="FFFFFF" w:val="clear"/>
            <w:tcMar>
              <w:top w:type="dxa" w:w="45"/>
              <w:left w:type="dxa" w:w="90"/>
              <w:bottom w:type="dxa" w:w="45"/>
              <w:right w:type="dxa" w:w="90"/>
            </w:tcMar>
            <w:vAlign w:val="center"/>
          </w:tcPr>
          <w:p>
            <w:r>
              <w:rPr>
                <w:sz w:val="14"/>
                <w:szCs w:val="14"/>
              </w:rPr>
              <w:t xml:space="preserve">Separate subdomain</w:t>
            </w:r>
          </w:p>
        </w:tc>
        <w:tc>
          <w:tcPr>
            <w:tcW w:type="dxa" w:w="6572"/>
            <w:shd w:fill="FFFFFF" w:val="clear"/>
            <w:tcMar>
              <w:top w:type="dxa" w:w="45"/>
              <w:left w:type="dxa" w:w="90"/>
              <w:bottom w:type="dxa" w:w="45"/>
              <w:right w:type="dxa" w:w="90"/>
            </w:tcMar>
            <w:vAlign w:val="center"/>
          </w:tcPr>
          <w:p>
            <w:r>
              <w:rPr>
                <w:sz w:val="14"/>
                <w:szCs w:val="14"/>
              </w:rPr>
              <w:t xml:space="preserve">research.agribizframework.com, distinct from ABI's bare agribizframework.com.</w:t>
            </w:r>
          </w:p>
        </w:tc>
      </w:tr>
      <w:tr>
        <w:tc>
          <w:tcPr>
            <w:tcW w:type="dxa" w:w="2332"/>
            <w:shd w:fill="EAF3EE" w:val="clear"/>
            <w:tcMar>
              <w:top w:type="dxa" w:w="45"/>
              <w:left w:type="dxa" w:w="90"/>
              <w:bottom w:type="dxa" w:w="45"/>
              <w:right w:type="dxa" w:w="90"/>
            </w:tcMar>
            <w:vAlign w:val="center"/>
          </w:tcPr>
          <w:p>
            <w:r>
              <w:rPr>
                <w:sz w:val="14"/>
                <w:szCs w:val="14"/>
              </w:rPr>
              <w:t xml:space="preserve">Navigation</w:t>
            </w:r>
          </w:p>
        </w:tc>
        <w:tc>
          <w:tcPr>
            <w:tcW w:type="dxa" w:w="1696"/>
            <w:shd w:fill="EAF3EE" w:val="clear"/>
            <w:tcMar>
              <w:top w:type="dxa" w:w="45"/>
              <w:left w:type="dxa" w:w="90"/>
              <w:bottom w:type="dxa" w:w="45"/>
              <w:right w:type="dxa" w:w="90"/>
            </w:tcMar>
            <w:vAlign w:val="center"/>
          </w:tcPr>
          <w:p>
            <w:r>
              <w:rPr>
                <w:sz w:val="14"/>
                <w:szCs w:val="14"/>
              </w:rPr>
              <w:t xml:space="preserve">Never linked</w:t>
            </w:r>
          </w:p>
        </w:tc>
        <w:tc>
          <w:tcPr>
            <w:tcW w:type="dxa" w:w="6572"/>
            <w:shd w:fill="EAF3EE" w:val="clear"/>
            <w:tcMar>
              <w:top w:type="dxa" w:w="45"/>
              <w:left w:type="dxa" w:w="90"/>
              <w:bottom w:type="dxa" w:w="45"/>
              <w:right w:type="dxa" w:w="90"/>
            </w:tcMar>
            <w:vAlign w:val="center"/>
          </w:tcPr>
          <w:p>
            <w:r>
              <w:rPr>
                <w:sz w:val="14"/>
                <w:szCs w:val="14"/>
              </w:rPr>
              <w:t xml:space="preserve">No link, button or redirect between the public ABI demo and the respondent portal, in either direction.</w:t>
            </w:r>
          </w:p>
        </w:tc>
      </w:tr>
      <w:tr>
        <w:tc>
          <w:tcPr>
            <w:tcW w:type="dxa" w:w="2332"/>
            <w:shd w:fill="FFFFFF" w:val="clear"/>
            <w:tcMar>
              <w:top w:type="dxa" w:w="45"/>
              <w:left w:type="dxa" w:w="90"/>
              <w:bottom w:type="dxa" w:w="45"/>
              <w:right w:type="dxa" w:w="90"/>
            </w:tcMar>
            <w:vAlign w:val="center"/>
          </w:tcPr>
          <w:p>
            <w:r>
              <w:rPr>
                <w:sz w:val="14"/>
                <w:szCs w:val="14"/>
              </w:rPr>
              <w:t xml:space="preserve">ABI scoring engine</w:t>
            </w:r>
          </w:p>
        </w:tc>
        <w:tc>
          <w:tcPr>
            <w:tcW w:type="dxa" w:w="1696"/>
            <w:shd w:fill="FFFFFF" w:val="clear"/>
            <w:tcMar>
              <w:top w:type="dxa" w:w="45"/>
              <w:left w:type="dxa" w:w="90"/>
              <w:bottom w:type="dxa" w:w="45"/>
              <w:right w:type="dxa" w:w="90"/>
            </w:tcMar>
            <w:vAlign w:val="center"/>
          </w:tcPr>
          <w:p>
            <w:r>
              <w:rPr>
                <w:sz w:val="14"/>
                <w:szCs w:val="14"/>
              </w:rPr>
              <w:t xml:space="preserve">Never imported</w:t>
            </w:r>
          </w:p>
        </w:tc>
        <w:tc>
          <w:tcPr>
            <w:tcW w:type="dxa" w:w="6572"/>
            <w:shd w:fill="FFFFFF" w:val="clear"/>
            <w:tcMar>
              <w:top w:type="dxa" w:w="45"/>
              <w:left w:type="dxa" w:w="90"/>
              <w:bottom w:type="dxa" w:w="45"/>
              <w:right w:type="dxa" w:w="90"/>
            </w:tcMar>
            <w:vAlign w:val="center"/>
          </w:tcPr>
          <w:p>
            <w:r>
              <w:rPr>
                <w:sz w:val="14"/>
                <w:szCs w:val="14"/>
              </w:rPr>
              <w:t xml:space="preserve">Not called, embedded, or reachable from this application at all — see §18.</w:t>
            </w:r>
          </w:p>
        </w:tc>
      </w:tr>
    </w:tbl>
    <w:p>
      <w:pPr>
        <w:spacing w:after="70" w:before="160"/>
      </w:pPr>
      <w:r>
        <w:rPr>
          <w:b/>
          <w:bCs/>
          <w:color w:val="042A1E"/>
          <w:sz w:val="20"/>
          <w:szCs w:val="20"/>
        </w:rPr>
        <w:t xml:space="preserve">30.3 Access control</w:t>
      </w:r>
    </w:p>
    <w:p>
      <w:pPr>
        <w:spacing w:after="110"/>
        <w:jc w:val="both"/>
      </w:pPr>
      <w:r>
        <w:rPr>
          <w:sz w:val="19"/>
          <w:szCs w:val="19"/>
        </w:rPr>
        <w:t xml:space="preserve">The respondent portal is not secured by obscurity (a hidden subdomain) — it is secured by the invitation-token gate (§26), exactly as §20's acceptance test #1 requires. The subdomain separation exists to prevent accidental cross-exposure via ABI's own navigation and branding, not to serve as the security boundary itself. A noindex directive is applied to every respondent-facing route as defence in depth.</w:t>
      </w:r>
    </w:p>
    <w:p>
      <w:pPr>
        <w:spacing w:after="70" w:before="160"/>
      </w:pPr>
      <w:r>
        <w:rPr>
          <w:b/>
          <w:bCs/>
          <w:color w:val="042A1E"/>
          <w:sz w:val="20"/>
          <w:szCs w:val="20"/>
        </w:rPr>
        <w:t xml:space="preserve">30.4 Phase 4 reunification path</w:t>
      </w:r>
    </w:p>
    <w:p>
      <w:pPr>
        <w:spacing w:after="110"/>
        <w:jc w:val="both"/>
      </w:pPr>
      <w:r>
        <w:rPr>
          <w:sz w:val="19"/>
          <w:szCs w:val="19"/>
        </w:rPr>
        <w:t xml:space="preserve">The only point at which these two systems are expected to connect is described in §18: after the ABF-FST measurement model is empirically validated, a one-way, batch, PI-approved data export feeds this portal's de-identified analytical dataset into a new, validated ABI scoring run in the separate ABI application — never a live application integration.</w:t>
      </w:r>
    </w:p>
    <w:p>
      <w:r>
        <w:br w:type="page"/>
      </w:r>
    </w:p>
    <w:p>
      <w:pPr>
        <w:pBdr>
          <w:bottom w:val="single" w:color="063D2B" w:sz="6" w:space="3"/>
        </w:pBdr>
        <w:spacing w:after="100" w:before="260"/>
      </w:pPr>
      <w:r>
        <w:rPr>
          <w:b/>
          <w:bCs/>
          <w:color w:val="063D2B"/>
          <w:sz w:val="25"/>
          <w:szCs w:val="25"/>
        </w:rPr>
        <w:t xml:space="preserve">Appendix A. Suggested Screen Map</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32"/>
        <w:gridCol w:w="8368"/>
      </w:tblGrid>
      <w:tr>
        <w:trPr>
          <w:tblHeader/>
        </w:trPr>
        <w:tc>
          <w:tcPr>
            <w:tcW w:type="dxa" w:w="2232"/>
            <w:shd w:fill="063D2B" w:val="clear"/>
            <w:tcMar>
              <w:top w:type="dxa" w:w="35"/>
              <w:left w:type="dxa" w:w="90"/>
              <w:bottom w:type="dxa" w:w="35"/>
              <w:right w:type="dxa" w:w="90"/>
            </w:tcMar>
            <w:vAlign w:val="center"/>
          </w:tcPr>
          <w:p>
            <w:r>
              <w:rPr>
                <w:b/>
                <w:bCs/>
                <w:color w:val="FFFFFF"/>
                <w:sz w:val="15"/>
                <w:szCs w:val="15"/>
              </w:rPr>
              <w:t xml:space="preserve">Code</w:t>
            </w:r>
          </w:p>
        </w:tc>
        <w:tc>
          <w:tcPr>
            <w:tcW w:type="dxa" w:w="8368"/>
            <w:shd w:fill="063D2B" w:val="clear"/>
            <w:tcMar>
              <w:top w:type="dxa" w:w="35"/>
              <w:left w:type="dxa" w:w="90"/>
              <w:bottom w:type="dxa" w:w="35"/>
              <w:right w:type="dxa" w:w="90"/>
            </w:tcMar>
            <w:vAlign w:val="center"/>
          </w:tcPr>
          <w:p>
            <w:r>
              <w:rPr>
                <w:b/>
                <w:bCs/>
                <w:color w:val="FFFFFF"/>
                <w:sz w:val="15"/>
                <w:szCs w:val="15"/>
              </w:rPr>
              <w:t xml:space="preserve">Screen</w:t>
            </w:r>
          </w:p>
        </w:tc>
      </w:tr>
      <w:tr>
        <w:tc>
          <w:tcPr>
            <w:tcW w:type="dxa" w:w="2232"/>
            <w:shd w:fill="FFFFFF" w:val="clear"/>
            <w:tcMar>
              <w:top w:type="dxa" w:w="35"/>
              <w:left w:type="dxa" w:w="90"/>
              <w:bottom w:type="dxa" w:w="35"/>
              <w:right w:type="dxa" w:w="90"/>
            </w:tcMar>
            <w:vAlign w:val="center"/>
          </w:tcPr>
          <w:p>
            <w:r>
              <w:rPr>
                <w:sz w:val="15"/>
                <w:szCs w:val="15"/>
              </w:rPr>
              <w:t xml:space="preserve">R01</w:t>
            </w:r>
          </w:p>
        </w:tc>
        <w:tc>
          <w:tcPr>
            <w:tcW w:type="dxa" w:w="8368"/>
            <w:shd w:fill="FFFFFF" w:val="clear"/>
            <w:tcMar>
              <w:top w:type="dxa" w:w="35"/>
              <w:left w:type="dxa" w:w="90"/>
              <w:bottom w:type="dxa" w:w="35"/>
              <w:right w:type="dxa" w:w="90"/>
            </w:tcMar>
            <w:vAlign w:val="center"/>
          </w:tcPr>
          <w:p>
            <w:r>
              <w:rPr>
                <w:sz w:val="15"/>
                <w:szCs w:val="15"/>
              </w:rPr>
              <w:t xml:space="preserve">Welcome / Study Identity</w:t>
            </w:r>
          </w:p>
        </w:tc>
      </w:tr>
      <w:tr>
        <w:tc>
          <w:tcPr>
            <w:tcW w:type="dxa" w:w="2232"/>
            <w:shd w:fill="EAF3EE" w:val="clear"/>
            <w:tcMar>
              <w:top w:type="dxa" w:w="35"/>
              <w:left w:type="dxa" w:w="90"/>
              <w:bottom w:type="dxa" w:w="35"/>
              <w:right w:type="dxa" w:w="90"/>
            </w:tcMar>
            <w:vAlign w:val="center"/>
          </w:tcPr>
          <w:p>
            <w:r>
              <w:rPr>
                <w:sz w:val="15"/>
                <w:szCs w:val="15"/>
              </w:rPr>
              <w:t xml:space="preserve">R02</w:t>
            </w:r>
          </w:p>
        </w:tc>
        <w:tc>
          <w:tcPr>
            <w:tcW w:type="dxa" w:w="8368"/>
            <w:shd w:fill="EAF3EE" w:val="clear"/>
            <w:tcMar>
              <w:top w:type="dxa" w:w="35"/>
              <w:left w:type="dxa" w:w="90"/>
              <w:bottom w:type="dxa" w:w="35"/>
              <w:right w:type="dxa" w:w="90"/>
            </w:tcMar>
            <w:vAlign w:val="center"/>
          </w:tcPr>
          <w:p>
            <w:r>
              <w:rPr>
                <w:sz w:val="15"/>
                <w:szCs w:val="15"/>
              </w:rPr>
              <w:t xml:space="preserve">Invitation Validation</w:t>
            </w:r>
          </w:p>
        </w:tc>
      </w:tr>
      <w:tr>
        <w:tc>
          <w:tcPr>
            <w:tcW w:type="dxa" w:w="2232"/>
            <w:shd w:fill="FFFFFF" w:val="clear"/>
            <w:tcMar>
              <w:top w:type="dxa" w:w="35"/>
              <w:left w:type="dxa" w:w="90"/>
              <w:bottom w:type="dxa" w:w="35"/>
              <w:right w:type="dxa" w:w="90"/>
            </w:tcMar>
            <w:vAlign w:val="center"/>
          </w:tcPr>
          <w:p>
            <w:r>
              <w:rPr>
                <w:sz w:val="15"/>
                <w:szCs w:val="15"/>
              </w:rPr>
              <w:t xml:space="preserve">R03</w:t>
            </w:r>
          </w:p>
        </w:tc>
        <w:tc>
          <w:tcPr>
            <w:tcW w:type="dxa" w:w="8368"/>
            <w:shd w:fill="FFFFFF" w:val="clear"/>
            <w:tcMar>
              <w:top w:type="dxa" w:w="35"/>
              <w:left w:type="dxa" w:w="90"/>
              <w:bottom w:type="dxa" w:w="35"/>
              <w:right w:type="dxa" w:w="90"/>
            </w:tcMar>
            <w:vAlign w:val="center"/>
          </w:tcPr>
          <w:p>
            <w:r>
              <w:rPr>
                <w:sz w:val="15"/>
                <w:szCs w:val="15"/>
              </w:rPr>
              <w:t xml:space="preserve">Organisation Confirmation</w:t>
            </w:r>
          </w:p>
        </w:tc>
      </w:tr>
      <w:tr>
        <w:tc>
          <w:tcPr>
            <w:tcW w:type="dxa" w:w="2232"/>
            <w:shd w:fill="EAF3EE" w:val="clear"/>
            <w:tcMar>
              <w:top w:type="dxa" w:w="35"/>
              <w:left w:type="dxa" w:w="90"/>
              <w:bottom w:type="dxa" w:w="35"/>
              <w:right w:type="dxa" w:w="90"/>
            </w:tcMar>
            <w:vAlign w:val="center"/>
          </w:tcPr>
          <w:p>
            <w:r>
              <w:rPr>
                <w:sz w:val="15"/>
                <w:szCs w:val="15"/>
              </w:rPr>
              <w:t xml:space="preserve">R04</w:t>
            </w:r>
          </w:p>
        </w:tc>
        <w:tc>
          <w:tcPr>
            <w:tcW w:type="dxa" w:w="8368"/>
            <w:shd w:fill="EAF3EE" w:val="clear"/>
            <w:tcMar>
              <w:top w:type="dxa" w:w="35"/>
              <w:left w:type="dxa" w:w="90"/>
              <w:bottom w:type="dxa" w:w="35"/>
              <w:right w:type="dxa" w:w="90"/>
            </w:tcMar>
            <w:vAlign w:val="center"/>
          </w:tcPr>
          <w:p>
            <w:r>
              <w:rPr>
                <w:sz w:val="15"/>
                <w:szCs w:val="15"/>
              </w:rPr>
              <w:t xml:space="preserve">Respondent Eligibility</w:t>
            </w:r>
          </w:p>
        </w:tc>
      </w:tr>
      <w:tr>
        <w:tc>
          <w:tcPr>
            <w:tcW w:type="dxa" w:w="2232"/>
            <w:shd w:fill="FFFFFF" w:val="clear"/>
            <w:tcMar>
              <w:top w:type="dxa" w:w="35"/>
              <w:left w:type="dxa" w:w="90"/>
              <w:bottom w:type="dxa" w:w="35"/>
              <w:right w:type="dxa" w:w="90"/>
            </w:tcMar>
            <w:vAlign w:val="center"/>
          </w:tcPr>
          <w:p>
            <w:r>
              <w:rPr>
                <w:sz w:val="15"/>
                <w:szCs w:val="15"/>
              </w:rPr>
              <w:t xml:space="preserve">R05</w:t>
            </w:r>
          </w:p>
        </w:tc>
        <w:tc>
          <w:tcPr>
            <w:tcW w:type="dxa" w:w="8368"/>
            <w:shd w:fill="FFFFFF" w:val="clear"/>
            <w:tcMar>
              <w:top w:type="dxa" w:w="35"/>
              <w:left w:type="dxa" w:w="90"/>
              <w:bottom w:type="dxa" w:w="35"/>
              <w:right w:type="dxa" w:w="90"/>
            </w:tcMar>
            <w:vAlign w:val="center"/>
          </w:tcPr>
          <w:p>
            <w:r>
              <w:rPr>
                <w:sz w:val="15"/>
                <w:szCs w:val="15"/>
              </w:rPr>
              <w:t xml:space="preserve">Participant Information</w:t>
            </w:r>
          </w:p>
        </w:tc>
      </w:tr>
      <w:tr>
        <w:tc>
          <w:tcPr>
            <w:tcW w:type="dxa" w:w="2232"/>
            <w:shd w:fill="EAF3EE" w:val="clear"/>
            <w:tcMar>
              <w:top w:type="dxa" w:w="35"/>
              <w:left w:type="dxa" w:w="90"/>
              <w:bottom w:type="dxa" w:w="35"/>
              <w:right w:type="dxa" w:w="90"/>
            </w:tcMar>
            <w:vAlign w:val="center"/>
          </w:tcPr>
          <w:p>
            <w:r>
              <w:rPr>
                <w:sz w:val="15"/>
                <w:szCs w:val="15"/>
              </w:rPr>
              <w:t xml:space="preserve">R06</w:t>
            </w:r>
          </w:p>
        </w:tc>
        <w:tc>
          <w:tcPr>
            <w:tcW w:type="dxa" w:w="8368"/>
            <w:shd w:fill="EAF3EE" w:val="clear"/>
            <w:tcMar>
              <w:top w:type="dxa" w:w="35"/>
              <w:left w:type="dxa" w:w="90"/>
              <w:bottom w:type="dxa" w:w="35"/>
              <w:right w:type="dxa" w:w="90"/>
            </w:tcMar>
            <w:vAlign w:val="center"/>
          </w:tcPr>
          <w:p>
            <w:r>
              <w:rPr>
                <w:sz w:val="15"/>
                <w:szCs w:val="15"/>
              </w:rPr>
              <w:t xml:space="preserve">Electronic Consent</w:t>
            </w:r>
          </w:p>
        </w:tc>
      </w:tr>
      <w:tr>
        <w:tc>
          <w:tcPr>
            <w:tcW w:type="dxa" w:w="2232"/>
            <w:shd w:fill="FFFFFF" w:val="clear"/>
            <w:tcMar>
              <w:top w:type="dxa" w:w="35"/>
              <w:left w:type="dxa" w:w="90"/>
              <w:bottom w:type="dxa" w:w="35"/>
              <w:right w:type="dxa" w:w="90"/>
            </w:tcMar>
            <w:vAlign w:val="center"/>
          </w:tcPr>
          <w:p>
            <w:r>
              <w:rPr>
                <w:sz w:val="15"/>
                <w:szCs w:val="15"/>
              </w:rPr>
              <w:t xml:space="preserve">R07</w:t>
            </w:r>
          </w:p>
        </w:tc>
        <w:tc>
          <w:tcPr>
            <w:tcW w:type="dxa" w:w="8368"/>
            <w:shd w:fill="FFFFFF" w:val="clear"/>
            <w:tcMar>
              <w:top w:type="dxa" w:w="35"/>
              <w:left w:type="dxa" w:w="90"/>
              <w:bottom w:type="dxa" w:w="35"/>
              <w:right w:type="dxa" w:w="90"/>
            </w:tcMar>
            <w:vAlign w:val="center"/>
          </w:tcPr>
          <w:p>
            <w:r>
              <w:rPr>
                <w:sz w:val="15"/>
                <w:szCs w:val="15"/>
              </w:rPr>
              <w:t xml:space="preserve">Participation Choice</w:t>
            </w:r>
          </w:p>
        </w:tc>
      </w:tr>
      <w:tr>
        <w:tc>
          <w:tcPr>
            <w:tcW w:type="dxa" w:w="2232"/>
            <w:shd w:fill="EAF3EE" w:val="clear"/>
            <w:tcMar>
              <w:top w:type="dxa" w:w="35"/>
              <w:left w:type="dxa" w:w="90"/>
              <w:bottom w:type="dxa" w:w="35"/>
              <w:right w:type="dxa" w:w="90"/>
            </w:tcMar>
            <w:vAlign w:val="center"/>
          </w:tcPr>
          <w:p>
            <w:r>
              <w:rPr>
                <w:sz w:val="15"/>
                <w:szCs w:val="15"/>
              </w:rPr>
              <w:t xml:space="preserve">R08</w:t>
            </w:r>
          </w:p>
        </w:tc>
        <w:tc>
          <w:tcPr>
            <w:tcW w:type="dxa" w:w="8368"/>
            <w:shd w:fill="EAF3EE" w:val="clear"/>
            <w:tcMar>
              <w:top w:type="dxa" w:w="35"/>
              <w:left w:type="dxa" w:w="90"/>
              <w:bottom w:type="dxa" w:w="35"/>
              <w:right w:type="dxa" w:w="90"/>
            </w:tcMar>
            <w:vAlign w:val="center"/>
          </w:tcPr>
          <w:p>
            <w:r>
              <w:rPr>
                <w:sz w:val="15"/>
                <w:szCs w:val="15"/>
              </w:rPr>
              <w:t xml:space="preserve">Kobo Questionnaire Redirect</w:t>
            </w:r>
          </w:p>
        </w:tc>
      </w:tr>
      <w:tr>
        <w:tc>
          <w:tcPr>
            <w:tcW w:type="dxa" w:w="2232"/>
            <w:shd w:fill="FFFFFF" w:val="clear"/>
            <w:tcMar>
              <w:top w:type="dxa" w:w="35"/>
              <w:left w:type="dxa" w:w="90"/>
              <w:bottom w:type="dxa" w:w="35"/>
              <w:right w:type="dxa" w:w="90"/>
            </w:tcMar>
            <w:vAlign w:val="center"/>
          </w:tcPr>
          <w:p>
            <w:r>
              <w:rPr>
                <w:sz w:val="15"/>
                <w:szCs w:val="15"/>
              </w:rPr>
              <w:t xml:space="preserve">R09</w:t>
            </w:r>
          </w:p>
        </w:tc>
        <w:tc>
          <w:tcPr>
            <w:tcW w:type="dxa" w:w="8368"/>
            <w:shd w:fill="FFFFFF" w:val="clear"/>
            <w:tcMar>
              <w:top w:type="dxa" w:w="35"/>
              <w:left w:type="dxa" w:w="90"/>
              <w:bottom w:type="dxa" w:w="35"/>
              <w:right w:type="dxa" w:w="90"/>
            </w:tcMar>
            <w:vAlign w:val="center"/>
          </w:tcPr>
          <w:p>
            <w:r>
              <w:rPr>
                <w:sz w:val="15"/>
                <w:szCs w:val="15"/>
              </w:rPr>
              <w:t xml:space="preserve">Appointment Request</w:t>
            </w:r>
          </w:p>
        </w:tc>
      </w:tr>
      <w:tr>
        <w:tc>
          <w:tcPr>
            <w:tcW w:type="dxa" w:w="2232"/>
            <w:shd w:fill="EAF3EE" w:val="clear"/>
            <w:tcMar>
              <w:top w:type="dxa" w:w="35"/>
              <w:left w:type="dxa" w:w="90"/>
              <w:bottom w:type="dxa" w:w="35"/>
              <w:right w:type="dxa" w:w="90"/>
            </w:tcMar>
            <w:vAlign w:val="center"/>
          </w:tcPr>
          <w:p>
            <w:r>
              <w:rPr>
                <w:sz w:val="15"/>
                <w:szCs w:val="15"/>
              </w:rPr>
              <w:t xml:space="preserve">R10</w:t>
            </w:r>
          </w:p>
        </w:tc>
        <w:tc>
          <w:tcPr>
            <w:tcW w:type="dxa" w:w="8368"/>
            <w:shd w:fill="EAF3EE" w:val="clear"/>
            <w:tcMar>
              <w:top w:type="dxa" w:w="35"/>
              <w:left w:type="dxa" w:w="90"/>
              <w:bottom w:type="dxa" w:w="35"/>
              <w:right w:type="dxa" w:w="90"/>
            </w:tcMar>
            <w:vAlign w:val="center"/>
          </w:tcPr>
          <w:p>
            <w:r>
              <w:rPr>
                <w:sz w:val="15"/>
                <w:szCs w:val="15"/>
              </w:rPr>
              <w:t xml:space="preserve">Completion / Thank You</w:t>
            </w:r>
          </w:p>
        </w:tc>
      </w:tr>
      <w:tr>
        <w:tc>
          <w:tcPr>
            <w:tcW w:type="dxa" w:w="2232"/>
            <w:shd w:fill="FFFFFF" w:val="clear"/>
            <w:tcMar>
              <w:top w:type="dxa" w:w="35"/>
              <w:left w:type="dxa" w:w="90"/>
              <w:bottom w:type="dxa" w:w="35"/>
              <w:right w:type="dxa" w:w="90"/>
            </w:tcMar>
            <w:vAlign w:val="center"/>
          </w:tcPr>
          <w:p>
            <w:r>
              <w:rPr>
                <w:sz w:val="15"/>
                <w:szCs w:val="15"/>
              </w:rPr>
              <w:t xml:space="preserve">A01</w:t>
            </w:r>
          </w:p>
        </w:tc>
        <w:tc>
          <w:tcPr>
            <w:tcW w:type="dxa" w:w="8368"/>
            <w:shd w:fill="FFFFFF" w:val="clear"/>
            <w:tcMar>
              <w:top w:type="dxa" w:w="35"/>
              <w:left w:type="dxa" w:w="90"/>
              <w:bottom w:type="dxa" w:w="35"/>
              <w:right w:type="dxa" w:w="90"/>
            </w:tcMar>
            <w:vAlign w:val="center"/>
          </w:tcPr>
          <w:p>
            <w:r>
              <w:rPr>
                <w:sz w:val="15"/>
                <w:szCs w:val="15"/>
              </w:rPr>
              <w:t xml:space="preserve">Researcher Login</w:t>
            </w:r>
          </w:p>
        </w:tc>
      </w:tr>
      <w:tr>
        <w:tc>
          <w:tcPr>
            <w:tcW w:type="dxa" w:w="2232"/>
            <w:shd w:fill="EAF3EE" w:val="clear"/>
            <w:tcMar>
              <w:top w:type="dxa" w:w="35"/>
              <w:left w:type="dxa" w:w="90"/>
              <w:bottom w:type="dxa" w:w="35"/>
              <w:right w:type="dxa" w:w="90"/>
            </w:tcMar>
            <w:vAlign w:val="center"/>
          </w:tcPr>
          <w:p>
            <w:r>
              <w:rPr>
                <w:sz w:val="15"/>
                <w:szCs w:val="15"/>
              </w:rPr>
              <w:t xml:space="preserve">A02</w:t>
            </w:r>
          </w:p>
        </w:tc>
        <w:tc>
          <w:tcPr>
            <w:tcW w:type="dxa" w:w="8368"/>
            <w:shd w:fill="EAF3EE" w:val="clear"/>
            <w:tcMar>
              <w:top w:type="dxa" w:w="35"/>
              <w:left w:type="dxa" w:w="90"/>
              <w:bottom w:type="dxa" w:w="35"/>
              <w:right w:type="dxa" w:w="90"/>
            </w:tcMar>
            <w:vAlign w:val="center"/>
          </w:tcPr>
          <w:p>
            <w:r>
              <w:rPr>
                <w:sz w:val="15"/>
                <w:szCs w:val="15"/>
              </w:rPr>
              <w:t xml:space="preserve">Executive Dashboard</w:t>
            </w:r>
          </w:p>
        </w:tc>
      </w:tr>
      <w:tr>
        <w:tc>
          <w:tcPr>
            <w:tcW w:type="dxa" w:w="2232"/>
            <w:shd w:fill="FFFFFF" w:val="clear"/>
            <w:tcMar>
              <w:top w:type="dxa" w:w="35"/>
              <w:left w:type="dxa" w:w="90"/>
              <w:bottom w:type="dxa" w:w="35"/>
              <w:right w:type="dxa" w:w="90"/>
            </w:tcMar>
            <w:vAlign w:val="center"/>
          </w:tcPr>
          <w:p>
            <w:r>
              <w:rPr>
                <w:sz w:val="15"/>
                <w:szCs w:val="15"/>
              </w:rPr>
              <w:t xml:space="preserve">A03</w:t>
            </w:r>
          </w:p>
        </w:tc>
        <w:tc>
          <w:tcPr>
            <w:tcW w:type="dxa" w:w="8368"/>
            <w:shd w:fill="FFFFFF" w:val="clear"/>
            <w:tcMar>
              <w:top w:type="dxa" w:w="35"/>
              <w:left w:type="dxa" w:w="90"/>
              <w:bottom w:type="dxa" w:w="35"/>
              <w:right w:type="dxa" w:w="90"/>
            </w:tcMar>
            <w:vAlign w:val="center"/>
          </w:tcPr>
          <w:p>
            <w:r>
              <w:rPr>
                <w:sz w:val="15"/>
                <w:szCs w:val="15"/>
              </w:rPr>
              <w:t xml:space="preserve">Main-400 Register</w:t>
            </w:r>
          </w:p>
        </w:tc>
      </w:tr>
      <w:tr>
        <w:tc>
          <w:tcPr>
            <w:tcW w:type="dxa" w:w="2232"/>
            <w:shd w:fill="EAF3EE" w:val="clear"/>
            <w:tcMar>
              <w:top w:type="dxa" w:w="35"/>
              <w:left w:type="dxa" w:w="90"/>
              <w:bottom w:type="dxa" w:w="35"/>
              <w:right w:type="dxa" w:w="90"/>
            </w:tcMar>
            <w:vAlign w:val="center"/>
          </w:tcPr>
          <w:p>
            <w:r>
              <w:rPr>
                <w:sz w:val="15"/>
                <w:szCs w:val="15"/>
              </w:rPr>
              <w:t xml:space="preserve">A04</w:t>
            </w:r>
          </w:p>
        </w:tc>
        <w:tc>
          <w:tcPr>
            <w:tcW w:type="dxa" w:w="8368"/>
            <w:shd w:fill="EAF3EE" w:val="clear"/>
            <w:tcMar>
              <w:top w:type="dxa" w:w="35"/>
              <w:left w:type="dxa" w:w="90"/>
              <w:bottom w:type="dxa" w:w="35"/>
              <w:right w:type="dxa" w:w="90"/>
            </w:tcMar>
            <w:vAlign w:val="center"/>
          </w:tcPr>
          <w:p>
            <w:r>
              <w:rPr>
                <w:sz w:val="15"/>
                <w:szCs w:val="15"/>
              </w:rPr>
              <w:t xml:space="preserve">Case Detail / Contact Timeline</w:t>
            </w:r>
          </w:p>
        </w:tc>
      </w:tr>
      <w:tr>
        <w:tc>
          <w:tcPr>
            <w:tcW w:type="dxa" w:w="2232"/>
            <w:shd w:fill="FFFFFF" w:val="clear"/>
            <w:tcMar>
              <w:top w:type="dxa" w:w="35"/>
              <w:left w:type="dxa" w:w="90"/>
              <w:bottom w:type="dxa" w:w="35"/>
              <w:right w:type="dxa" w:w="90"/>
            </w:tcMar>
            <w:vAlign w:val="center"/>
          </w:tcPr>
          <w:p>
            <w:r>
              <w:rPr>
                <w:sz w:val="15"/>
                <w:szCs w:val="15"/>
              </w:rPr>
              <w:t xml:space="preserve">A05</w:t>
            </w:r>
          </w:p>
        </w:tc>
        <w:tc>
          <w:tcPr>
            <w:tcW w:type="dxa" w:w="8368"/>
            <w:shd w:fill="FFFFFF" w:val="clear"/>
            <w:tcMar>
              <w:top w:type="dxa" w:w="35"/>
              <w:left w:type="dxa" w:w="90"/>
              <w:bottom w:type="dxa" w:w="35"/>
              <w:right w:type="dxa" w:w="90"/>
            </w:tcMar>
            <w:vAlign w:val="center"/>
          </w:tcPr>
          <w:p>
            <w:r>
              <w:rPr>
                <w:sz w:val="15"/>
                <w:szCs w:val="15"/>
              </w:rPr>
              <w:t xml:space="preserve">Appointment Queue</w:t>
            </w:r>
          </w:p>
        </w:tc>
      </w:tr>
      <w:tr>
        <w:tc>
          <w:tcPr>
            <w:tcW w:type="dxa" w:w="2232"/>
            <w:shd w:fill="EAF3EE" w:val="clear"/>
            <w:tcMar>
              <w:top w:type="dxa" w:w="35"/>
              <w:left w:type="dxa" w:w="90"/>
              <w:bottom w:type="dxa" w:w="35"/>
              <w:right w:type="dxa" w:w="90"/>
            </w:tcMar>
            <w:vAlign w:val="center"/>
          </w:tcPr>
          <w:p>
            <w:r>
              <w:rPr>
                <w:sz w:val="15"/>
                <w:szCs w:val="15"/>
              </w:rPr>
              <w:t xml:space="preserve">A06</w:t>
            </w:r>
          </w:p>
        </w:tc>
        <w:tc>
          <w:tcPr>
            <w:tcW w:type="dxa" w:w="8368"/>
            <w:shd w:fill="EAF3EE" w:val="clear"/>
            <w:tcMar>
              <w:top w:type="dxa" w:w="35"/>
              <w:left w:type="dxa" w:w="90"/>
              <w:bottom w:type="dxa" w:w="35"/>
              <w:right w:type="dxa" w:w="90"/>
            </w:tcMar>
            <w:vAlign w:val="center"/>
          </w:tcPr>
          <w:p>
            <w:r>
              <w:rPr>
                <w:sz w:val="15"/>
                <w:szCs w:val="15"/>
              </w:rPr>
              <w:t xml:space="preserve">QUAN QA Queue</w:t>
            </w:r>
          </w:p>
        </w:tc>
      </w:tr>
      <w:tr>
        <w:tc>
          <w:tcPr>
            <w:tcW w:type="dxa" w:w="2232"/>
            <w:shd w:fill="FFFFFF" w:val="clear"/>
            <w:tcMar>
              <w:top w:type="dxa" w:w="35"/>
              <w:left w:type="dxa" w:w="90"/>
              <w:bottom w:type="dxa" w:w="35"/>
              <w:right w:type="dxa" w:w="90"/>
            </w:tcMar>
            <w:vAlign w:val="center"/>
          </w:tcPr>
          <w:p>
            <w:r>
              <w:rPr>
                <w:sz w:val="15"/>
                <w:szCs w:val="15"/>
              </w:rPr>
              <w:t xml:space="preserve">A07</w:t>
            </w:r>
          </w:p>
        </w:tc>
        <w:tc>
          <w:tcPr>
            <w:tcW w:type="dxa" w:w="8368"/>
            <w:shd w:fill="FFFFFF" w:val="clear"/>
            <w:tcMar>
              <w:top w:type="dxa" w:w="35"/>
              <w:left w:type="dxa" w:w="90"/>
              <w:bottom w:type="dxa" w:w="35"/>
              <w:right w:type="dxa" w:w="90"/>
            </w:tcMar>
            <w:vAlign w:val="center"/>
          </w:tcPr>
          <w:p>
            <w:r>
              <w:rPr>
                <w:sz w:val="15"/>
                <w:szCs w:val="15"/>
              </w:rPr>
              <w:t xml:space="preserve">KII Register</w:t>
            </w:r>
          </w:p>
        </w:tc>
      </w:tr>
      <w:tr>
        <w:tc>
          <w:tcPr>
            <w:tcW w:type="dxa" w:w="2232"/>
            <w:shd w:fill="EAF3EE" w:val="clear"/>
            <w:tcMar>
              <w:top w:type="dxa" w:w="35"/>
              <w:left w:type="dxa" w:w="90"/>
              <w:bottom w:type="dxa" w:w="35"/>
              <w:right w:type="dxa" w:w="90"/>
            </w:tcMar>
            <w:vAlign w:val="center"/>
          </w:tcPr>
          <w:p>
            <w:r>
              <w:rPr>
                <w:sz w:val="15"/>
                <w:szCs w:val="15"/>
              </w:rPr>
              <w:t xml:space="preserve">A08</w:t>
            </w:r>
          </w:p>
        </w:tc>
        <w:tc>
          <w:tcPr>
            <w:tcW w:type="dxa" w:w="8368"/>
            <w:shd w:fill="EAF3EE" w:val="clear"/>
            <w:tcMar>
              <w:top w:type="dxa" w:w="35"/>
              <w:left w:type="dxa" w:w="90"/>
              <w:bottom w:type="dxa" w:w="35"/>
              <w:right w:type="dxa" w:w="90"/>
            </w:tcMar>
            <w:vAlign w:val="center"/>
          </w:tcPr>
          <w:p>
            <w:r>
              <w:rPr>
                <w:sz w:val="15"/>
                <w:szCs w:val="15"/>
              </w:rPr>
              <w:t xml:space="preserve">Documentary Corpus</w:t>
            </w:r>
          </w:p>
        </w:tc>
      </w:tr>
      <w:tr>
        <w:tc>
          <w:tcPr>
            <w:tcW w:type="dxa" w:w="2232"/>
            <w:shd w:fill="FFFFFF" w:val="clear"/>
            <w:tcMar>
              <w:top w:type="dxa" w:w="35"/>
              <w:left w:type="dxa" w:w="90"/>
              <w:bottom w:type="dxa" w:w="35"/>
              <w:right w:type="dxa" w:w="90"/>
            </w:tcMar>
            <w:vAlign w:val="center"/>
          </w:tcPr>
          <w:p>
            <w:r>
              <w:rPr>
                <w:sz w:val="15"/>
                <w:szCs w:val="15"/>
              </w:rPr>
              <w:t xml:space="preserve">A09</w:t>
            </w:r>
          </w:p>
        </w:tc>
        <w:tc>
          <w:tcPr>
            <w:tcW w:type="dxa" w:w="8368"/>
            <w:shd w:fill="FFFFFF" w:val="clear"/>
            <w:tcMar>
              <w:top w:type="dxa" w:w="35"/>
              <w:left w:type="dxa" w:w="90"/>
              <w:bottom w:type="dxa" w:w="35"/>
              <w:right w:type="dxa" w:w="90"/>
            </w:tcMar>
            <w:vAlign w:val="center"/>
          </w:tcPr>
          <w:p>
            <w:r>
              <w:rPr>
                <w:sz w:val="15"/>
                <w:szCs w:val="15"/>
              </w:rPr>
              <w:t xml:space="preserve">Reserve Activation</w:t>
            </w:r>
          </w:p>
        </w:tc>
      </w:tr>
      <w:tr>
        <w:tc>
          <w:tcPr>
            <w:tcW w:type="dxa" w:w="2232"/>
            <w:shd w:fill="EAF3EE" w:val="clear"/>
            <w:tcMar>
              <w:top w:type="dxa" w:w="35"/>
              <w:left w:type="dxa" w:w="90"/>
              <w:bottom w:type="dxa" w:w="35"/>
              <w:right w:type="dxa" w:w="90"/>
            </w:tcMar>
            <w:vAlign w:val="center"/>
          </w:tcPr>
          <w:p>
            <w:r>
              <w:rPr>
                <w:sz w:val="15"/>
                <w:szCs w:val="15"/>
              </w:rPr>
              <w:t xml:space="preserve">A10</w:t>
            </w:r>
          </w:p>
        </w:tc>
        <w:tc>
          <w:tcPr>
            <w:tcW w:type="dxa" w:w="8368"/>
            <w:shd w:fill="EAF3EE" w:val="clear"/>
            <w:tcMar>
              <w:top w:type="dxa" w:w="35"/>
              <w:left w:type="dxa" w:w="90"/>
              <w:bottom w:type="dxa" w:w="35"/>
              <w:right w:type="dxa" w:w="90"/>
            </w:tcMar>
            <w:vAlign w:val="center"/>
          </w:tcPr>
          <w:p>
            <w:r>
              <w:rPr>
                <w:sz w:val="15"/>
                <w:szCs w:val="15"/>
              </w:rPr>
              <w:t xml:space="preserve">Cost Dashboard</w:t>
            </w:r>
          </w:p>
        </w:tc>
      </w:tr>
      <w:tr>
        <w:tc>
          <w:tcPr>
            <w:tcW w:type="dxa" w:w="2232"/>
            <w:shd w:fill="FFFFFF" w:val="clear"/>
            <w:tcMar>
              <w:top w:type="dxa" w:w="35"/>
              <w:left w:type="dxa" w:w="90"/>
              <w:bottom w:type="dxa" w:w="35"/>
              <w:right w:type="dxa" w:w="90"/>
            </w:tcMar>
            <w:vAlign w:val="center"/>
          </w:tcPr>
          <w:p>
            <w:r>
              <w:rPr>
                <w:sz w:val="15"/>
                <w:szCs w:val="15"/>
              </w:rPr>
              <w:t xml:space="preserve">A11</w:t>
            </w:r>
          </w:p>
        </w:tc>
        <w:tc>
          <w:tcPr>
            <w:tcW w:type="dxa" w:w="8368"/>
            <w:shd w:fill="FFFFFF" w:val="clear"/>
            <w:tcMar>
              <w:top w:type="dxa" w:w="35"/>
              <w:left w:type="dxa" w:w="90"/>
              <w:bottom w:type="dxa" w:w="35"/>
              <w:right w:type="dxa" w:w="90"/>
            </w:tcMar>
            <w:vAlign w:val="center"/>
          </w:tcPr>
          <w:p>
            <w:r>
              <w:rPr>
                <w:sz w:val="15"/>
                <w:szCs w:val="15"/>
              </w:rPr>
              <w:t xml:space="preserve">Audit Log</w:t>
            </w:r>
          </w:p>
        </w:tc>
      </w:tr>
      <w:tr>
        <w:tc>
          <w:tcPr>
            <w:tcW w:type="dxa" w:w="2232"/>
            <w:shd w:fill="EAF3EE" w:val="clear"/>
            <w:tcMar>
              <w:top w:type="dxa" w:w="35"/>
              <w:left w:type="dxa" w:w="90"/>
              <w:bottom w:type="dxa" w:w="35"/>
              <w:right w:type="dxa" w:w="90"/>
            </w:tcMar>
            <w:vAlign w:val="center"/>
          </w:tcPr>
          <w:p>
            <w:r>
              <w:rPr>
                <w:sz w:val="15"/>
                <w:szCs w:val="15"/>
              </w:rPr>
              <w:t xml:space="preserve">A12</w:t>
            </w:r>
          </w:p>
        </w:tc>
        <w:tc>
          <w:tcPr>
            <w:tcW w:type="dxa" w:w="8368"/>
            <w:shd w:fill="EAF3EE" w:val="clear"/>
            <w:tcMar>
              <w:top w:type="dxa" w:w="35"/>
              <w:left w:type="dxa" w:w="90"/>
              <w:bottom w:type="dxa" w:w="35"/>
              <w:right w:type="dxa" w:w="90"/>
            </w:tcMar>
            <w:vAlign w:val="center"/>
          </w:tcPr>
          <w:p>
            <w:r>
              <w:rPr>
                <w:sz w:val="15"/>
                <w:szCs w:val="15"/>
              </w:rPr>
              <w:t xml:space="preserve">Data-Lock Export</w:t>
            </w:r>
          </w:p>
        </w:tc>
      </w:tr>
    </w:tbl>
    <w:p>
      <w:pPr>
        <w:pBdr>
          <w:bottom w:val="single" w:color="063D2B" w:sz="6" w:space="3"/>
        </w:pBdr>
        <w:spacing w:after="100" w:before="260"/>
      </w:pPr>
      <w:r>
        <w:rPr>
          <w:b/>
          <w:bCs/>
          <w:color w:val="063D2B"/>
          <w:sz w:val="25"/>
          <w:szCs w:val="25"/>
        </w:rPr>
        <w:t xml:space="preserve">Appendix B. Core Technical Requirements for Developer Handover — UPDATED in v2.0</w:t>
      </w:r>
    </w:p>
    <w:p>
      <w:pPr>
        <w:spacing w:after="50"/>
        <w:ind w:left="220" w:hanging="160"/>
      </w:pPr>
      <w:r>
        <w:rPr>
          <w:b/>
          <w:bCs/>
          <w:sz w:val="18"/>
          <w:szCs w:val="18"/>
        </w:rPr>
        <w:t xml:space="preserve">•  </w:t>
      </w:r>
      <w:r>
        <w:rPr>
          <w:sz w:val="18"/>
          <w:szCs w:val="18"/>
        </w:rPr>
        <w:t xml:space="preserve">Responsive/mobile-first UI (Next.js/TypeScript); support current Android browsers.</w:t>
      </w:r>
    </w:p>
    <w:p>
      <w:pPr>
        <w:spacing w:after="50"/>
        <w:ind w:left="220" w:hanging="160"/>
      </w:pPr>
      <w:r>
        <w:rPr>
          <w:b/>
          <w:bCs/>
          <w:sz w:val="18"/>
          <w:szCs w:val="18"/>
        </w:rPr>
        <w:t xml:space="preserve">•  </w:t>
      </w:r>
      <w:r>
        <w:rPr>
          <w:sz w:val="18"/>
          <w:szCs w:val="18"/>
        </w:rPr>
        <w:t xml:space="preserve">Server-side token validation (Django/DRF); never trust hidden browser fields as sole authority.</w:t>
      </w:r>
    </w:p>
    <w:p>
      <w:pPr>
        <w:spacing w:after="50"/>
        <w:ind w:left="220" w:hanging="160"/>
      </w:pPr>
      <w:r>
        <w:rPr>
          <w:b/>
          <w:bCs/>
          <w:sz w:val="18"/>
          <w:szCs w:val="18"/>
        </w:rPr>
        <w:t xml:space="preserve">•  </w:t>
      </w:r>
      <w:r>
        <w:rPr>
          <w:sz w:val="18"/>
          <w:szCs w:val="18"/>
        </w:rPr>
        <w:t xml:space="preserve">Relational database (PostgreSQL) with foreign keys between organisation, sample case, respondent, consent, invitation and submissions — see the accompanying docs/05_DATABASE_ARCHITECTURE.md for the full field-level schema.</w:t>
      </w:r>
    </w:p>
    <w:p>
      <w:pPr>
        <w:spacing w:after="50"/>
        <w:ind w:left="220" w:hanging="160"/>
      </w:pPr>
      <w:r>
        <w:rPr>
          <w:b/>
          <w:bCs/>
          <w:sz w:val="18"/>
          <w:szCs w:val="18"/>
        </w:rPr>
        <w:t xml:space="preserve">•  </w:t>
      </w:r>
      <w:r>
        <w:rPr>
          <w:sz w:val="18"/>
          <w:szCs w:val="18"/>
        </w:rPr>
        <w:t xml:space="preserve">API credentials (Kobo API token, WhatsApp Business Platform token, JWT signing key, DB credentials) stored as environment secrets, never in frontend code — see docs/24_ENVIRONMENT_CONFIGURATION.md.</w:t>
      </w:r>
    </w:p>
    <w:p>
      <w:pPr>
        <w:spacing w:after="50"/>
        <w:ind w:left="220" w:hanging="160"/>
      </w:pPr>
      <w:r>
        <w:rPr>
          <w:b/>
          <w:bCs/>
          <w:sz w:val="18"/>
          <w:szCs w:val="18"/>
        </w:rPr>
        <w:t xml:space="preserve">•  </w:t>
      </w:r>
      <w:r>
        <w:rPr>
          <w:sz w:val="18"/>
          <w:szCs w:val="18"/>
        </w:rPr>
        <w:t xml:space="preserve">Structured logs, error monitoring and automated backups meeting the RPO/RTO targets in §29.</w:t>
      </w:r>
    </w:p>
    <w:p>
      <w:pPr>
        <w:spacing w:after="50"/>
        <w:ind w:left="220" w:hanging="160"/>
      </w:pPr>
      <w:r>
        <w:rPr>
          <w:b/>
          <w:bCs/>
          <w:sz w:val="18"/>
          <w:szCs w:val="18"/>
        </w:rPr>
        <w:t xml:space="preserve">•  </w:t>
      </w:r>
      <w:r>
        <w:rPr>
          <w:sz w:val="18"/>
          <w:szCs w:val="18"/>
        </w:rPr>
        <w:t xml:space="preserve">CSV/XLSX export of operational registers; de-identified analysis export with contact fields excluded entirely, not masked.</w:t>
      </w:r>
    </w:p>
    <w:p>
      <w:pPr>
        <w:spacing w:after="50"/>
        <w:ind w:left="220" w:hanging="160"/>
      </w:pPr>
      <w:r>
        <w:rPr>
          <w:b/>
          <w:bCs/>
          <w:sz w:val="18"/>
          <w:szCs w:val="18"/>
        </w:rPr>
        <w:t xml:space="preserve">•  </w:t>
      </w:r>
      <w:r>
        <w:rPr>
          <w:sz w:val="18"/>
          <w:szCs w:val="18"/>
        </w:rPr>
        <w:t xml:space="preserve">Version fields for consent text, questionnaire integration and portal release.</w:t>
      </w:r>
    </w:p>
    <w:p>
      <w:pPr>
        <w:spacing w:after="50"/>
        <w:ind w:left="220" w:hanging="160"/>
      </w:pPr>
      <w:r>
        <w:rPr>
          <w:b/>
          <w:bCs/>
          <w:sz w:val="18"/>
          <w:szCs w:val="18"/>
        </w:rPr>
        <w:t xml:space="preserve">•  </w:t>
      </w:r>
      <w:r>
        <w:rPr>
          <w:sz w:val="18"/>
          <w:szCs w:val="18"/>
        </w:rPr>
        <w:t xml:space="preserve">UTC timestamps stored internally with Africa/Harare display where appropriate.</w:t>
      </w:r>
    </w:p>
    <w:p>
      <w:pPr>
        <w:spacing w:after="50"/>
        <w:ind w:left="220" w:hanging="160"/>
      </w:pPr>
      <w:r>
        <w:rPr>
          <w:b/>
          <w:bCs/>
          <w:sz w:val="18"/>
          <w:szCs w:val="18"/>
        </w:rPr>
        <w:t xml:space="preserve">•  </w:t>
      </w:r>
      <w:r>
        <w:rPr>
          <w:sz w:val="18"/>
          <w:szCs w:val="18"/>
        </w:rPr>
        <w:t xml:space="preserve">Automated tests for reserve lock, consent gate, Sample_ID mapping, token lifecycle, and — new in v2.0 — the edited-Kobo-submission reconciliation path (§6.4).</w:t>
      </w:r>
    </w:p>
    <w:p>
      <w:pPr>
        <w:spacing w:after="50"/>
        <w:ind w:left="220" w:hanging="160"/>
      </w:pPr>
      <w:r>
        <w:rPr>
          <w:b/>
          <w:bCs/>
          <w:sz w:val="18"/>
          <w:szCs w:val="18"/>
        </w:rPr>
        <w:t xml:space="preserve">•  </w:t>
      </w:r>
      <w:r>
        <w:rPr>
          <w:sz w:val="18"/>
          <w:szCs w:val="18"/>
        </w:rPr>
        <w:t xml:space="preserve">Deployment documentation and administrator recovery procedure, rehearsed on staging before go-live (§29).</w:t>
      </w:r>
    </w:p>
    <w:p>
      <w:pPr>
        <w:spacing w:after="50"/>
        <w:ind w:left="220" w:hanging="160"/>
      </w:pPr>
      <w:r>
        <w:rPr>
          <w:b/>
          <w:bCs/>
          <w:sz w:val="18"/>
          <w:szCs w:val="18"/>
        </w:rPr>
        <w:t xml:space="preserve">•  </w:t>
      </w:r>
      <w:r>
        <w:rPr>
          <w:sz w:val="18"/>
          <w:szCs w:val="18"/>
        </w:rPr>
        <w:t xml:space="preserve">Repository has exactly two top-level application folders: frontend/ and backend/ — see docs/03_SYSTEM_ARCHITECTURE.md.</w:t>
      </w:r>
    </w:p>
    <w:p>
      <w:pPr>
        <w:pBdr>
          <w:bottom w:val="single" w:color="063D2B" w:sz="6" w:space="3"/>
        </w:pBdr>
        <w:spacing w:after="100" w:before="260"/>
      </w:pPr>
      <w:r>
        <w:rPr>
          <w:b/>
          <w:bCs/>
          <w:color w:val="063D2B"/>
          <w:sz w:val="25"/>
          <w:szCs w:val="25"/>
        </w:rPr>
        <w:t xml:space="preserve">Appendix C. Companion Documentation Set</w:t>
      </w:r>
    </w:p>
    <w:p>
      <w:pPr>
        <w:spacing w:after="110"/>
        <w:jc w:val="both"/>
      </w:pPr>
      <w:r>
        <w:rPr>
          <w:sz w:val="19"/>
          <w:szCs w:val="19"/>
        </w:rPr>
        <w:t xml:space="preserve">This blueprint is the narrative planning document for Principal Researcher approval. Alongside it, a numbered technical documentation set (docs/00 through docs/28, plus a root AGENTS.md and README.md) has been produced in the same structure and convention as the existing ABI project's own documentation — read in that order by a human, and in that order followed by its accompanying Agent Execution Plan by an implementing developer or AI coding agent. Nothing in that set — or in this blueprint — authorises the start of implementation; build work begins only once the Principal Researcher has approved both documents in writing, per the companion set's AGENTS.md ground rule 1.</w:t>
      </w:r>
    </w:p>
    <w:p>
      <w:pPr>
        <w:spacing w:after="110"/>
      </w:pPr>
      <w:r>
        <w:rPr>
          <w:i/>
          <w:iCs/>
          <w:color w:val="5A5A5A"/>
          <w:sz w:val="16"/>
          <w:szCs w:val="16"/>
        </w:rPr>
        <w:t xml:space="preserve">Delivered as a separate file: ABFFST_Digital_Respondent_Portal_Technical_Documentation_Set.zip</w:t>
      </w:r>
    </w:p>
    <w:sectPr>
      <w:headerReference w:type="default" r:id="rId7"/>
      <w:footerReference w:type="default" r:id="rId8"/>
      <w:pgSz w:w="12240" w:h="15840" w:orient="portrait"/>
      <w:pgMar w:top="820" w:right="820" w:bottom="82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4"/>
        <w:szCs w:val="14"/>
      </w:rPr>
      <w:t xml:space="preserve">Page </w:t>
    </w:r>
    <w:r>
      <w:rPr>
        <w:color w:val="5A5A5A"/>
        <w:sz w:val="14"/>
        <w:szCs w:val="14"/>
      </w:rPr>
      <w:fldChar w:fldCharType="begin"/>
      <w:instrText xml:space="preserve">PAGE</w:instrText>
      <w:fldChar w:fldCharType="separate"/>
      <w:fldChar w:fldCharType="end"/>
    </w:r>
    <w:r>
      <w:rPr>
        <w:color w:val="5A5A5A"/>
        <w:sz w:val="14"/>
        <w:szCs w:val="14"/>
      </w:rPr>
      <w:t xml:space="preserve"> of </w:t>
    </w:r>
    <w:r>
      <w:rPr>
        <w:color w:val="5A5A5A"/>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3"/>
      </w:pBdr>
    </w:pPr>
    <w:r>
      <w:rPr>
        <w:color w:val="5A5A5A"/>
        <w:sz w:val="14"/>
        <w:szCs w:val="14"/>
      </w:rPr>
      <w:t xml:space="preserve">GigaFood Africa  |  ABF-FST Digital Respondent Portal — Architecture and Implementation Blueprint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c2017b390715fe2907d4c2aa8b377fefdbbb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2026-09-11T05:56:18.624Z</dcterms:created>
  <dcterms:modified xsi:type="dcterms:W3CDTF">2026-09-11T05:56:18.624Z</dcterms:modified>
</cp:coreProperties>
</file>

<file path=docProps/custom.xml><?xml version="1.0" encoding="utf-8"?>
<Properties xmlns="http://schemas.openxmlformats.org/officeDocument/2006/custom-properties" xmlns:vt="http://schemas.openxmlformats.org/officeDocument/2006/docPropsVTypes"/>
</file>