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System Manual</w:t>
      </w:r>
    </w:p>
    <w:p>
      <w:pPr>
        <w:spacing w:after="700" w:line="300"/>
      </w:pPr>
      <w:r>
        <w:rPr>
          <w:color w:val="5B6670"/>
          <w:sz w:val="28"/>
          <w:szCs w:val="28"/>
        </w:rPr>
        <w:t xml:space="preserve">How the system works and how to use it: every screen, every role, KoboToolbox, data, security and administration.</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whole research team: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abffst.research.cut@gmail.com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1.7 · 21 September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manual</w:t>
      </w:r>
    </w:p>
    <w:p>
      <w:pPr>
        <w:spacing w:after="120" w:line="288"/>
      </w:pPr>
      <w:r>
        <w:t xml:space="preserve">This manual explains the ABF-FST Digital Respondent Portal from end to end: what it is for, how its parts fit together, what every screen does, and how to carry out each task. It is the reference document for the whole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953"/>
        <w:gridCol w:w="5459"/>
      </w:tblGrid>
      <w:tr>
        <w:trPr>
          <w:tblHeader/>
        </w:trPr>
        <w:tc>
          <w:tcPr>
            <w:tcW w:type="dxa" w:w="3953"/>
            <w:shd w:fill="1B3350" w:color="auto" w:val="clear"/>
            <w:tcMar>
              <w:top w:type="dxa" w:w="70"/>
              <w:left w:type="dxa" w:w="110"/>
              <w:bottom w:type="dxa" w:w="70"/>
              <w:right w:type="dxa" w:w="110"/>
            </w:tcMar>
            <w:vAlign w:val="top"/>
          </w:tcPr>
          <w:p>
            <w:pPr>
              <w:spacing w:after="40"/>
            </w:pPr>
            <w:r>
              <w:rPr>
                <w:b/>
                <w:bCs/>
                <w:color w:val="FFFFFF"/>
                <w:sz w:val="19"/>
                <w:szCs w:val="19"/>
              </w:rPr>
              <w:t xml:space="preserve">Document</w:t>
            </w:r>
          </w:p>
        </w:tc>
        <w:tc>
          <w:tcPr>
            <w:tcW w:type="dxa" w:w="5459"/>
            <w:shd w:fill="1B3350" w:color="auto" w:val="clear"/>
            <w:tcMar>
              <w:top w:type="dxa" w:w="70"/>
              <w:left w:type="dxa" w:w="110"/>
              <w:bottom w:type="dxa" w:w="70"/>
              <w:right w:type="dxa" w:w="110"/>
            </w:tcMar>
            <w:vAlign w:val="top"/>
          </w:tcPr>
          <w:p>
            <w:pPr>
              <w:spacing w:after="40"/>
            </w:pPr>
            <w:r>
              <w:rPr>
                <w:b/>
                <w:bCs/>
                <w:color w:val="FFFFFF"/>
                <w:sz w:val="19"/>
                <w:szCs w:val="19"/>
              </w:rPr>
              <w:t xml:space="preserve">Read it if you are</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System Manual</w:t>
            </w:r>
            <w:r>
              <w:rPr>
                <w:b w:val="false"/>
                <w:bCs w:val="false"/>
                <w:sz w:val="19"/>
                <w:szCs w:val="19"/>
              </w:rPr>
              <w:t xml:space="preserve"> (this document)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Anyone who needs the complete picture, especially the PI and Field Coordinator.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Screen and Button Reference</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who wants to know what every button does, why it exists and what happens next.</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1 — PI / System Admin</w:t>
            </w:r>
          </w:p>
        </w:tc>
        <w:tc>
          <w:tcPr>
            <w:tcW w:type="dxa" w:w="5459"/>
            <w:tcMar>
              <w:top w:type="dxa" w:w="70"/>
              <w:left w:type="dxa" w:w="110"/>
              <w:bottom w:type="dxa" w:w="70"/>
              <w:right w:type="dxa" w:w="110"/>
            </w:tcMar>
            <w:vAlign w:val="top"/>
          </w:tcPr>
          <w:p>
            <w:pPr>
              <w:spacing w:after="40"/>
            </w:pPr>
            <w:r>
              <w:rPr>
                <w:b w:val="false"/>
                <w:bCs w:val="false"/>
                <w:sz w:val="19"/>
                <w:szCs w:val="19"/>
              </w:rPr>
              <w:t xml:space="preserve">The Principal Investigator.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2 — Field / Digital Coordinator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Running day-to-day fieldwork.</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3 — Contact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Contacting and inviting organisations.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 QUAN/Kobo QA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Checking questionnaire quality.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5 — KII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Running Key Informant Interviews.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 Documentary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Collecting and assessing documents.</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7 — Data Analyst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Monitoring progress and analysing de-identified data.</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8 — Supervisor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Overseeing the study read-only.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Respondent Guide</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 respondent, or briefing one.</w:t>
            </w:r>
          </w:p>
        </w:tc>
      </w:tr>
    </w:tbl>
    <w:p>
      <w:pPr>
        <w:spacing w:after="120"/>
      </w:pPr>
    </w:p>
    <w:p>
      <w:pPr>
        <w:pStyle w:val="Heading3"/>
      </w:pPr>
      <w:r>
        <w:t xml:space="preserve">Conventions</w:t>
      </w:r>
    </w:p>
    <w:p>
      <w:pPr>
        <w:pStyle w:val="ListParagraph"/>
        <w:numPr>
          <w:ilvl w:val="0"/>
          <w:numId w:val="2"/>
        </w:numPr>
        <w:spacing w:after="60" w:line="276"/>
      </w:pPr>
      <w:r>
        <w:t xml:space="preserve">Names of buttons, fields and screens are in </w:t>
      </w:r>
      <w:r>
        <w:rPr>
          <w:b/>
          <w:bCs/>
        </w:rPr>
        <w:t xml:space="preserve">bold</w:t>
      </w:r>
      <w:r>
        <w:t xml:space="preserve">, exactly as they appear on screen.</w:t>
      </w:r>
    </w:p>
    <w:p>
      <w:pPr>
        <w:pStyle w:val="ListParagraph"/>
        <w:numPr>
          <w:ilvl w:val="0"/>
          <w:numId w:val="2"/>
        </w:numPr>
        <w:spacing w:after="60" w:line="276"/>
      </w:pPr>
      <w:r>
        <w:t xml:space="preserve">Codes and system values look like </w:t>
      </w:r>
      <w:r>
        <w:rPr>
          <w:rFonts w:ascii="Consolas" w:cs="Consolas" w:eastAsia="Consolas" w:hAnsi="Consolas"/>
          <w:b w:val="false"/>
          <w:bCs w:val="false"/>
          <w:color w:val="122238"/>
          <w:sz w:val="19"/>
          <w:szCs w:val="19"/>
        </w:rPr>
        <w:t xml:space="preserve">S03</w:t>
      </w:r>
      <w:r>
        <w:t xml:space="preserve"> or </w:t>
      </w:r>
      <w:r>
        <w:rPr>
          <w:rFonts w:ascii="Consolas" w:cs="Consolas" w:eastAsia="Consolas" w:hAnsi="Consolas"/>
          <w:b w:val="false"/>
          <w:bCs w:val="false"/>
          <w:color w:val="122238"/>
          <w:sz w:val="19"/>
          <w:szCs w:val="19"/>
        </w:rPr>
        <w:t xml:space="preserve">consent_withdrawn</w:t>
      </w:r>
      <w:r>
        <w:t xml:space="preserve">.</w:t>
      </w:r>
    </w:p>
    <w:p>
      <w:pPr>
        <w:pStyle w:val="ListParagraph"/>
        <w:numPr>
          <w:ilvl w:val="0"/>
          <w:numId w:val="2"/>
        </w:numPr>
        <w:spacing w:after="60" w:line="276"/>
      </w:pPr>
      <w:r>
        <w:rPr>
          <w:b/>
          <w:bCs/>
        </w:rPr>
        <w:t xml:space="preserve">Tip</w:t>
      </w:r>
      <w:r>
        <w:t xml:space="preserve"> boxes (blue) give helpful advice. </w:t>
      </w:r>
      <w:r>
        <w:rPr>
          <w:b/>
          <w:bCs/>
        </w:rPr>
        <w:t xml:space="preserve">Important</w:t>
      </w:r>
      <w:r>
        <w:t xml:space="preserve"> boxes (amber) protect data quality, respondents or the research design.</w:t>
      </w:r>
    </w:p>
    <w:p>
      <w:pPr>
        <w:pStyle w:val="ListParagraph"/>
        <w:numPr>
          <w:ilvl w:val="0"/>
          <w:numId w:val="2"/>
        </w:numPr>
        <w:spacing w:after="60" w:line="276"/>
      </w:pPr>
      <w:r>
        <w:t xml:space="preserve">Screenshots use fictional demonstration data. Your screens show the real study records.</w:t>
      </w:r>
    </w:p>
    <w:p>
      <w:pPr>
        <w:spacing w:after="60"/>
      </w:pPr>
    </w:p>
    <w:p>
      <w:pPr>
        <w:pStyle w:val="Heading1"/>
        <w:pageBreakBefore/>
      </w:pPr>
      <w:r>
        <w:t xml:space="preserve">2. The study and the system</w:t>
      </w:r>
    </w:p>
    <w:p>
      <w:pPr>
        <w:pStyle w:val="Heading2"/>
      </w:pPr>
      <w:r>
        <w:t xml:space="preserve">2.1 The study</w:t>
      </w:r>
    </w:p>
    <w:p>
      <w:pPr>
        <w:spacing w:after="120" w:line="288"/>
      </w:pPr>
      <w:r>
        <w:t xml:space="preserve">The portal supports the doctoral study </w:t>
      </w:r>
      <w:r>
        <w:rPr>
          <w:b/>
          <w:bCs/>
        </w:rPr>
        <w:t xml:space="preserve">Developing and Validating the Agribusiness Bankability Framework for Food Systems Transformation through Novel Financing Models in Zimbabwe (ABF-FST)</w:t>
      </w:r>
      <w:r>
        <w:t xml:space="preserve">, by Happyson Saina (Doctor of Strategic Management candidate, Chinhoyi University of Technology), supervised by Dr L. Chikazhe and Dr J. Kanyepe.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Quantitative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completed questionnaires from the Main-400 sample of agribusiness organisations, with 400 matched Reserve organisations for replacement.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Qualitative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Key Informant Interviews (90 KII records loaded: Core-60 plus Reserve-30).</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Documentary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50–75 coded documents, digital platform and media sources (100 records loaded).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Approvals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Ethics and POTRAZ covered by the PI's CUT research clearance; Participant Information Sheet v1.3, QA thresholds, invitation and reminder wording, and PROIT approved by the PI on 15 September 2026.</w:t>
            </w:r>
          </w:p>
        </w:tc>
      </w:tr>
    </w:tbl>
    <w:p>
      <w:pPr>
        <w:spacing w:after="120"/>
      </w:pPr>
    </w:p>
    <w:p>
      <w:pPr>
        <w:pStyle w:val="Heading2"/>
      </w:pPr>
      <w:r>
        <w:t xml:space="preserve">2.2 What the portal is — and is not</w:t>
      </w:r>
    </w:p>
    <w:p>
      <w:pPr>
        <w:pStyle w:val="ListParagraph"/>
        <w:numPr>
          <w:ilvl w:val="0"/>
          <w:numId w:val="2"/>
        </w:numPr>
        <w:spacing w:after="60" w:line="276"/>
      </w:pPr>
      <w:r>
        <w:t xml:space="preserve">It </w:t>
      </w:r>
      <w:r>
        <w:rPr>
          <w:b/>
          <w:bCs/>
        </w:rPr>
        <w:t xml:space="preserve">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pPr>
        <w:pStyle w:val="ListParagraph"/>
        <w:numPr>
          <w:ilvl w:val="0"/>
          <w:numId w:val="2"/>
        </w:numPr>
        <w:spacing w:after="60" w:line="276"/>
      </w:pPr>
      <w:r>
        <w:t xml:space="preserve">It is </w:t>
      </w:r>
      <w:r>
        <w:rPr>
          <w:b/>
          <w:bCs/>
        </w:rPr>
        <w:t xml:space="preserve">not</w:t>
      </w:r>
      <w:r>
        <w:t xml:space="preserve"> a public survey. Nobody can browse in: every respondent starts from a personal invitation link.</w:t>
      </w:r>
    </w:p>
    <w:p>
      <w:pPr>
        <w:pStyle w:val="ListParagraph"/>
        <w:numPr>
          <w:ilvl w:val="0"/>
          <w:numId w:val="2"/>
        </w:numPr>
        <w:spacing w:after="60" w:line="276"/>
      </w:pPr>
      <w:r>
        <w:t xml:space="preserve">It </w:t>
      </w:r>
      <w:r>
        <w:rPr>
          <w:b/>
          <w:bCs/>
        </w:rPr>
        <w:t xml:space="preserve">never</w:t>
      </w:r>
      <w:r>
        <w:t xml:space="preserve"> calculates or shows a score, rating or financing decision to anyone taking part.</w:t>
      </w:r>
    </w:p>
    <w:p>
      <w:pPr>
        <w:pStyle w:val="ListParagraph"/>
        <w:numPr>
          <w:ilvl w:val="0"/>
          <w:numId w:val="2"/>
        </w:numPr>
        <w:spacing w:after="60" w:line="276"/>
      </w:pPr>
      <w:r>
        <w:t xml:space="preserve">It does </w:t>
      </w:r>
      <w:r>
        <w:rPr>
          <w:b/>
          <w:bCs/>
        </w:rPr>
        <w:t xml:space="preserve">not</w:t>
      </w:r>
      <w:r>
        <w:t xml:space="preserve"> replace KoboToolbox. The questionnaire, KII Guide and Document Analysis Tool live in KoboToolbox; the portal manages everything around them.</w:t>
      </w:r>
    </w:p>
    <w:p>
      <w:pPr>
        <w:spacing w:after="60"/>
      </w:pPr>
    </w:p>
    <w:p>
      <w:pPr>
        <w:pStyle w:val="Heading2"/>
      </w:pPr>
      <w:r>
        <w:t xml:space="preserve">2.3 The parts of the system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Part</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Who uses it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Respondent portal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Public pages at https://research.agribizframework.com/i/… that walk an invited respondent through confirmation, eligibility, information, consent and choice of how to take part.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Operations Centre</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internal system at https://research.agribizframework.com/admin: registers, case pages, invitations, follow-ups, QA, KII, documents, costs, dashboards, reports and exports.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team (8 roles)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5271"/>
            <w:tcMar>
              <w:top w:type="dxa" w:w="70"/>
              <w:left w:type="dxa" w:w="110"/>
              <w:bottom w:type="dxa" w:w="70"/>
              <w:right w:type="dxa" w:w="110"/>
            </w:tcMar>
            <w:vAlign w:val="top"/>
          </w:tcPr>
          <w:p>
            <w:pPr>
              <w:spacing w:after="40"/>
            </w:pPr>
            <w:r>
              <w:rPr>
                <w:b w:val="false"/>
                <w:bCs w:val="false"/>
                <w:sz w:val="19"/>
                <w:szCs w:val="19"/>
              </w:rPr>
              <w:t xml:space="preserve">Hosts the three forms: Main Study Questionnaire, Main Study KII Guide, and Document, Digital Platform &amp; Media Analysis Tool. Stores the answers.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 and RAs (forms); PI (form design)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jobs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Pull submissions from KoboToolbox (every 15 minutes by day, hourly overnight), compute reminders due, and check nonresponse.</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Email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Sends completed-form PDFs from abffst.research.cut@gmail.com.</w:t>
            </w:r>
          </w:p>
        </w:tc>
        <w:tc>
          <w:tcPr>
            <w:tcW w:type="dxa" w:w="2070"/>
            <w:tcMar>
              <w:top w:type="dxa" w:w="70"/>
              <w:left w:type="dxa" w:w="110"/>
              <w:bottom w:type="dxa" w:w="70"/>
              <w:right w:type="dxa" w:w="110"/>
            </w:tcMar>
            <w:vAlign w:val="top"/>
          </w:tcPr>
          <w:p>
            <w:pPr>
              <w:spacing w:after="40"/>
            </w:pPr>
            <w:r>
              <w:rPr>
                <w:b w:val="false"/>
                <w:bCs w:val="false"/>
                <w:sz w:val="19"/>
                <w:szCs w:val="19"/>
              </w:rPr>
              <w:t xml:space="preserve">Automatic, on request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Database and private files every 4 hours on the server, copied encrypted to Google Drive once enabled.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bl>
    <w:p>
      <w:pPr>
        <w:spacing w:after="120"/>
      </w:pPr>
    </w:p>
    <w:p>
      <w:pPr>
        <w:pStyle w:val="Heading1"/>
        <w:pageBreakBefore/>
      </w:pPr>
      <w:r>
        <w:t xml:space="preserve">3. How the system works</w:t>
      </w:r>
    </w:p>
    <w:p>
      <w:pPr>
        <w:spacing w:after="120" w:line="288"/>
      </w:pPr>
      <w:r>
        <w:t xml:space="preserve">This chapter follows one organisation from selection to a quality-assured questionnaire, then covers the KII and documentary strands and the controls that protect the data.</w:t>
      </w:r>
    </w:p>
    <w:p>
      <w:pPr>
        <w:pStyle w:val="Heading2"/>
      </w:pPr>
      <w:r>
        <w:t xml:space="preserve">3.1 The journey of a case, end to end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506"/>
        <w:gridCol w:w="4706"/>
        <w:gridCol w:w="1882"/>
        <w:gridCol w:w="1318"/>
      </w:tblGrid>
      <w:tr>
        <w:trPr>
          <w:tblHeader/>
        </w:trPr>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Stage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 Selected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in the approved Main-400 register with its matched Reserve.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Loaded</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2. Assigned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assigned to a Contact RA.</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PI / 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3. Verified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confirmed and an eligible senior respondent identified; contact details are recorded.</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S01 → S03</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4. Profiled (optional)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background facts are recorded with sources and locked (PROIT).</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Researcher + reviewer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5. Invited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personal link is issued and sent by WhatsApp, SMS or email.</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S05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6. Opened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link, confirms the organisation and their role.</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S06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7. Consent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respondent reads the Participant Information Sheet v1.3 and agrees.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8. Questionnaire</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KoboToolbox questionnaire (or books a researcher-assisted session).</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 /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S07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9. Submitted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KoboToolbox notifies the portal; the submission is matched to the case and checked by the QA rules.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S08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10. Reminders</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If no submission, approved reminders fall due on Day 2 and Day 7.</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S05–S07</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11. QA decision</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QA reviewer accepts, re-queries or rejects, always with a note.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QA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S10 / S09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12. Completed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closed.</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If it drops out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Refusal, nonresponse, ineligibility or duplication is recorded; the matched Reserve is activated with a reason and evidence.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S12–S16</w:t>
            </w:r>
          </w:p>
        </w:tc>
      </w:tr>
    </w:tbl>
    <w:p>
      <w:pPr>
        <w:spacing w:after="120"/>
      </w:pPr>
    </w:p>
    <w:p>
      <w:pPr>
        <w:pStyle w:val="Heading2"/>
      </w:pPr>
      <w:r>
        <w:t xml:space="preserve">3.2 Identifiers</w:t>
      </w:r>
    </w:p>
    <w:p>
      <w:pPr>
        <w:pStyle w:val="ListParagraph"/>
        <w:numPr>
          <w:ilvl w:val="0"/>
          <w:numId w:val="2"/>
        </w:numPr>
        <w:spacing w:after="60" w:line="276"/>
      </w:pPr>
      <w:r>
        <w:rPr>
          <w:b/>
          <w:bCs/>
        </w:rPr>
        <w:t xml:space="preserve">Master ID</w:t>
      </w:r>
      <w:r>
        <w:t xml:space="preserve"> identifies an organisation: </w:t>
      </w:r>
      <w:r>
        <w:rPr>
          <w:rFonts w:ascii="Consolas" w:cs="Consolas" w:eastAsia="Consolas" w:hAnsi="Consolas"/>
          <w:b w:val="false"/>
          <w:bCs w:val="false"/>
          <w:color w:val="122238"/>
          <w:sz w:val="19"/>
          <w:szCs w:val="19"/>
        </w:rPr>
        <w:t xml:space="preserve">MID-&lt;province code&gt;-&lt;sequence&gt;</w:t>
      </w:r>
      <w:r>
        <w:t xml:space="preserve">, e.g. MID-HA-000001.</w:t>
      </w:r>
    </w:p>
    <w:p>
      <w:pPr>
        <w:pStyle w:val="ListParagraph"/>
        <w:numPr>
          <w:ilvl w:val="0"/>
          <w:numId w:val="2"/>
        </w:numPr>
        <w:spacing w:after="60" w:line="276"/>
      </w:pPr>
      <w:r>
        <w:rPr>
          <w:b/>
          <w:bCs/>
        </w:rPr>
        <w:t xml:space="preserve">Sample ID</w:t>
      </w:r>
      <w:r>
        <w:t xml:space="preserve"> identifies a case (an organisation's place in the sample): </w:t>
      </w:r>
      <w:r>
        <w:rPr>
          <w:rFonts w:ascii="Consolas" w:cs="Consolas" w:eastAsia="Consolas" w:hAnsi="Consolas"/>
          <w:b w:val="false"/>
          <w:bCs w:val="false"/>
          <w:color w:val="122238"/>
          <w:sz w:val="19"/>
          <w:szCs w:val="19"/>
        </w:rPr>
        <w:t xml:space="preserve">SID-&lt;year&gt;-&lt;sequence&gt;</w:t>
      </w:r>
      <w:r>
        <w:t xml:space="preserve">, e.g. SID-2026-000001.</w:t>
      </w:r>
    </w:p>
    <w:p>
      <w:pPr>
        <w:pStyle w:val="ListParagraph"/>
        <w:numPr>
          <w:ilvl w:val="0"/>
          <w:numId w:val="2"/>
        </w:numPr>
        <w:spacing w:after="60" w:line="276"/>
      </w:pPr>
      <w:r>
        <w:rPr>
          <w:b/>
          <w:bCs/>
        </w:rPr>
        <w:t xml:space="preserve">KII ID</w:t>
      </w:r>
      <w:r>
        <w:t xml:space="preserve"> (KII-0001) and </w:t>
      </w:r>
      <w:r>
        <w:rPr>
          <w:b/>
          <w:bCs/>
        </w:rPr>
        <w:t xml:space="preserve">DOC ID</w:t>
      </w:r>
      <w:r>
        <w:t xml:space="preserve"> (DOC-0001) identify interview and document records.</w:t>
      </w:r>
    </w:p>
    <w:p>
      <w:pPr>
        <w:pStyle w:val="ListParagraph"/>
        <w:numPr>
          <w:ilvl w:val="0"/>
          <w:numId w:val="2"/>
        </w:numPr>
        <w:spacing w:after="60" w:line="276"/>
      </w:pPr>
      <w:r>
        <w:t xml:space="preserve">All identifiers are generated by the system, can never be typed or edited, and are never reused. They are the link between the portal and KoboToolbox.</w:t>
      </w:r>
    </w:p>
    <w:p>
      <w:pPr>
        <w:spacing w:after="60"/>
      </w:pPr>
    </w:p>
    <w:p>
      <w:pPr>
        <w:pStyle w:val="Heading2"/>
      </w:pPr>
      <w:r>
        <w:t xml:space="preserve">3.3 Sample, strata and Reserves</w:t>
      </w:r>
    </w:p>
    <w:p>
      <w:pPr>
        <w:spacing w:after="120" w:line="288"/>
      </w:pPr>
      <w:r>
        <w:t xml:space="preserve">Organisations are stratified by </w:t>
      </w:r>
      <w:r>
        <w:rPr>
          <w:b/>
          <w:bCs/>
        </w:rPr>
        <w:t xml:space="preserve">Province × Actor family × Size class</w:t>
      </w:r>
      <w:r>
        <w:t xml:space="preserve">. Entity type and value chain are descriptive only. Each Main case is paired with one </w:t>
      </w:r>
      <w:r>
        <w:rPr>
          <w:b/>
          <w:bCs/>
        </w:rPr>
        <w:t xml:space="preserve">Reserve</w:t>
      </w:r>
      <w:r>
        <w:t xml:space="preserve"> in the same stratum. A Reserve starts </w:t>
      </w:r>
      <w:r>
        <w:rPr>
          <w:b/>
          <w:bCs/>
        </w:rPr>
        <w:t xml:space="preserve">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pPr>
        <w:pStyle w:val="Heading2"/>
      </w:pPr>
      <w:r>
        <w:t xml:space="preserve">3.4 Workflow statuses (S00–S16)</w:t>
      </w:r>
    </w:p>
    <w:p>
      <w:pPr>
        <w:spacing w:after="120" w:line="288"/>
      </w:pPr>
      <w:r>
        <w:t xml:space="preserve">Every Main case has exactly one status. Statuses S05–S10 follow real events automatically; the rest are set by bulk verification or by an individual decision. Invalid jumps are refused and the attempt is audited.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3.5 Invitations</w:t>
      </w:r>
    </w:p>
    <w:p>
      <w:pPr>
        <w:pStyle w:val="ListParagraph"/>
        <w:numPr>
          <w:ilvl w:val="0"/>
          <w:numId w:val="2"/>
        </w:numPr>
        <w:spacing w:after="60" w:line="276"/>
      </w:pPr>
      <w:r>
        <w:t xml:space="preserve">Each invitation is a random personal link plus an 8-character manual code, valid for </w:t>
      </w:r>
      <w:r>
        <w:rPr>
          <w:b/>
          <w:bCs/>
        </w:rPr>
        <w:t xml:space="preserve">14 days</w:t>
      </w:r>
      <w:r>
        <w:t xml:space="preserve">.</w:t>
      </w:r>
    </w:p>
    <w:p>
      <w:pPr>
        <w:pStyle w:val="ListParagraph"/>
        <w:numPr>
          <w:ilvl w:val="0"/>
          <w:numId w:val="2"/>
        </w:numPr>
        <w:spacing w:after="60" w:line="276"/>
      </w:pPr>
      <w:r>
        <w:t xml:space="preserve">Only a scrambled fingerprint is stored, so the link is shown once to the person issuing it and never again.</w:t>
      </w:r>
    </w:p>
    <w:p>
      <w:pPr>
        <w:pStyle w:val="ListParagraph"/>
        <w:numPr>
          <w:ilvl w:val="0"/>
          <w:numId w:val="2"/>
        </w:numPr>
        <w:spacing w:after="60" w:line="276"/>
      </w:pPr>
      <w:r>
        <w:t xml:space="preserve">Issuing a new invitation for a case immediately stops every earlier link for that case that has not yet been submitted. </w:t>
      </w:r>
      <w:r>
        <w:rPr>
          <w:b/>
          <w:bCs/>
        </w:rPr>
        <w:t xml:space="preserve">Revoke</w:t>
      </w:r>
      <w:r>
        <w:t xml:space="preserve"> stops a link without replacing it.</w:t>
      </w:r>
    </w:p>
    <w:p>
      <w:pPr>
        <w:pStyle w:val="ListParagraph"/>
        <w:numPr>
          <w:ilvl w:val="0"/>
          <w:numId w:val="2"/>
        </w:numPr>
        <w:spacing w:after="60" w:line="276"/>
      </w:pPr>
      <w:r>
        <w:t xml:space="preserve">The invitation screen writes the invitation for WhatsApp, SMS and email, each with the link, expiry, manual code and study contact details. </w:t>
      </w:r>
      <w:r>
        <w:rPr>
          <w:b/>
          <w:bCs/>
        </w:rPr>
        <w:t xml:space="preserve">Send via WhatsApp</w:t>
      </w:r>
      <w:r>
        <w:t xml:space="preserve"> and </w:t>
      </w:r>
      <w:r>
        <w:rPr>
          <w:b/>
          <w:bCs/>
        </w:rPr>
        <w:t xml:space="preserve">Send by SMS</w:t>
      </w:r>
      <w:r>
        <w:t xml:space="preserve"> open the respondent's own chat or messages app, </w:t>
      </w:r>
      <w:r>
        <w:rPr>
          <w:b/>
          <w:bCs/>
        </w:rPr>
        <w:t xml:space="preserve">Email from study address</w:t>
      </w:r>
      <w:r>
        <w:t xml:space="preserve"> emails it from abffst.research.cut@gmail.com, and </w:t>
      </w:r>
      <w:r>
        <w:rPr>
          <w:b/>
          <w:bCs/>
        </w:rPr>
        <w:t xml:space="preserve">Copy message</w:t>
      </w:r>
      <w:r>
        <w:t xml:space="preserve"> covers any other channel.</w:t>
      </w:r>
    </w:p>
    <w:p>
      <w:pPr>
        <w:pStyle w:val="ListParagraph"/>
        <w:numPr>
          <w:ilvl w:val="0"/>
          <w:numId w:val="2"/>
        </w:numPr>
        <w:spacing w:after="60" w:line="276"/>
      </w:pPr>
      <w:r>
        <w:t xml:space="preserve">A locked Reserve can never be invited.</w:t>
      </w:r>
    </w:p>
    <w:p>
      <w:pPr>
        <w:spacing w:after="60"/>
      </w:pPr>
    </w:p>
    <w:p>
      <w:pPr>
        <w:pStyle w:val="Heading2"/>
      </w:pPr>
      <w:r>
        <w:t xml:space="preserve">3.6 Eligibility and consent (the gates)</w:t>
      </w:r>
    </w:p>
    <w:p>
      <w:pPr>
        <w:spacing w:after="120" w:line="288"/>
      </w:pPr>
      <w:r>
        <w:t xml:space="preserve">Before the questionnaire can open, the portal requires both a </w:t>
      </w:r>
      <w:r>
        <w:rPr>
          <w:b/>
          <w:bCs/>
        </w:rPr>
        <w:t xml:space="preserve">passed eligibility check</w:t>
      </w:r>
      <w:r>
        <w:t xml:space="preserve"> (the person holds a senior, knowledgeable role) and </w:t>
      </w:r>
      <w:r>
        <w:rPr>
          <w:b/>
          <w:bCs/>
        </w:rPr>
        <w:t xml:space="preserve">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pPr>
        <w:pStyle w:val="Heading2"/>
      </w:pPr>
      <w:r>
        <w:t xml:space="preserve">3.7 PROIT — pre-interview profiling</w:t>
      </w:r>
    </w:p>
    <w:p>
      <w:pPr>
        <w:spacing w:after="120" w:line="288"/>
      </w:pPr>
      <w:r>
        <w:t xml:space="preserve">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pPr>
        <w:pStyle w:val="Heading2"/>
      </w:pPr>
      <w:r>
        <w:t xml:space="preserve">3.8 KoboToolbox integration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765"/>
        <w:gridCol w:w="3012"/>
        <w:gridCol w:w="2635"/>
      </w:tblGrid>
      <w:tr>
        <w:trPr>
          <w:tblHeader/>
        </w:trPr>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Linked to</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Sample ID (hidden field set by the portal)</w:t>
            </w:r>
          </w:p>
        </w:tc>
        <w:tc>
          <w:tcPr>
            <w:tcW w:type="dxa" w:w="2635"/>
            <w:tcMar>
              <w:top w:type="dxa" w:w="70"/>
              <w:left w:type="dxa" w:w="110"/>
              <w:bottom w:type="dxa" w:w="70"/>
              <w:right w:type="dxa" w:w="110"/>
            </w:tcMar>
            <w:vAlign w:val="top"/>
          </w:tcPr>
          <w:p>
            <w:pPr>
              <w:spacing w:after="40"/>
            </w:pPr>
            <w:r>
              <w:rPr>
                <w:b w:val="false"/>
                <w:bCs w:val="false"/>
                <w:sz w:val="19"/>
                <w:szCs w:val="19"/>
              </w:rPr>
              <w:t xml:space="preserve">Respondents; phone/WhatsApp/face-to-face RAs</w:t>
            </w:r>
          </w:p>
        </w:tc>
      </w:tr>
      <w:tr>
        <w:trPr>
          <w:cantSplit/>
        </w:trPr>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DOC ID</w:t>
            </w:r>
          </w:p>
        </w:tc>
        <w:tc>
          <w:tcPr>
            <w:tcW w:type="dxa" w:w="2635"/>
            <w:tcMar>
              <w:top w:type="dxa" w:w="70"/>
              <w:left w:type="dxa" w:w="110"/>
              <w:bottom w:type="dxa" w:w="70"/>
              <w:right w:type="dxa" w:w="110"/>
            </w:tcMar>
            <w:vAlign w:val="top"/>
          </w:tcPr>
          <w:p>
            <w:pPr>
              <w:spacing w:after="40"/>
            </w:pPr>
            <w:r>
              <w:rPr>
                <w:b w:val="false"/>
                <w:bCs w:val="false"/>
                <w:sz w:val="19"/>
                <w:szCs w:val="19"/>
              </w:rPr>
              <w:t xml:space="preserve">Documentary RA</w:t>
            </w:r>
          </w:p>
        </w:tc>
      </w:tr>
    </w:tbl>
    <w:p>
      <w:pPr>
        <w:spacing w:after="120"/>
      </w:pPr>
    </w:p>
    <w:p>
      <w:pPr>
        <w:pStyle w:val="ListParagraph"/>
        <w:numPr>
          <w:ilvl w:val="0"/>
          <w:numId w:val="2"/>
        </w:numPr>
        <w:spacing w:after="60" w:line="276"/>
      </w:pPr>
      <w:r>
        <w:t xml:space="preserve">When a respondent starts the questionnaire, the portal opens the KoboToolbox web form with the Master ID, Sample ID, administration mode, role category and a </w:t>
      </w:r>
      <w:r>
        <w:rPr>
          <w:b/>
          <w:bCs/>
        </w:rPr>
        <w:t xml:space="preserve">signed</w:t>
      </w:r>
      <w:r>
        <w:t xml:space="preserve"> reference to the invitation. No KoboToolbox account is needed.</w:t>
      </w:r>
    </w:p>
    <w:p>
      <w:pPr>
        <w:pStyle w:val="ListParagraph"/>
        <w:numPr>
          <w:ilvl w:val="0"/>
          <w:numId w:val="2"/>
        </w:numPr>
        <w:spacing w:after="60" w:line="276"/>
      </w:pPr>
      <w:r>
        <w:t xml:space="preserve">When a form is submitted, KoboToolbox notifies the portal within seconds, and the portal also checks KoboToolbox every 15 minutes by day and hourly overnight, so nothing is missed. </w:t>
      </w:r>
      <w:r>
        <w:rPr>
          <w:b/>
          <w:bCs/>
        </w:rPr>
        <w:t xml:space="preserve">Sync now</w:t>
      </w:r>
      <w:r>
        <w:t xml:space="preserve"> on the QA Queue runs a check immediately.</w:t>
      </w:r>
    </w:p>
    <w:p>
      <w:pPr>
        <w:pStyle w:val="ListParagraph"/>
        <w:numPr>
          <w:ilvl w:val="0"/>
          <w:numId w:val="2"/>
        </w:numPr>
        <w:spacing w:after="60" w:line="276"/>
      </w:pPr>
      <w:r>
        <w:t xml:space="preserve">Each submission is matched to its case. A submission that does not carry the portal's signature (for example someone using the public form link directly) or that names an unknown Sample ID is </w:t>
      </w:r>
      <w:r>
        <w:rPr>
          <w:b/>
          <w:bCs/>
        </w:rPr>
        <w:t xml:space="preserve">set aside and audited</w:t>
      </w:r>
      <w:r>
        <w:t xml:space="preserve">, never guessed.</w:t>
      </w:r>
    </w:p>
    <w:p>
      <w:pPr>
        <w:pStyle w:val="ListParagraph"/>
        <w:numPr>
          <w:ilvl w:val="0"/>
          <w:numId w:val="2"/>
        </w:numPr>
        <w:spacing w:after="60" w:line="276"/>
      </w:pPr>
      <w:r>
        <w:t xml:space="preserve">If a submission is edited in KoboToolbox, the portal notices the change and returns it to QA review. Edits never create duplicates.</w:t>
      </w:r>
    </w:p>
    <w:p>
      <w:pPr>
        <w:pStyle w:val="ListParagraph"/>
        <w:numPr>
          <w:ilvl w:val="0"/>
          <w:numId w:val="2"/>
        </w:numPr>
        <w:spacing w:after="60" w:line="276"/>
      </w:pPr>
      <w:r>
        <w:t xml:space="preserve">The KII Guide and the Document Analysis Tool are synchronised the same way: the portal keeps its own copy of every submission of all three forms and shows on </w:t>
      </w:r>
      <w:r>
        <w:rPr>
          <w:b/>
          <w:bCs/>
        </w:rPr>
        <w:t xml:space="preserve">Form PDFs</w:t>
      </w:r>
      <w:r>
        <w:t xml:space="preserve"> whether it matches KoboToolbox. A completed KII Guide marks that interview's coding COMPLETE; a document coding deleted in KoboToolbox unlocks the document.</w:t>
      </w:r>
    </w:p>
    <w:p>
      <w:pPr>
        <w:pStyle w:val="ListParagraph"/>
        <w:numPr>
          <w:ilvl w:val="0"/>
          <w:numId w:val="2"/>
        </w:numPr>
        <w:spacing w:after="60" w:line="276"/>
      </w:pPr>
      <w:r>
        <w:t xml:space="preserve">Full answers are stored privately on the server, never in a web-accessible folder, and are included in backups.</w:t>
      </w:r>
    </w:p>
    <w:p>
      <w:pPr>
        <w:pStyle w:val="ListParagraph"/>
        <w:numPr>
          <w:ilvl w:val="0"/>
          <w:numId w:val="2"/>
        </w:numPr>
        <w:spacing w:after="60" w:line="276"/>
      </w:pPr>
      <w:r>
        <w:t xml:space="preserve">Completed forms can be downloaded as readable PDFs, emailed, and (PI only) exported in full for analysis. The portal keeps its own synchronised copy of all three KoboToolbox forms, and shows whether it matches KoboToolbox.</w:t>
      </w:r>
    </w:p>
    <w:p>
      <w:pPr>
        <w:spacing w:after="60"/>
      </w:pPr>
    </w:p>
    <w:p>
      <w:pPr>
        <w:pStyle w:val="Heading2"/>
      </w:pPr>
      <w:r>
        <w:t xml:space="preserve">3.9 Quality assurance</w:t>
      </w:r>
    </w:p>
    <w:p>
      <w:pPr>
        <w:spacing w:after="120" w:line="288"/>
      </w:pPr>
      <w:r>
        <w:t xml:space="preserve">Every questionnaire is checked automatically when it arrives, then decided by a person. Nothing reaches </w:t>
      </w:r>
      <w:r>
        <w:rPr>
          <w:b/>
          <w:bCs/>
        </w:rPr>
        <w:t xml:space="preserve">QA passed</w:t>
      </w:r>
      <w:r>
        <w:t xml:space="preserve"> without a human </w:t>
      </w:r>
      <w:r>
        <w:rPr>
          <w:b/>
          <w:bCs/>
        </w:rPr>
        <w:t xml:space="preserve">Accept</w:t>
      </w:r>
      <w:r>
        <w:t xml:space="preserve"> and a note.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4894"/>
        <w:gridCol w:w="16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Setting (approved 15 Sep 2026)</w:t>
            </w:r>
          </w:p>
        </w:tc>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Type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Required answers present</w:t>
            </w:r>
          </w:p>
        </w:tc>
        <w:tc>
          <w:tcPr>
            <w:tcW w:type="dxa" w:w="4894"/>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1694"/>
            <w:tcMar>
              <w:top w:type="dxa" w:w="70"/>
              <w:left w:type="dxa" w:w="110"/>
              <w:bottom w:type="dxa" w:w="70"/>
              <w:right w:type="dxa" w:w="110"/>
            </w:tcMar>
            <w:vAlign w:val="top"/>
          </w:tcPr>
          <w:p>
            <w:pPr>
              <w:spacing w:after="40"/>
            </w:pPr>
            <w:r>
              <w:rPr>
                <w:b w:val="false"/>
                <w:bCs w:val="false"/>
                <w:sz w:val="19"/>
                <w:szCs w:val="19"/>
              </w:rPr>
              <w:t xml:space="preserve">Hard stop</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Minimum plausible duration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5 minutes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Maximum plausible duration</w:t>
            </w:r>
          </w:p>
        </w:tc>
        <w:tc>
          <w:tcPr>
            <w:tcW w:type="dxa" w:w="4894"/>
            <w:tcMar>
              <w:top w:type="dxa" w:w="70"/>
              <w:left w:type="dxa" w:w="110"/>
              <w:bottom w:type="dxa" w:w="70"/>
              <w:right w:type="dxa" w:w="110"/>
            </w:tcMar>
            <w:vAlign w:val="top"/>
          </w:tcPr>
          <w:p>
            <w:pPr>
              <w:spacing w:after="40"/>
            </w:pPr>
            <w:r>
              <w:rPr>
                <w:b w:val="false"/>
                <w:bCs w:val="false"/>
                <w:sz w:val="19"/>
                <w:szCs w:val="19"/>
              </w:rPr>
              <w:t xml:space="preserve">90 minutes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organisation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Administration mode balance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Alert when one mode exceeds 70% (shown in Reports)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Monitoring</w:t>
            </w:r>
          </w:p>
        </w:tc>
      </w:tr>
    </w:tbl>
    <w:p>
      <w:pPr>
        <w:spacing w:after="120"/>
      </w:pPr>
    </w:p>
    <w:p>
      <w:pPr>
        <w:spacing w:after="120" w:line="288"/>
      </w:pPr>
      <w:r>
        <w:t xml:space="preserve">Each triggered rule opens a </w:t>
      </w:r>
      <w:r>
        <w:rPr>
          <w:b/>
          <w:bCs/>
        </w:rPr>
        <w:t xml:space="preserve">QA exception</w:t>
      </w:r>
      <w:r>
        <w:t xml:space="preserve"> that someone is assigned to, works and closes with a note. A </w:t>
      </w:r>
      <w:r>
        <w:rPr>
          <w:b/>
          <w:bCs/>
        </w:rPr>
        <w:t xml:space="preserve">Re-query</w:t>
      </w:r>
      <w:r>
        <w:t xml:space="preserve"> moves the case to S09; an </w:t>
      </w:r>
      <w:r>
        <w:rPr>
          <w:b/>
          <w:bCs/>
        </w:rPr>
        <w:t xml:space="preserve">Accept</w:t>
      </w:r>
      <w:r>
        <w:t xml:space="preserve"> to S10.</w:t>
      </w:r>
    </w:p>
    <w:p>
      <w:pPr>
        <w:pStyle w:val="Heading2"/>
      </w:pPr>
      <w:r>
        <w:t xml:space="preserve">3.10 Reminders and nonresponse</w:t>
      </w:r>
    </w:p>
    <w:p>
      <w:pPr>
        <w:spacing w:after="120" w:line="288"/>
      </w:pPr>
      <w:r>
        <w:t xml:space="preserve">For invited cases with no submission, the approved </w:t>
      </w:r>
      <w:r>
        <w:rPr>
          <w:b/>
          <w:bCs/>
        </w:rPr>
        <w:t xml:space="preserve">Day 2 reminder</w:t>
      </w:r>
      <w:r>
        <w:t xml:space="preserve"> and </w:t>
      </w:r>
      <w:r>
        <w:rPr>
          <w:b/>
          <w:bCs/>
        </w:rPr>
        <w:t xml:space="preserve">Day 7 final routine attempt</w:t>
      </w:r>
      <w:r>
        <w:t xml:space="preserve"> fall due and appear on </w:t>
      </w:r>
      <w:r>
        <w:rPr>
          <w:b/>
          <w:bCs/>
        </w:rPr>
        <w:t xml:space="preserve">Follow-ups</w:t>
      </w:r>
      <w:r>
        <w:t xml:space="preserve">, with the message and a one-tap WhatsApp link. A person sends each one and marks it sent. A case can become </w:t>
      </w:r>
      <w:r>
        <w:rPr>
          <w:b/>
          <w:bCs/>
        </w:rPr>
        <w:t xml:space="preserve">S13 Nonresponse</w:t>
      </w:r>
      <w:r>
        <w:t xml:space="preserve"> only after every reminder has actually been recorded as sent; until then it is never treated as exhausted. Automatic sending through the WhatsApp Business Platform can be added later without changing this process.</w:t>
      </w:r>
    </w:p>
    <w:p>
      <w:pPr>
        <w:pStyle w:val="Heading2"/>
      </w:pPr>
      <w:r>
        <w:t xml:space="preserve">3.11 Withdrawal</w:t>
      </w:r>
    </w:p>
    <w:p>
      <w:pPr>
        <w:spacing w:after="120" w:line="288"/>
      </w:pPr>
      <w:r>
        <w:t xml:space="preserve">A single </w:t>
      </w:r>
      <w:r>
        <w:rPr>
          <w:b/>
          <w:bCs/>
        </w:rPr>
        <w:t xml:space="preserve">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pPr>
        <w:pStyle w:val="Heading2"/>
      </w:pPr>
      <w:r>
        <w:t xml:space="preserve">3.12 The KII and documentary strands</w:t>
      </w:r>
    </w:p>
    <w:p>
      <w:pPr>
        <w:pStyle w:val="ListParagraph"/>
        <w:numPr>
          <w:ilvl w:val="0"/>
          <w:numId w:val="2"/>
        </w:numPr>
        <w:spacing w:after="60" w:line="276"/>
      </w:pPr>
      <w:r>
        <w:rPr>
          <w:b/>
          <w:bCs/>
        </w:rPr>
        <w:t xml:space="preserve">KII records</w:t>
      </w:r>
      <w:r>
        <w:t xml:space="preserve"> move PROSPECT → INVITED → SCHEDULED → COMPLETED (or DECLINED / NO_SHOW). Participation consent and recording consent are captured separately; a recorded interview cannot be completed without recording consent. Once participation consent is recorded, </w:t>
      </w:r>
      <w:r>
        <w:rPr>
          <w:b/>
          <w:bCs/>
        </w:rPr>
        <w:t xml:space="preserve">Continue this interview</w:t>
      </w:r>
      <w:r>
        <w:t xml:space="preserve"> opens the KoboToolbox KII Guide with the KII ID filled in; the link is withheld until then and never carries the participant's name. Transcript and coding progress are tracked on the record.</w:t>
      </w:r>
    </w:p>
    <w:p>
      <w:pPr>
        <w:pStyle w:val="ListParagraph"/>
        <w:numPr>
          <w:ilvl w:val="0"/>
          <w:numId w:val="2"/>
        </w:numPr>
        <w:spacing w:after="60" w:line="276"/>
      </w:pPr>
      <w:r>
        <w:rPr>
          <w:b/>
          <w:bCs/>
        </w:rPr>
        <w:t xml:space="preserve">Document records</w:t>
      </w:r>
      <w:r>
        <w:t xml:space="preserve"> need an authenticity assessment (Verified or Disputed) before they can be Included; an interpretive memo records reasoning. A document is best created by uploading it (</w:t>
      </w:r>
      <w:r>
        <w:rPr>
          <w:b/>
          <w:bCs/>
        </w:rPr>
        <w:t xml:space="preserve">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 xml:space="preserve">Code this document</w:t>
      </w:r>
      <w:r>
        <w:t xml:space="preserve"> opens it with the DOC ID filled in, and </w:t>
      </w:r>
      <w:r>
        <w:rPr>
          <w:b/>
          <w:bCs/>
        </w:rPr>
        <w:t xml:space="preserve">Auto-fill</w:t>
      </w:r>
      <w:r>
        <w:t xml:space="preserve"> has 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pPr>
        <w:spacing w:after="60"/>
      </w:pPr>
    </w:p>
    <w:p>
      <w:pPr>
        <w:pStyle w:val="Heading2"/>
      </w:pPr>
      <w:r>
        <w:t xml:space="preserve">3.13 Monitoring, reports and exports</w:t>
      </w:r>
    </w:p>
    <w:p>
      <w:pPr>
        <w:pStyle w:val="ListParagraph"/>
        <w:numPr>
          <w:ilvl w:val="0"/>
          <w:numId w:val="2"/>
        </w:numPr>
        <w:spacing w:after="60" w:line="276"/>
      </w:pPr>
      <w:r>
        <w:rPr>
          <w:b/>
          <w:bCs/>
        </w:rPr>
        <w:t xml:space="preserve">Dashboards</w:t>
      </w:r>
      <w:r>
        <w:t xml:space="preserve"> give live counts: Executive, Sampling, Contact, QA, KII/Documents, Cost.</w:t>
      </w:r>
    </w:p>
    <w:p>
      <w:pPr>
        <w:pStyle w:val="ListParagraph"/>
        <w:numPr>
          <w:ilvl w:val="0"/>
          <w:numId w:val="2"/>
        </w:numPr>
        <w:spacing w:after="60" w:line="276"/>
      </w:pPr>
      <w:r>
        <w:rPr>
          <w:b/>
          <w:bCs/>
        </w:rPr>
        <w:t xml:space="preserve">Reports</w:t>
      </w:r>
      <w:r>
        <w:t xml:space="preserve"> give analytics with charts and table views over 7, 30, 90 days or all time.</w:t>
      </w:r>
    </w:p>
    <w:p>
      <w:pPr>
        <w:pStyle w:val="ListParagraph"/>
        <w:numPr>
          <w:ilvl w:val="0"/>
          <w:numId w:val="2"/>
        </w:numPr>
        <w:spacing w:after="60" w:line="276"/>
      </w:pPr>
      <w:r>
        <w:rPr>
          <w:b/>
          <w:bCs/>
        </w:rPr>
        <w:t xml:space="preserve">Exports</w:t>
      </w:r>
      <w:r>
        <w:t xml:space="preserve">: a de-identified analysis CSV, a full operational CSV (PI only), and for each KoboToolbox form a complete Excel workbook and a ZIP of PDFs (PI only).</w:t>
      </w:r>
    </w:p>
    <w:p>
      <w:pPr>
        <w:spacing w:after="60"/>
      </w:pPr>
    </w:p>
    <w:p>
      <w:pPr>
        <w:pStyle w:val="Heading2"/>
      </w:pPr>
      <w:r>
        <w:t xml:space="preserve">3.14 Security and privacy controls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How it works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Role-based access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Each account has one of eight roles. The server checks the role on every request; the menu shows only permitted screens. Contact RAs see only their assigned cases.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Secure sign-in</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Encrypted connection (HTTPS). Session tokens are kept in secure browser cookies that page scripts cannot read. Sign-in attempts are rate-limited.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Personal links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Random, expiring, stored only as fingerprints; superseded or revoked links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Signed questionnaire links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submissions launched from the portal are matched to a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Private answers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KoboToolbox answers are stored outside anything the web server publishes.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Separation of identity and answers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Dashboards, Reports and the analysis export never contain names or contact details.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Audit trail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Every sensitive action — consent, invitations, status changes, reserve activation, QA decisions, exports, emails, withdrawals — is recorded with the user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4 hours on the server; encrypted offsite copy to Google Drive once enabled.</w:t>
            </w:r>
          </w:p>
        </w:tc>
      </w:tr>
    </w:tbl>
    <w:p>
      <w:pPr>
        <w:spacing w:after="120"/>
      </w:pPr>
    </w:p>
    <w:p>
      <w:pPr>
        <w:pStyle w:val="Heading1"/>
        <w:pageBreakBefore/>
      </w:pPr>
      <w:r>
        <w:t xml:space="preserve">4. Getting started</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(for example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5. Roles and permissions</w:t>
      </w:r>
    </w:p>
    <w:p>
      <w:pPr>
        <w:spacing w:after="120" w:line="288"/>
      </w:pPr>
      <w:r>
        <w:t xml:space="preserve">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19 screens, including the Audit Log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18 screens — everything except the Audit Log.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17 screens — everything except the Audit Log and Export.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5.1 Who can do what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259"/>
        <w:gridCol w:w="659"/>
        <w:gridCol w:w="659"/>
        <w:gridCol w:w="941"/>
        <w:gridCol w:w="1035"/>
        <w:gridCol w:w="941"/>
        <w:gridCol w:w="941"/>
        <w:gridCol w:w="941"/>
        <w:gridCol w:w="1036"/>
      </w:tblGrid>
      <w:tr>
        <w:trPr>
          <w:tblHeader/>
        </w:trPr>
        <w:tc>
          <w:tcPr>
            <w:tcW w:type="dxa" w:w="2259"/>
            <w:shd w:fill="1B3350" w:color="auto" w:val="clear"/>
            <w:tcMar>
              <w:top w:type="dxa" w:w="70"/>
              <w:left w:type="dxa" w:w="110"/>
              <w:bottom w:type="dxa" w:w="70"/>
              <w:right w:type="dxa" w:w="110"/>
            </w:tcMar>
            <w:vAlign w:val="top"/>
          </w:tcPr>
          <w:p>
            <w:pPr>
              <w:spacing w:after="40"/>
            </w:pPr>
            <w:r>
              <w:rPr>
                <w:b/>
                <w:bCs/>
                <w:color w:val="FFFFFF"/>
                <w:sz w:val="19"/>
                <w:szCs w:val="19"/>
              </w:rPr>
              <w:t xml:space="preserve">Action</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Contact RA</w:t>
            </w:r>
          </w:p>
        </w:tc>
        <w:tc>
          <w:tcPr>
            <w:tcW w:type="dxa" w:w="1035"/>
            <w:shd w:fill="1B3350" w:color="auto" w:val="clear"/>
            <w:tcMar>
              <w:top w:type="dxa" w:w="70"/>
              <w:left w:type="dxa" w:w="110"/>
              <w:bottom w:type="dxa" w:w="70"/>
              <w:right w:type="dxa" w:w="110"/>
            </w:tcMar>
            <w:vAlign w:val="top"/>
          </w:tcPr>
          <w:p>
            <w:pPr>
              <w:spacing w:after="40"/>
            </w:pPr>
            <w:r>
              <w:rPr>
                <w:b/>
                <w:bCs/>
                <w:color w:val="FFFFFF"/>
                <w:sz w:val="19"/>
                <w:szCs w:val="19"/>
              </w:rPr>
              <w:t xml:space="preserve">QA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KII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Doc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Analyst</w:t>
            </w:r>
          </w:p>
        </w:tc>
        <w:tc>
          <w:tcPr>
            <w:tcW w:type="dxa" w:w="1036"/>
            <w:shd w:fill="1B3350" w:color="auto" w:val="clear"/>
            <w:tcMar>
              <w:top w:type="dxa" w:w="70"/>
              <w:left w:type="dxa" w:w="110"/>
              <w:bottom w:type="dxa" w:w="70"/>
              <w:right w:type="dxa" w:w="110"/>
            </w:tcMar>
            <w:vAlign w:val="top"/>
          </w:tcPr>
          <w:p>
            <w:pPr>
              <w:spacing w:after="40"/>
            </w:pPr>
            <w:r>
              <w:rPr>
                <w:b/>
                <w:bCs/>
                <w:color w:val="FFFFFF"/>
                <w:sz w:val="19"/>
                <w:szCs w:val="19"/>
              </w:rPr>
              <w:t xml:space="preserve">Supervisor</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View dashboards &amp; Reports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QA only</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organisations, pair Reserves, assign RAs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Bulk verification</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respondents, invite, log contact</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Send follow-ups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withdrawal</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Activate Reserves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QA decisions &amp; exceptions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KII records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records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Form PDFs (own form)</w:t>
            </w:r>
          </w:p>
        </w:tc>
        <w:tc>
          <w:tcPr>
            <w:tcW w:type="dxa" w:w="659"/>
            <w:tcMar>
              <w:top w:type="dxa" w:w="70"/>
              <w:left w:type="dxa" w:w="110"/>
              <w:bottom w:type="dxa" w:w="70"/>
              <w:right w:type="dxa" w:w="110"/>
            </w:tcMar>
            <w:vAlign w:val="top"/>
          </w:tcPr>
          <w:p>
            <w:pPr>
              <w:spacing w:after="40"/>
            </w:pPr>
            <w:r>
              <w:rPr>
                <w:b w:val="false"/>
                <w:bCs w:val="false"/>
                <w:sz w:val="19"/>
                <w:szCs w:val="19"/>
              </w:rPr>
              <w:t xml:space="preserve">all</w:t>
            </w:r>
          </w:p>
        </w:tc>
        <w:tc>
          <w:tcPr>
            <w:tcW w:type="dxa" w:w="659"/>
            <w:tcMar>
              <w:top w:type="dxa" w:w="70"/>
              <w:left w:type="dxa" w:w="110"/>
              <w:bottom w:type="dxa" w:w="70"/>
              <w:right w:type="dxa" w:w="110"/>
            </w:tcMar>
            <w:vAlign w:val="top"/>
          </w:tcPr>
          <w:p>
            <w:pPr>
              <w:spacing w:after="40"/>
            </w:pPr>
            <w:r>
              <w:rPr>
                <w:b w:val="false"/>
                <w:bCs w:val="false"/>
                <w:sz w:val="19"/>
                <w:szCs w:val="19"/>
              </w:rPr>
              <w:t xml:space="preserve">all</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 Guide</w:t>
            </w:r>
          </w:p>
        </w:tc>
        <w:tc>
          <w:tcPr>
            <w:tcW w:type="dxa" w:w="941"/>
            <w:tcMar>
              <w:top w:type="dxa" w:w="70"/>
              <w:left w:type="dxa" w:w="110"/>
              <w:bottom w:type="dxa" w:w="70"/>
              <w:right w:type="dxa" w:w="110"/>
            </w:tcMar>
            <w:vAlign w:val="top"/>
          </w:tcPr>
          <w:p>
            <w:pPr>
              <w:spacing w:after="40"/>
            </w:pPr>
            <w:r>
              <w:rPr>
                <w:b w:val="false"/>
                <w:bCs w:val="false"/>
                <w:sz w:val="19"/>
                <w:szCs w:val="19"/>
              </w:rPr>
              <w:t xml:space="preserve">Doc Tool</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 all</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Log costs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Analysis export</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Operational export, KoboToolbox data, Audit Log</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1"/>
        <w:pageBreakBefore/>
      </w:pPr>
      <w:r>
        <w:t xml:space="preserve">6. Screen reference</w:t>
      </w:r>
    </w:p>
    <w:p>
      <w:pPr>
        <w:spacing w:after="120" w:line="288"/>
      </w:pPr>
      <w:r>
        <w:t xml:space="preserve">Every screen in the Research Operations Centre, in menu order.</w:t>
      </w:r>
    </w:p>
    <w:p>
      <w:pPr>
        <w:pStyle w:val="Heading2"/>
      </w:pPr>
      <w:r>
        <w:t xml:space="preserve">6.1 Executive, Sampling and Contact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keepNext/>
        <w:spacing w:after="40" w:before="80"/>
        <w:jc w:val="center"/>
      </w:pPr>
      <w:r>
        <w:drawing>
          <wp:inline distT="0" distB="0" distL="0" distR="0">
            <wp:extent cx="5715000" cy="3571875"/>
            <wp:effectExtent t="0" r="0" b="0" l="0"/>
            <wp:docPr id="1"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Sampling Dashboard.</w:t>
      </w:r>
    </w:p>
    <w:p>
      <w:pPr>
        <w:keepNext/>
        <w:spacing w:after="40" w:before="80"/>
        <w:jc w:val="center"/>
      </w:pPr>
      <w:r>
        <w:drawing>
          <wp:inline distT="0" distB="0" distL="0" distR="0">
            <wp:extent cx="5715000" cy="2324100"/>
            <wp:effectExtent t="0" r="0" b="0" l="0"/>
            <wp:docPr id="1"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241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Dashboard.</w:t>
      </w:r>
    </w:p>
    <w:p>
      <w:pPr>
        <w:pStyle w:val="Heading2"/>
      </w:pPr>
      <w:r>
        <w:t xml:space="preserve">6.2 Reports</w:t>
      </w:r>
    </w:p>
    <w:p>
      <w:pPr>
        <w:spacing w:after="120" w:line="288"/>
      </w:pPr>
      <w:r>
        <w:t xml:space="preserve">Fieldwork analytics for the PI, Field Coordinator, Analyst and Supervisor. See procedure 7.2.</w:t>
      </w:r>
    </w:p>
    <w:p>
      <w:pPr>
        <w:keepNext/>
        <w:spacing w:after="40" w:before="80"/>
        <w:jc w:val="center"/>
      </w:pPr>
      <w:r>
        <w:drawing>
          <wp:inline distT="0" distB="0" distL="0" distR="0">
            <wp:extent cx="5715000" cy="3952875"/>
            <wp:effectExtent t="0" r="0" b="0" l="0"/>
            <wp:docPr id="1"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5287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Where Main cases are in the workflow.</w:t>
      </w:r>
    </w:p>
    <w:p>
      <w:pPr>
        <w:pStyle w:val="Heading2"/>
      </w:pPr>
      <w:r>
        <w:t xml:space="preserve">6.3 QA Dashboard</w:t>
      </w:r>
    </w:p>
    <w:p>
      <w:pPr>
        <w:keepNext/>
        <w:spacing w:after="40" w:before="80"/>
        <w:jc w:val="center"/>
      </w:pPr>
      <w:r>
        <w:drawing>
          <wp:inline distT="0" distB="0" distL="0" distR="0">
            <wp:extent cx="5715000" cy="2505075"/>
            <wp:effectExtent t="0" r="0" b="0" l="0"/>
            <wp:docPr id="1"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QA Dashboard with Refresh and Open QA queue.</w:t>
      </w:r>
    </w:p>
    <w:p>
      <w:pPr>
        <w:pStyle w:val="Heading2"/>
      </w:pPr>
      <w:r>
        <w:t xml:space="preserve">6.4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KII / Document Dashboard.</w:t>
      </w:r>
    </w:p>
    <w:p>
      <w:pPr>
        <w:pStyle w:val="Heading2"/>
      </w:pPr>
      <w:r>
        <w:t xml:space="preserve">6.5 Main-400 Register</w:t>
      </w:r>
    </w:p>
    <w:p>
      <w:pPr>
        <w:spacing w:after="120" w:line="288"/>
      </w:pPr>
      <w:r>
        <w:t xml:space="preserve">Every Main case (or, with </w:t>
      </w:r>
      <w:r>
        <w:rPr>
          <w:b/>
          <w:bCs/>
        </w:rPr>
        <w:t xml:space="preserve">Sample type → Reserve</w:t>
      </w:r>
      <w:r>
        <w:t xml:space="preserve">, every Reserve), with Sample ID, Master ID, organisation and status. Search by Sample ID, Master ID or name. </w:t>
      </w:r>
      <w:r>
        <w:rPr>
          <w:b/>
          <w:bCs/>
        </w:rPr>
        <w:t xml:space="preserve">View</w:t>
      </w:r>
      <w:r>
        <w:t xml:space="preserve"> opens the case page. The PI and Field Coordinator also see </w:t>
      </w:r>
      <w:r>
        <w:rPr>
          <w:b/>
          <w:bCs/>
        </w:rPr>
        <w:t xml:space="preserve">Register organisation</w:t>
      </w:r>
      <w:r>
        <w:t xml:space="preserve"> and the bulk verification tool.</w:t>
      </w:r>
    </w:p>
    <w:p>
      <w:pPr>
        <w:keepNext/>
        <w:spacing w:after="40" w:before="80"/>
        <w:jc w:val="center"/>
      </w:pPr>
      <w:r>
        <w:drawing>
          <wp:inline distT="0" distB="0" distL="0" distR="0">
            <wp:extent cx="5715000" cy="3571875"/>
            <wp:effectExtent t="0" r="0" b="0" l="0"/>
            <wp:docPr id="1"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Main-400 Register.</w:t>
      </w:r>
    </w:p>
    <w:p>
      <w:pPr>
        <w:pStyle w:val="Heading2"/>
      </w:pPr>
      <w:r>
        <w:t xml:space="preserve">6.6 Case page</w:t>
      </w:r>
    </w:p>
    <w:p>
      <w:pPr>
        <w:spacing w:after="120" w:line="288"/>
      </w:pPr>
      <w:r>
        <w:t xml:space="preserve">The working screen for one organisation. From top to bottom: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012"/>
        <w:gridCol w:w="6400"/>
      </w:tblGrid>
      <w:tr>
        <w:trPr>
          <w:tblHeader/>
        </w:trPr>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Panel</w:t>
            </w:r>
          </w:p>
        </w:tc>
        <w:tc>
          <w:tcPr>
            <w:tcW w:type="dxa" w:w="6400"/>
            <w:shd w:fill="1B3350" w:color="auto" w:val="clear"/>
            <w:tcMar>
              <w:top w:type="dxa" w:w="70"/>
              <w:left w:type="dxa" w:w="110"/>
              <w:bottom w:type="dxa" w:w="70"/>
              <w:right w:type="dxa" w:w="110"/>
            </w:tcMar>
            <w:vAlign w:val="top"/>
          </w:tcPr>
          <w:p>
            <w:pPr>
              <w:spacing w:after="40"/>
            </w:pPr>
            <w:r>
              <w:rPr>
                <w:b/>
                <w:bCs/>
                <w:color w:val="FFFFFF"/>
                <w:sz w:val="19"/>
                <w:szCs w:val="19"/>
              </w:rPr>
              <w:t xml:space="preserve">Purpose</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Case summary</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Organisation, Sample ID, Master ID, stratum, type and status.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Who owns the case (PI/FC can change it).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The Reserve that would replace it.</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facts with sources; lock for use with the respondent.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Respondents and contact details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People at the organisation, their role, eligibility and contact details.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Issue links and send them with a ready-written message by WhatsApp, SMS or email (from the study address or your own mail app); reissue and revoke; invitation history.</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Completed questionnaire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The KoboToolbox submission(s) for this case, with Download PDF.</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withdrawal</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One action for a participant who withdraws (PI/FC).</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Advance workflow status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Allowed manual status changes.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timeline</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contact attempt; log a new one.</w:t>
            </w:r>
          </w:p>
        </w:tc>
      </w:tr>
    </w:tbl>
    <w:p>
      <w:pPr>
        <w:spacing w:after="120"/>
      </w:pPr>
    </w:p>
    <w:p>
      <w:pPr>
        <w:keepNext/>
        <w:spacing w:after="40" w:before="80"/>
        <w:jc w:val="center"/>
      </w:pPr>
      <w:r>
        <w:drawing>
          <wp:inline distT="0" distB="0" distL="0" distR="0">
            <wp:extent cx="5715000" cy="3571875"/>
            <wp:effectExtent t="0" r="0" b="0" l="0"/>
            <wp:docPr id="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Top of a case page.</w:t>
      </w:r>
    </w:p>
    <w:p>
      <w:pPr>
        <w:keepNext/>
        <w:spacing w:after="40" w:before="80"/>
        <w:jc w:val="center"/>
      </w:pPr>
      <w:r>
        <w:drawing>
          <wp:inline distT="0" distB="0" distL="0" distR="0">
            <wp:extent cx="5715000" cy="666750"/>
            <wp:effectExtent t="0" r="0" b="0" l="0"/>
            <wp:docPr id="1"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6667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Completed questionnaire panel on a QA-passed case.</w:t>
      </w:r>
    </w:p>
    <w:p>
      <w:pPr>
        <w:pStyle w:val="Heading2"/>
      </w:pPr>
      <w:r>
        <w:t xml:space="preserve">6.7 Organisations</w:t>
      </w:r>
    </w:p>
    <w:p>
      <w:pPr>
        <w:spacing w:after="120" w:line="288"/>
      </w:pPr>
      <w:r>
        <w:t xml:space="preserve">Register a new organisation and create its sample case; search the list of registered organisations. See procedure 7.3.</w:t>
      </w:r>
    </w:p>
    <w:p>
      <w:pPr>
        <w:pStyle w:val="Heading2"/>
      </w:pPr>
      <w:r>
        <w:t xml:space="preserve">6.8 Appointments</w:t>
      </w:r>
    </w:p>
    <w:p>
      <w:pPr>
        <w:keepNext/>
        <w:spacing w:after="40" w:before="80"/>
        <w:jc w:val="center"/>
      </w:pPr>
      <w:r>
        <w:drawing>
          <wp:inline distT="0" distB="0" distL="0" distR="0">
            <wp:extent cx="5715000" cy="2857500"/>
            <wp:effectExtent t="0" r="0" b="0" l="0"/>
            <wp:docPr id="1"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8575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Appointment Queue.</w:t>
      </w:r>
    </w:p>
    <w:p>
      <w:pPr>
        <w:pStyle w:val="Heading2"/>
      </w:pPr>
      <w:r>
        <w:t xml:space="preserve">6.9 Follow-ups</w:t>
      </w:r>
    </w:p>
    <w:p>
      <w:pPr>
        <w:keepNext/>
        <w:spacing w:after="40" w:before="80"/>
        <w:jc w:val="center"/>
      </w:pPr>
      <w:r>
        <w:drawing>
          <wp:inline distT="0" distB="0" distL="0" distR="0">
            <wp:extent cx="5715000" cy="3571875"/>
            <wp:effectExtent t="0" r="0" b="0" l="0"/>
            <wp:docPr id="1"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Follow-ups due.</w:t>
      </w:r>
    </w:p>
    <w:p>
      <w:pPr>
        <w:pStyle w:val="Heading2"/>
      </w:pPr>
      <w:r>
        <w:t xml:space="preserve">6.10 Form PDFs</w:t>
      </w:r>
    </w:p>
    <w:p>
      <w:pPr>
        <w:spacing w:after="120" w:line="288"/>
      </w:pPr>
      <w:r>
        <w:t xml:space="preserve">Completed KoboToolbox forms for your role's form, newest first. The PI, Field Coordinator and Supervisor choose the form from </w:t>
      </w:r>
      <w:r>
        <w:rPr>
          <w:b/>
          <w:bCs/>
        </w:rPr>
        <w:t xml:space="preserve">Form</w:t>
      </w:r>
      <w:r>
        <w:t xml:space="preserve">. A panel at the top shows whether the portal and KoboToolbox hold the same number of submissions, and </w:t>
      </w:r>
      <w:r>
        <w:rPr>
          <w:b/>
          <w:bCs/>
        </w:rPr>
        <w:t xml:space="preserve">Sync now</w:t>
      </w:r>
      <w:r>
        <w:t xml:space="preserve"> brings the portal's copy level. The PI also has </w:t>
      </w:r>
      <w:r>
        <w:rPr>
          <w:b/>
          <w:bCs/>
        </w:rPr>
        <w:t xml:space="preserve">Excel workbook</w:t>
      </w:r>
      <w:r>
        <w:t xml:space="preserve"> and </w:t>
      </w:r>
      <w:r>
        <w:rPr>
          <w:b/>
          <w:bCs/>
        </w:rPr>
        <w:t xml:space="preserve">All as PDFs (ZIP)</w:t>
      </w:r>
      <w:r>
        <w:t xml:space="preserve"> buttons here.</w:t>
      </w:r>
    </w:p>
    <w:p>
      <w:pPr>
        <w:keepNext/>
        <w:spacing w:after="40" w:before="80"/>
        <w:jc w:val="center"/>
      </w:pPr>
      <w:r>
        <w:drawing>
          <wp:inline distT="0" distB="0" distL="0" distR="0">
            <wp:extent cx="5715000" cy="3571875"/>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Completed form PDFs.</w:t>
      </w:r>
    </w:p>
    <w:p>
      <w:pPr>
        <w:pStyle w:val="Heading2"/>
      </w:pPr>
      <w:r>
        <w:t xml:space="preserve">6.11 QA Queue and QA Exceptions</w:t>
      </w:r>
    </w:p>
    <w:p>
      <w:pPr>
        <w:spacing w:after="120" w:line="288"/>
      </w:pPr>
      <w:r>
        <w:t xml:space="preserve">See procedures 7.13 and 7.14.</w:t>
      </w:r>
    </w:p>
    <w:p>
      <w:pPr>
        <w:pStyle w:val="Heading2"/>
      </w:pPr>
      <w:r>
        <w:t xml:space="preserve">6.12 KII Register and KII record</w:t>
      </w:r>
    </w:p>
    <w:p>
      <w:pPr>
        <w:spacing w:after="120" w:line="288"/>
      </w:pPr>
      <w:r>
        <w:t xml:space="preserve">See procedure 7.16.</w:t>
      </w:r>
    </w:p>
    <w:p>
      <w:pPr>
        <w:pStyle w:val="Heading2"/>
      </w:pPr>
      <w:r>
        <w:t xml:space="preserve">6.13 Documents and document record</w:t>
      </w:r>
    </w:p>
    <w:p>
      <w:pPr>
        <w:spacing w:after="120" w:line="288"/>
      </w:pPr>
      <w:r>
        <w:t xml:space="preserve">See procedure 7.17.</w:t>
      </w:r>
    </w:p>
    <w:p>
      <w:pPr>
        <w:pStyle w:val="Heading2"/>
      </w:pPr>
      <w:r>
        <w:t xml:space="preserve">6.14 Reserve Activation, Cost, Audit Log, Export, Change password</w:t>
      </w:r>
    </w:p>
    <w:p>
      <w:pPr>
        <w:spacing w:after="120" w:line="288"/>
      </w:pPr>
      <w:r>
        <w:t xml:space="preserve">See procedures 7.12, 7.18, 7.20, 7.19 and chapter 4.</w:t>
      </w:r>
    </w:p>
    <w:p>
      <w:pPr>
        <w:pStyle w:val="Heading1"/>
        <w:pageBreakBefore/>
      </w:pPr>
      <w:r>
        <w:t xml:space="preserve">7. Procedures, step by step</w:t>
      </w:r>
    </w:p>
    <w:p>
      <w:pPr>
        <w:spacing w:after="120" w:line="288"/>
      </w:pPr>
      <w:r>
        <w:t xml:space="preserve">Each procedure lists who may do it. Screens you cannot open are not in your menu.</w:t>
      </w:r>
    </w:p>
    <w:p>
      <w:pPr>
        <w:pStyle w:val="Heading2"/>
      </w:pPr>
      <w:r>
        <w:t xml:space="preserve">7.1 Dashboards (all monitoring roles)</w:t>
      </w:r>
    </w:p>
    <w:p>
      <w:pPr>
        <w:spacing w:after="120" w:line="288"/>
      </w:pPr>
      <w:r>
        <w:t xml:space="preserve">Open any dashboard from the top bar; see 6.1.</w:t>
      </w:r>
    </w:p>
    <w:p>
      <w:pPr>
        <w:pStyle w:val="Heading2"/>
      </w:pPr>
      <w:r>
        <w:t xml:space="preserve">7.2 Reports (PI, FC, Analyst, Supervisor)</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7.3 Registering an organisation (PI, FC)</w:t>
      </w:r>
    </w:p>
    <w:p>
      <w:pPr>
        <w:spacing w:after="120" w:line="288"/>
      </w:pPr>
      <w:r>
        <w:t xml:space="preserve">The approved registers are already loaded. Use this only for a late addition, replacement or correction.</w:t>
      </w:r>
    </w:p>
    <w:p>
      <w:pPr>
        <w:pStyle w:val="ListParagraph"/>
        <w:numPr>
          <w:ilvl w:val="0"/>
          <w:numId w:val="6"/>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Register Organisation: the form (top) and the list of registered organisations (below).</w:t>
      </w:r>
    </w:p>
    <w:p>
      <w:pPr>
        <w:pStyle w:val="ListParagraph"/>
        <w:numPr>
          <w:ilvl w:val="0"/>
          <w:numId w:val="6"/>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6"/>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6"/>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6"/>
        </w:numPr>
        <w:spacing w:after="80" w:line="276"/>
      </w:pPr>
      <w:r>
        <w:t xml:space="preserve">For a Main case, register its Reserve counterpart in the </w:t>
      </w:r>
      <w:r>
        <w:rPr>
          <w:b/>
          <w:bCs/>
        </w:rPr>
        <w:t xml:space="preserve">same province, actor family and size class</w:t>
      </w:r>
      <w:r>
        <w:t xml:space="preserve">, then pair them (next procedure).</w:t>
      </w:r>
    </w:p>
    <w:p>
      <w:pPr>
        <w:spacing w:after="80"/>
      </w:pPr>
    </w:p>
    <w:p>
      <w:pPr>
        <w:pStyle w:val="Heading2"/>
      </w:pPr>
      <w:r>
        <w:t xml:space="preserve">7.4 Pairing a Reserve and assigning a Contact RA (PI, FC)</w:t>
      </w:r>
    </w:p>
    <w:p>
      <w:pPr>
        <w:pStyle w:val="ListParagraph"/>
        <w:numPr>
          <w:ilvl w:val="0"/>
          <w:numId w:val="7"/>
        </w:numPr>
        <w:spacing w:after="80" w:line="276"/>
      </w:pPr>
      <w:r>
        <w:t xml:space="preserve">Open the Main case (</w:t>
      </w:r>
      <w:r>
        <w:rPr>
          <w:b/>
          <w:bCs/>
        </w:rPr>
        <w:t xml:space="preserve">Main-400 Register → View</w:t>
      </w:r>
      <w:r>
        <w:t xml:space="preserve">).</w:t>
      </w:r>
    </w:p>
    <w:p>
      <w:pPr>
        <w:pStyle w:val="ListParagraph"/>
        <w:numPr>
          <w:ilvl w:val="0"/>
          <w:numId w:val="7"/>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Assigned Contact RA.</w:t>
      </w:r>
    </w:p>
    <w:p>
      <w:pPr>
        <w:pStyle w:val="ListParagraph"/>
        <w:numPr>
          <w:ilvl w:val="0"/>
          <w:numId w:val="7"/>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Matched Reserve case.</w:t>
      </w:r>
    </w:p>
    <w:p>
      <w:pPr>
        <w:spacing w:after="80"/>
      </w:pPr>
    </w:p>
    <w:p>
      <w:pPr>
        <w:pStyle w:val="Heading2"/>
      </w:pPr>
      <w:r>
        <w:t xml:space="preserve">7.5 Bulk verification to S03 (PI, FC)</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8"/>
        </w:numPr>
        <w:spacing w:after="80" w:line="276"/>
      </w:pPr>
      <w:r>
        <w:t xml:space="preserve">Open </w:t>
      </w:r>
      <w:r>
        <w:rPr>
          <w:b/>
          <w:bCs/>
        </w:rPr>
        <w:t xml:space="preserve">Main-400 Register</w:t>
      </w:r>
      <w:r>
        <w:t xml:space="preserve">.</w:t>
      </w:r>
    </w:p>
    <w:p>
      <w:pPr>
        <w:pStyle w:val="ListParagraph"/>
        <w:numPr>
          <w:ilvl w:val="0"/>
          <w:numId w:val="8"/>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The bulk verification tool on the register.</w:t>
      </w:r>
    </w:p>
    <w:p>
      <w:pPr>
        <w:pStyle w:val="ListParagraph"/>
        <w:numPr>
          <w:ilvl w:val="0"/>
          <w:numId w:val="8"/>
        </w:numPr>
        <w:spacing w:after="80" w:line="276"/>
      </w:pPr>
      <w:r>
        <w:t xml:space="preserve">Select the button and confirm. Each case is moved individually and each move is written to the audit log under your name.</w:t>
      </w:r>
    </w:p>
    <w:p>
      <w:pPr>
        <w:pStyle w:val="ListParagraph"/>
        <w:numPr>
          <w:ilvl w:val="0"/>
          <w:numId w:val="8"/>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7.6 Recording respondents and contact details (PI, FC, Contact RA)</w:t>
      </w:r>
    </w:p>
    <w:p>
      <w:pPr>
        <w:spacing w:after="120" w:line="288"/>
      </w:pPr>
      <w:r>
        <w:t xml:space="preserve">Invitations and reminders need a phone or WhatsApp number. Record the eligible person as soon as they are identified.</w:t>
      </w:r>
    </w:p>
    <w:p>
      <w:pPr>
        <w:pStyle w:val="ListParagraph"/>
        <w:numPr>
          <w:ilvl w:val="0"/>
          <w:numId w:val="9"/>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9"/>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Adding a person to a case.</w:t>
      </w:r>
    </w:p>
    <w:p>
      <w:pPr>
        <w:pStyle w:val="ListParagraph"/>
        <w:numPr>
          <w:ilvl w:val="0"/>
          <w:numId w:val="9"/>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9"/>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9"/>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7.7 Sending an invitation (PI, FC, Contact RA)</w:t>
      </w:r>
    </w:p>
    <w:p>
      <w:pPr>
        <w:pStyle w:val="ListParagraph"/>
        <w:numPr>
          <w:ilvl w:val="0"/>
          <w:numId w:val="10"/>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0"/>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Invitations panel before sending, with the history of earlier invitations.</w:t>
      </w:r>
    </w:p>
    <w:p>
      <w:pPr>
        <w:pStyle w:val="ListParagraph"/>
        <w:numPr>
          <w:ilvl w:val="0"/>
          <w:numId w:val="10"/>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The link, manual code and ready-written messages are shown once, with a send button for each channel.</w:t>
      </w:r>
    </w:p>
    <w:p>
      <w:pPr>
        <w:pStyle w:val="ListParagraph"/>
        <w:numPr>
          <w:ilvl w:val="0"/>
          <w:numId w:val="10"/>
        </w:numPr>
        <w:spacing w:after="80" w:line="276"/>
      </w:pPr>
      <w:r>
        <w:t xml:space="preserve">Send it on the channel that suits the respondent:</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abffst.research.cut@gmail.com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0"/>
          <w:numId w:val="10"/>
        </w:numPr>
        <w:spacing w:after="80" w:line="276"/>
      </w:pPr>
      <w:r>
        <w:t xml:space="preserve">If a button says no number or email is on file, add it under </w:t>
      </w:r>
      <w:r>
        <w:rPr>
          <w:b/>
          <w:bCs/>
        </w:rPr>
        <w:t xml:space="preserve">Respondents and contact details</w:t>
      </w:r>
      <w:r>
        <w:t xml:space="preserve">, then send a new invitation.</w:t>
      </w:r>
    </w:p>
    <w:p>
      <w:pPr>
        <w:pStyle w:val="ListParagraph"/>
        <w:numPr>
          <w:ilvl w:val="0"/>
          <w:numId w:val="10"/>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7.8 Logging a contact attempt (PI, FC, Contact RA)</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11"/>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Contact timeline and the form for logging an attempt.</w:t>
      </w:r>
    </w:p>
    <w:p>
      <w:pPr>
        <w:pStyle w:val="ListParagraph"/>
        <w:numPr>
          <w:ilvl w:val="0"/>
          <w:numId w:val="11"/>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11"/>
        </w:numPr>
        <w:spacing w:after="80" w:line="276"/>
      </w:pPr>
      <w:r>
        <w:t xml:space="preserve">Add a short, factual note (optional), e.g. "PA says MD travelling; call back Thursday". Do not record opinions about the person.</w:t>
      </w:r>
    </w:p>
    <w:p>
      <w:pPr>
        <w:pStyle w:val="ListParagraph"/>
        <w:numPr>
          <w:ilvl w:val="0"/>
          <w:numId w:val="11"/>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7.9 Sending follow-up reminders (PI, FC, Contact RA)</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Until automatic WhatsApp sending is connected, a person sends each one.</w:t>
      </w:r>
    </w:p>
    <w:p>
      <w:pPr>
        <w:pStyle w:val="ListParagraph"/>
        <w:numPr>
          <w:ilvl w:val="0"/>
          <w:numId w:val="12"/>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Follow-ups due. Contact RAs see only their own cases.</w:t>
      </w:r>
    </w:p>
    <w:p>
      <w:pPr>
        <w:pStyle w:val="ListParagraph"/>
        <w:numPr>
          <w:ilvl w:val="0"/>
          <w:numId w:val="12"/>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the button reads </w:t>
      </w:r>
      <w:r>
        <w:rPr>
          <w:b/>
          <w:bCs/>
        </w:rPr>
        <w:t xml:space="preserve">Open WhatsApp (choose contact)</w:t>
      </w:r>
      <w:r>
        <w:t xml:space="preserve"> — pick the chat yourself, and add the number to the case afterwards.</w:t>
      </w:r>
    </w:p>
    <w:p>
      <w:pPr>
        <w:pStyle w:val="ListParagraph"/>
        <w:numPr>
          <w:ilvl w:val="0"/>
          <w:numId w:val="12"/>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pPr>
        <w:pStyle w:val="Heading2"/>
      </w:pPr>
      <w:r>
        <w:t xml:space="preserve">7.10 Managing appointments (PI, FC, Contact RA)</w:t>
      </w:r>
    </w:p>
    <w:p>
      <w:pPr>
        <w:pStyle w:val="ListParagraph"/>
        <w:numPr>
          <w:ilvl w:val="0"/>
          <w:numId w:val="13"/>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Appointment Queue.</w:t>
      </w:r>
    </w:p>
    <w:p>
      <w:pPr>
        <w:pStyle w:val="ListParagraph"/>
        <w:numPr>
          <w:ilvl w:val="0"/>
          <w:numId w:val="13"/>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3"/>
        </w:numPr>
        <w:spacing w:after="80" w:line="276"/>
      </w:pPr>
      <w:r>
        <w:t xml:space="preserve">Contact the respondent to confirm, then select </w:t>
      </w:r>
      <w:r>
        <w:rPr>
          <w:b/>
          <w:bCs/>
        </w:rPr>
        <w:t xml:space="preserve">CONFIRMED</w:t>
      </w:r>
      <w:r>
        <w:t xml:space="preserve">.</w:t>
      </w:r>
    </w:p>
    <w:p>
      <w:pPr>
        <w:pStyle w:val="ListParagraph"/>
        <w:numPr>
          <w:ilvl w:val="0"/>
          <w:numId w:val="13"/>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pStyle w:val="Heading2"/>
      </w:pPr>
      <w:r>
        <w:t xml:space="preserve">7.11 Assisted administration (RAs)</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4"/>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4"/>
        </w:numPr>
        <w:spacing w:after="80" w:line="276"/>
      </w:pPr>
      <w:r>
        <w:t xml:space="preserve">At the start of the call, confirm the organisation and the person's role, read or summarise the Participant Information Sheet (v1.3) and ask for consent. Stop if they decline.</w:t>
      </w:r>
    </w:p>
    <w:p>
      <w:pPr>
        <w:pStyle w:val="ListParagraph"/>
        <w:numPr>
          <w:ilvl w:val="0"/>
          <w:numId w:val="14"/>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4"/>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4"/>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7.12 Activating a Reserve (PI, FC)</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15"/>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Reserve Activation.</w:t>
      </w:r>
    </w:p>
    <w:p>
      <w:pPr>
        <w:pStyle w:val="ListParagraph"/>
        <w:numPr>
          <w:ilvl w:val="0"/>
          <w:numId w:val="15"/>
        </w:numPr>
        <w:spacing w:after="80" w:line="276"/>
      </w:pPr>
      <w:r>
        <w:t xml:space="preserve">Find the Reserve matched to the dropped Main case (the Main case page shows the pairing).</w:t>
      </w:r>
    </w:p>
    <w:p>
      <w:pPr>
        <w:pStyle w:val="ListParagraph"/>
        <w:numPr>
          <w:ilvl w:val="0"/>
          <w:numId w:val="15"/>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15"/>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15"/>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7.13 QA review (PI, FC, QA RA)</w:t>
      </w:r>
    </w:p>
    <w:p>
      <w:pPr>
        <w:pStyle w:val="ListParagraph"/>
        <w:numPr>
          <w:ilvl w:val="0"/>
          <w:numId w:val="16"/>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QUAN QA Queue with the KoboToolbox sync panel.</w:t>
      </w:r>
    </w:p>
    <w:p>
      <w:pPr>
        <w:pStyle w:val="ListParagraph"/>
        <w:numPr>
          <w:ilvl w:val="0"/>
          <w:numId w:val="16"/>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6"/>
        </w:numPr>
        <w:spacing w:after="80" w:line="276"/>
      </w:pPr>
      <w:r>
        <w:t xml:space="preserve">Check it against the QA rules (table below) and any open QA exception for that case.</w:t>
      </w:r>
    </w:p>
    <w:p>
      <w:pPr>
        <w:pStyle w:val="ListParagraph"/>
        <w:numPr>
          <w:ilvl w:val="0"/>
          <w:numId w:val="16"/>
        </w:numPr>
        <w:spacing w:after="80" w:line="276"/>
      </w:pPr>
      <w:r>
        <w:t xml:space="preserve">Write a </w:t>
      </w:r>
      <w:r>
        <w:rPr>
          <w:b/>
          <w:bCs/>
        </w:rPr>
        <w:t xml:space="preserve">Note (required)</w:t>
      </w:r>
      <w:r>
        <w:t xml:space="preserve"> explaining your decision.</w:t>
      </w:r>
    </w:p>
    <w:p>
      <w:pPr>
        <w:pStyle w:val="ListParagraph"/>
        <w:numPr>
          <w:ilvl w:val="0"/>
          <w:numId w:val="16"/>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7.14 QA exceptions (PI, FC, QA RA)</w:t>
      </w:r>
    </w:p>
    <w:p>
      <w:pPr>
        <w:pStyle w:val="ListParagraph"/>
        <w:numPr>
          <w:ilvl w:val="0"/>
          <w:numId w:val="17"/>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QA Exception Queue.</w:t>
      </w:r>
    </w:p>
    <w:p>
      <w:pPr>
        <w:pStyle w:val="ListParagraph"/>
        <w:numPr>
          <w:ilvl w:val="0"/>
          <w:numId w:val="17"/>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7"/>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7"/>
        </w:numPr>
        <w:spacing w:after="80" w:line="276"/>
      </w:pPr>
      <w:r>
        <w:t xml:space="preserve">Investigate: open the form PDF, check the case timeline, contact the respondent if needed.</w:t>
      </w:r>
    </w:p>
    <w:p>
      <w:pPr>
        <w:pStyle w:val="ListParagraph"/>
        <w:numPr>
          <w:ilvl w:val="0"/>
          <w:numId w:val="17"/>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7.15 Form PDFs and emailing (PI, FC, QA/KII/Doc RA)</w:t>
      </w:r>
    </w:p>
    <w:p>
      <w:pPr>
        <w:pStyle w:val="ListParagraph"/>
        <w:numPr>
          <w:ilvl w:val="0"/>
          <w:numId w:val="18"/>
        </w:numPr>
        <w:spacing w:after="80" w:line="276"/>
      </w:pPr>
      <w:r>
        <w:t xml:space="preserve">Select </w:t>
      </w:r>
      <w:r>
        <w:rPr>
          <w:b/>
          <w:bCs/>
        </w:rPr>
        <w:t xml:space="preserve">Form PDFs</w:t>
      </w:r>
      <w:r>
        <w:t xml:space="preserve">. You see the completed form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Completed form PDFs.</w:t>
      </w:r>
    </w:p>
    <w:p>
      <w:pPr>
        <w:pStyle w:val="ListParagraph"/>
        <w:numPr>
          <w:ilvl w:val="0"/>
          <w:numId w:val="18"/>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8"/>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18"/>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7.16 KII records (PI, FC, KII RA)</w:t>
      </w:r>
    </w:p>
    <w:p>
      <w:pPr>
        <w:pStyle w:val="ListParagraph"/>
        <w:numPr>
          <w:ilvl w:val="0"/>
          <w:numId w:val="19"/>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New KII Record.</w:t>
      </w:r>
    </w:p>
    <w:p>
      <w:pPr>
        <w:pStyle w:val="ListParagraph"/>
        <w:numPr>
          <w:ilvl w:val="0"/>
          <w:numId w:val="19"/>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7.16a Taking a KII from invitation to coded transcript</w:t>
      </w:r>
    </w:p>
    <w:p>
      <w:pPr>
        <w:pStyle w:val="ListParagraph"/>
        <w:numPr>
          <w:ilvl w:val="0"/>
          <w:numId w:val="20"/>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KII Register.</w:t>
      </w:r>
    </w:p>
    <w:p>
      <w:pPr>
        <w:pStyle w:val="ListParagraph"/>
        <w:numPr>
          <w:ilvl w:val="0"/>
          <w:numId w:val="20"/>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KII record: status, consent, transcript and coding.</w:t>
      </w:r>
    </w:p>
    <w:p>
      <w:pPr>
        <w:pStyle w:val="ListParagraph"/>
        <w:numPr>
          <w:ilvl w:val="0"/>
          <w:numId w:val="20"/>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0"/>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0"/>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0"/>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7.16b Opening the KII Guide with the KII ID filled in</w:t>
      </w:r>
    </w:p>
    <w:p>
      <w:pPr>
        <w:pStyle w:val="ListParagraph"/>
        <w:numPr>
          <w:ilvl w:val="0"/>
          <w:numId w:val="21"/>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Before consent: no interview link.</w:t>
      </w:r>
    </w:p>
    <w:p>
      <w:pPr>
        <w:pStyle w:val="ListParagraph"/>
        <w:numPr>
          <w:ilvl w:val="0"/>
          <w:numId w:val="21"/>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After consent: Continue this interview.</w:t>
      </w:r>
    </w:p>
    <w:p>
      <w:pPr>
        <w:pStyle w:val="ListParagraph"/>
        <w:numPr>
          <w:ilvl w:val="0"/>
          <w:numId w:val="21"/>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7.17 Document records (PI, FC, Documentary RA)</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22"/>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New document: upload the file and let the AI do the rest.</w:t>
      </w:r>
    </w:p>
    <w:p>
      <w:pPr>
        <w:pStyle w:val="ListParagraph"/>
        <w:numPr>
          <w:ilvl w:val="0"/>
          <w:numId w:val="22"/>
        </w:numPr>
        <w:spacing w:after="80" w:line="276"/>
      </w:pPr>
      <w:r>
        <w:t xml:space="preserve">Choose the file: a PDF, a Word (.docx) or Excel (.xlsx) file, a text or CSV file, or a JPG or PNG scan or photo (up to 20 MB). Nothing else is required.</w:t>
      </w:r>
    </w:p>
    <w:p>
      <w:pPr>
        <w:pStyle w:val="ListParagraph"/>
        <w:numPr>
          <w:ilvl w:val="0"/>
          <w:numId w:val="22"/>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22"/>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22"/>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22"/>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22"/>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7.17a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23"/>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Copy for another chapter: pages, and an optional title.</w:t>
      </w:r>
    </w:p>
    <w:p>
      <w:pPr>
        <w:pStyle w:val="ListParagraph"/>
        <w:numPr>
          <w:ilvl w:val="0"/>
          <w:numId w:val="23"/>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23"/>
        </w:numPr>
        <w:spacing w:after="80" w:line="276"/>
      </w:pPr>
      <w:r>
        <w:t xml:space="preserve">With AI drafting on, the new record's review screen opens and the AI starts drafting that chapter. Review, save and submit it as usual.</w:t>
      </w:r>
    </w:p>
    <w:p>
      <w:pPr>
        <w:pStyle w:val="ListParagraph"/>
        <w:numPr>
          <w:ilvl w:val="0"/>
          <w:numId w:val="23"/>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7.17b Adding a document by hand</w:t>
      </w:r>
    </w:p>
    <w:p>
      <w:pPr>
        <w:pStyle w:val="ListParagraph"/>
        <w:numPr>
          <w:ilvl w:val="0"/>
          <w:numId w:val="24"/>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24"/>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7.17c Correcting a record's details</w:t>
      </w:r>
    </w:p>
    <w:p>
      <w:pPr>
        <w:pStyle w:val="ListParagraph"/>
        <w:numPr>
          <w:ilvl w:val="0"/>
          <w:numId w:val="25"/>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Record details: the details the AI filled in, ready to check.</w:t>
      </w:r>
    </w:p>
    <w:p>
      <w:pPr>
        <w:pStyle w:val="ListParagraph"/>
        <w:numPr>
          <w:ilvl w:val="0"/>
          <w:numId w:val="25"/>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7.17d Attaching the source file, and removing a wrong one</w:t>
      </w:r>
    </w:p>
    <w:p>
      <w:pPr>
        <w:pStyle w:val="ListParagraph"/>
        <w:numPr>
          <w:ilvl w:val="0"/>
          <w:numId w:val="26"/>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Source file: the file name, size and date, with Remove file beside it.</w:t>
      </w:r>
    </w:p>
    <w:p>
      <w:pPr>
        <w:pStyle w:val="ListParagraph"/>
        <w:numPr>
          <w:ilvl w:val="0"/>
          <w:numId w:val="26"/>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26"/>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26"/>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7.17e Assessing and including a document</w:t>
      </w:r>
    </w:p>
    <w:p>
      <w:pPr>
        <w:pStyle w:val="ListParagraph"/>
        <w:numPr>
          <w:ilvl w:val="0"/>
          <w:numId w:val="27"/>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Documentary Evidence Corpus.</w:t>
      </w:r>
    </w:p>
    <w:p>
      <w:pPr>
        <w:pStyle w:val="ListParagraph"/>
        <w:numPr>
          <w:ilvl w:val="0"/>
          <w:numId w:val="27"/>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Document record: authenticity, QA status, memo and coding form.</w:t>
      </w:r>
    </w:p>
    <w:p>
      <w:pPr>
        <w:pStyle w:val="ListParagraph"/>
        <w:numPr>
          <w:ilvl w:val="0"/>
          <w:numId w:val="27"/>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27"/>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27"/>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7.17f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The Coding panel: Code this document, and Auto-fill.</w:t>
      </w:r>
    </w:p>
    <w:p>
      <w:pPr>
        <w:pStyle w:val="Heading2"/>
      </w:pPr>
      <w:r>
        <w:t xml:space="preserve">7.17g Auto-fill: the AI drafts, you review</w:t>
      </w:r>
    </w:p>
    <w:p>
      <w:pPr>
        <w:pStyle w:val="ListParagraph"/>
        <w:numPr>
          <w:ilvl w:val="0"/>
          <w:numId w:val="28"/>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28"/>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A 240-page PDF: enter a page range, or read the whole document in parts.</w:t>
      </w:r>
    </w:p>
    <w:p>
      <w:pPr>
        <w:pStyle w:val="ListParagraph"/>
        <w:numPr>
          <w:ilvl w:val="0"/>
          <w:numId w:val="28"/>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The AI is reading the document.</w:t>
      </w:r>
    </w:p>
    <w:p>
      <w:pPr>
        <w:pStyle w:val="ListParagraph"/>
        <w:numPr>
          <w:ilvl w:val="0"/>
          <w:numId w:val="28"/>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The review screen: the draft, ready to check and edit.</w:t>
      </w:r>
    </w:p>
    <w:p>
      <w:pPr>
        <w:pStyle w:val="ListParagraph"/>
        <w:numPr>
          <w:ilvl w:val="0"/>
          <w:numId w:val="28"/>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51. </w:t>
      </w:r>
      <w:r>
        <w:rPr>
          <w:i/>
          <w:iCs/>
          <w:color w:val="5B6670"/>
          <w:sz w:val="17"/>
          <w:szCs w:val="17"/>
        </w:rPr>
        <w:t xml:space="preserve">Section D: ratings and locators, all editable.</w:t>
      </w:r>
    </w:p>
    <w:p>
      <w:pPr>
        <w:pStyle w:val="ListParagraph"/>
        <w:numPr>
          <w:ilvl w:val="0"/>
          <w:numId w:val="28"/>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52. </w:t>
      </w:r>
      <w:r>
        <w:rPr>
          <w:i/>
          <w:iCs/>
          <w:color w:val="5B6670"/>
          <w:sz w:val="17"/>
          <w:szCs w:val="17"/>
        </w:rPr>
        <w:t xml:space="preserve">Section J: quantitative metrics.</w:t>
      </w:r>
    </w:p>
    <w:p>
      <w:pPr>
        <w:pStyle w:val="ListParagraph"/>
        <w:numPr>
          <w:ilvl w:val="0"/>
          <w:numId w:val="28"/>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28"/>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7.18 Logging costs (PI, FC)</w:t>
      </w:r>
    </w:p>
    <w:p>
      <w:pPr>
        <w:pStyle w:val="ListParagraph"/>
        <w:numPr>
          <w:ilvl w:val="0"/>
          <w:numId w:val="29"/>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53. </w:t>
      </w:r>
      <w:r>
        <w:rPr>
          <w:i/>
          <w:iCs/>
          <w:color w:val="5B6670"/>
          <w:sz w:val="17"/>
          <w:szCs w:val="17"/>
        </w:rPr>
        <w:t xml:space="preserve">Cost Dashboard and the Log a cost event form.</w:t>
      </w:r>
    </w:p>
    <w:p>
      <w:pPr>
        <w:pStyle w:val="ListParagraph"/>
        <w:numPr>
          <w:ilvl w:val="0"/>
          <w:numId w:val="29"/>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29"/>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7.19 Downloading data (PI, FC, Analyst)</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54.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all the data for cleaning and analysis</w:t>
      </w:r>
    </w:p>
    <w:p>
      <w:pPr>
        <w:pStyle w:val="ListParagraph"/>
        <w:numPr>
          <w:ilvl w:val="0"/>
          <w:numId w:val="30"/>
        </w:numPr>
        <w:spacing w:after="80" w:line="276"/>
      </w:pPr>
      <w:r>
        <w:t xml:space="preserve">Select </w:t>
      </w:r>
      <w:r>
        <w:rPr>
          <w:b/>
          <w:bCs/>
        </w:rPr>
        <w:t xml:space="preserve">Export</w:t>
      </w:r>
      <w:r>
        <w:t xml:space="preserve">.</w:t>
      </w:r>
    </w:p>
    <w:p>
      <w:pPr>
        <w:pStyle w:val="ListParagraph"/>
        <w:numPr>
          <w:ilvl w:val="0"/>
          <w:numId w:val="30"/>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30"/>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30"/>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30"/>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7.20 Audit log (PI)</w:t>
      </w:r>
    </w:p>
    <w:p>
      <w:pPr>
        <w:pStyle w:val="ListParagraph"/>
        <w:numPr>
          <w:ilvl w:val="0"/>
          <w:numId w:val="31"/>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55. </w:t>
      </w:r>
      <w:r>
        <w:rPr>
          <w:i/>
          <w:iCs/>
          <w:color w:val="5B6670"/>
          <w:sz w:val="17"/>
          <w:szCs w:val="17"/>
        </w:rPr>
        <w:t xml:space="preserve">Audit Log, newest first.</w:t>
      </w:r>
    </w:p>
    <w:p>
      <w:pPr>
        <w:pStyle w:val="ListParagraph"/>
        <w:numPr>
          <w:ilvl w:val="0"/>
          <w:numId w:val="31"/>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7.21 Manual status changes (PI, FC, Contact RA)</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32"/>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56. </w:t>
      </w:r>
      <w:r>
        <w:rPr>
          <w:i/>
          <w:iCs/>
          <w:color w:val="5B6670"/>
          <w:sz w:val="17"/>
          <w:szCs w:val="17"/>
        </w:rPr>
        <w:t xml:space="preserve">Only valid next statuses are offered.</w:t>
      </w:r>
    </w:p>
    <w:p>
      <w:pPr>
        <w:pStyle w:val="ListParagraph"/>
        <w:numPr>
          <w:ilvl w:val="0"/>
          <w:numId w:val="32"/>
        </w:numPr>
        <w:spacing w:after="80" w:line="276"/>
      </w:pPr>
      <w:r>
        <w:t xml:space="preserve">Log a contact attempt or note explaining the decision first.</w:t>
      </w:r>
    </w:p>
    <w:p>
      <w:pPr>
        <w:pStyle w:val="ListParagraph"/>
        <w:numPr>
          <w:ilvl w:val="0"/>
          <w:numId w:val="32"/>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7.22 Recording a withdrawal (PI, FC)</w:t>
      </w:r>
    </w:p>
    <w:p>
      <w:pPr>
        <w:spacing w:after="120" w:line="288"/>
      </w:pPr>
      <w:r>
        <w:t xml:space="preserve">A participant may withdraw at any time, for any reason, without giving one.</w:t>
      </w:r>
    </w:p>
    <w:p>
      <w:pPr>
        <w:pStyle w:val="ListParagraph"/>
        <w:numPr>
          <w:ilvl w:val="0"/>
          <w:numId w:val="33"/>
        </w:numPr>
        <w:spacing w:after="80" w:line="276"/>
      </w:pPr>
      <w:r>
        <w:t xml:space="preserve">Stop contacting the person immediately.</w:t>
      </w:r>
    </w:p>
    <w:p>
      <w:pPr>
        <w:pStyle w:val="ListParagraph"/>
        <w:numPr>
          <w:ilvl w:val="0"/>
          <w:numId w:val="33"/>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57. </w:t>
      </w:r>
      <w:r>
        <w:rPr>
          <w:i/>
          <w:iCs/>
          <w:color w:val="5B6670"/>
          <w:sz w:val="17"/>
          <w:szCs w:val="17"/>
        </w:rPr>
        <w:t xml:space="preserve">Record a withdrawal.</w:t>
      </w:r>
    </w:p>
    <w:p>
      <w:pPr>
        <w:pStyle w:val="ListParagraph"/>
        <w:numPr>
          <w:ilvl w:val="0"/>
          <w:numId w:val="33"/>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7.23 When the person is not eligible</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7.24 PROIT pre-interview profile (PI, FC)</w:t>
      </w:r>
    </w:p>
    <w:p>
      <w:pPr>
        <w:spacing w:after="120" w:line="288"/>
      </w:pPr>
      <w:r>
        <w:t xml:space="preserve">PROIT lets the respondent confirm facts already on public record instead of answering them from scratch. It never pre-fills, skips or infers any scale item (ABI, NFM, Digital Readiness, FST) — only descriptive background.</w:t>
      </w:r>
    </w:p>
    <w:p>
      <w:pPr>
        <w:pStyle w:val="ListParagraph"/>
        <w:numPr>
          <w:ilvl w:val="0"/>
          <w:numId w:val="34"/>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34"/>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58. </w:t>
      </w:r>
      <w:r>
        <w:rPr>
          <w:i/>
          <w:iCs/>
          <w:color w:val="5B6670"/>
          <w:sz w:val="17"/>
          <w:szCs w:val="17"/>
        </w:rPr>
        <w:t xml:space="preserve">A draft profile: each fact needs at least one source.</w:t>
      </w:r>
    </w:p>
    <w:p>
      <w:pPr>
        <w:pStyle w:val="ListParagraph"/>
        <w:numPr>
          <w:ilvl w:val="0"/>
          <w:numId w:val="34"/>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34"/>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34"/>
        </w:numPr>
        <w:spacing w:after="80" w:line="276"/>
      </w:pPr>
      <w:r>
        <w:t xml:space="preserve">A second researcher reviews it and selects </w:t>
      </w:r>
      <w:r>
        <w:rPr>
          <w:b/>
          <w:bCs/>
        </w:rPr>
        <w:t xml:space="preserve">Lock pre-profile</w:t>
      </w:r>
      <w:r>
        <w:t xml:space="preserve">. Only a locked profile is shown to the respondent, who confirms, corrects, or says they don't know, prefer not to say, or it is not applicable. The documentary value, the respondent's answer and the reconciled value are kept separately.</w:t>
      </w:r>
    </w:p>
    <w:p>
      <w:pPr>
        <w:spacing w:after="80"/>
      </w:pPr>
    </w:p>
    <w:p>
      <w:pPr>
        <w:pStyle w:val="Heading2"/>
      </w:pPr>
      <w:r>
        <w:t xml:space="preserve">7.25 Reassigning cases in bulk (PI, FC)</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35"/>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35"/>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59. </w:t>
      </w:r>
      <w:r>
        <w:rPr>
          <w:i/>
          <w:iCs/>
          <w:color w:val="5B6670"/>
          <w:sz w:val="17"/>
          <w:szCs w:val="17"/>
        </w:rPr>
        <w:t xml:space="preserve">Reassign cases: the button shows how many cases will move.</w:t>
      </w:r>
    </w:p>
    <w:p>
      <w:pPr>
        <w:pStyle w:val="ListParagraph"/>
        <w:numPr>
          <w:ilvl w:val="0"/>
          <w:numId w:val="35"/>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35"/>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1"/>
        <w:pageBreakBefore/>
      </w:pPr>
      <w:r>
        <w:t xml:space="preserve">8. The respondent's experience</w:t>
      </w:r>
    </w:p>
    <w:p>
      <w:pPr>
        <w:spacing w:after="120" w:line="288"/>
      </w:pPr>
      <w:r>
        <w:t xml:space="preserve">What respondents see on their phone. The separate </w:t>
      </w:r>
      <w:r>
        <w:rPr>
          <w:b/>
          <w:bCs/>
        </w:rPr>
        <w:t xml:space="preserve">Respondent Guide</w:t>
      </w:r>
      <w:r>
        <w:t xml:space="preserve"> can be shared with respondents as it is.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the respondent does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Confirm organisation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Confirms "is this &lt;organisation&gt;?" with </w:t>
            </w:r>
            <w:r>
              <w:rPr>
                <w:b w:val="false"/>
                <w:bCs w:val="false"/>
                <w:sz w:val="19"/>
                <w:szCs w:val="19"/>
              </w:rPr>
              <w:t xml:space="preserve">Yes, that's correct</w:t>
            </w:r>
            <w:r>
              <w:rPr>
                <w:b w:val="false"/>
                <w:bCs w:val="false"/>
                <w:sz w:val="19"/>
                <w:szCs w:val="19"/>
              </w:rPr>
              <w:t xml:space="preserve">, or contacts the team if not.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little about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Enters their name and role; </w:t>
            </w:r>
            <w:r>
              <w:rPr>
                <w:b w:val="false"/>
                <w:bCs w:val="false"/>
                <w:sz w:val="19"/>
                <w:szCs w:val="19"/>
              </w:rPr>
              <w:t xml:space="preserve">None of these describe me</w:t>
            </w:r>
            <w:r>
              <w:rPr>
                <w:b w:val="false"/>
                <w:bCs w:val="false"/>
                <w:sz w:val="19"/>
                <w:szCs w:val="19"/>
              </w:rPr>
              <w:t xml:space="preserve"> ends politely without any questions.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Participant Information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Reads the information sheet (v1.3), then </w:t>
            </w:r>
            <w:r>
              <w:rPr>
                <w:b w:val="false"/>
                <w:bCs w:val="false"/>
                <w:sz w:val="19"/>
                <w:szCs w:val="19"/>
              </w:rPr>
              <w:t xml:space="preserve">Continue to consent</w:t>
            </w:r>
            <w:r>
              <w:rPr>
                <w:b w:val="false"/>
                <w:bCs w:val="false"/>
                <w:sz w:val="19"/>
                <w:szCs w:val="19"/>
              </w:rPr>
              <w:t xml:space="preserve"> or </w:t>
            </w:r>
            <w:r>
              <w:rPr>
                <w:b w:val="false"/>
                <w:bCs w:val="false"/>
                <w:sz w:val="19"/>
                <w:szCs w:val="19"/>
              </w:rPr>
              <w:t xml:space="preserve">Go back</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Your consent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I agree to take part</w:t>
            </w:r>
            <w:r>
              <w:rPr>
                <w:b w:val="false"/>
                <w:bCs w:val="false"/>
                <w:sz w:val="19"/>
                <w:szCs w:val="19"/>
              </w:rPr>
              <w:t xml:space="preserve"> or </w:t>
            </w:r>
            <w:r>
              <w:rPr>
                <w:b w:val="false"/>
                <w:bCs w:val="false"/>
                <w:sz w:val="19"/>
                <w:szCs w:val="19"/>
              </w:rPr>
              <w:t xml:space="preserve">I do not wish to take part</w:t>
            </w:r>
            <w:r>
              <w:rPr>
                <w:b w:val="false"/>
                <w:bCs w:val="false"/>
                <w:sz w:val="19"/>
                <w:szCs w:val="19"/>
              </w:rPr>
              <w:t xml:space="preserve">; can re-read the information.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Before we continue (PROIT)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Only if a locked profile exists: confirms, corrects or skips background facts.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How would you like to take part?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 it myself now</w:t>
            </w:r>
            <w:r>
              <w:rPr>
                <w:b w:val="false"/>
                <w:bCs w:val="false"/>
                <w:sz w:val="19"/>
                <w:szCs w:val="19"/>
              </w:rPr>
              <w:t xml:space="preserve">, </w:t>
            </w:r>
            <w:r>
              <w:rPr>
                <w:b w:val="false"/>
                <w:bCs w:val="false"/>
                <w:sz w:val="19"/>
                <w:szCs w:val="19"/>
              </w:rPr>
              <w:t xml:space="preserve">Have a researcher call me</w:t>
            </w:r>
            <w:r>
              <w:rPr>
                <w:b w:val="false"/>
                <w:bCs w:val="false"/>
                <w:sz w:val="19"/>
                <w:szCs w:val="19"/>
              </w:rPr>
              <w:t xml:space="preserve">, </w:t>
            </w:r>
            <w:r>
              <w:rPr>
                <w:b w:val="false"/>
                <w:bCs w:val="false"/>
                <w:sz w:val="19"/>
                <w:szCs w:val="19"/>
              </w:rPr>
              <w:t xml:space="preserve">Complete it via WhatsApp</w:t>
            </w:r>
            <w:r>
              <w:rPr>
                <w:b w:val="false"/>
                <w:bCs w:val="false"/>
                <w:sz w:val="19"/>
                <w:szCs w:val="19"/>
              </w:rPr>
              <w:t xml:space="preserve">, or </w:t>
            </w:r>
            <w:r>
              <w:rPr>
                <w:b w:val="false"/>
                <w:bCs w:val="false"/>
                <w:sz w:val="19"/>
                <w:szCs w:val="19"/>
              </w:rPr>
              <w:t xml:space="preserve">Ask someone to contact me another way</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 the questionnaire</w:t>
            </w:r>
            <w:r>
              <w:rPr>
                <w:b w:val="false"/>
                <w:bCs w:val="false"/>
                <w:sz w:val="19"/>
                <w:szCs w:val="19"/>
              </w:rPr>
              <w:t xml:space="preserve"> opens the KoboToolbox form (about 15–25 minutes).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works best for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call: picks a future date and time and selects </w:t>
            </w:r>
            <w:r>
              <w:rPr>
                <w:b w:val="false"/>
                <w:bCs w:val="false"/>
                <w:sz w:val="19"/>
                <w:szCs w:val="19"/>
              </w:rPr>
              <w:t xml:space="preserve">Request this time</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Thank you</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Neutral closing message. No score or rating.</w:t>
            </w:r>
          </w:p>
        </w:tc>
      </w:tr>
    </w:tbl>
    <w:p>
      <w:pPr>
        <w:spacing w:after="120"/>
      </w:pPr>
    </w:p>
    <w:p>
      <w:pPr>
        <w:keepNext/>
        <w:spacing w:after="40" w:before="80"/>
        <w:jc w:val="center"/>
      </w:pPr>
      <w:r>
        <w:drawing>
          <wp:inline distT="0" distB="0" distL="0" distR="0">
            <wp:extent cx="2476500" cy="4533900"/>
            <wp:effectExtent t="0" r="0" b="0" l="0"/>
            <wp:docPr id="1"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60. </w:t>
      </w:r>
      <w:r>
        <w:rPr>
          <w:i/>
          <w:iCs/>
          <w:color w:val="5B6670"/>
          <w:sz w:val="17"/>
          <w:szCs w:val="17"/>
        </w:rPr>
        <w:t xml:space="preserve">Choosing how to take part (phone view).</w:t>
      </w:r>
    </w:p>
    <w:p>
      <w:pPr>
        <w:pStyle w:val="Heading2"/>
      </w:pPr>
      <w:r>
        <w:t xml:space="preserve">8.1 Message templates</w:t>
      </w:r>
    </w:p>
    <w:p>
      <w:pPr>
        <w:spacing w:after="120" w:line="288"/>
      </w:pPr>
      <w:r>
        <w:t xml:space="preserve">The invitation screen writes the approved invitation message for WhatsApp automatically. The approved reminders are: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2 reminder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reminder about the ABF-FST research study invitation sent to your organisation. Please use the link you were sent to take part, or reply here if you have questions.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7 final routine attempt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final reminder about the ABF-FST research study invitation. If you would still like to take part, please use the link you were sent. Thank you.</w:t>
            </w:r>
          </w:p>
        </w:tc>
      </w:tr>
    </w:tbl>
    <w:p>
      <w:pPr>
        <w:spacing w:after="120"/>
      </w:pPr>
    </w:p>
    <w:p>
      <w:pPr>
        <w:pStyle w:val="Heading1"/>
        <w:pageBreakBefore/>
      </w:pPr>
      <w:r>
        <w:t xml:space="preserve">9. KoboToolbox administration (PI)</w:t>
      </w:r>
    </w:p>
    <w:p>
      <w:pPr>
        <w:pStyle w:val="Heading2"/>
      </w:pPr>
      <w:r>
        <w:t xml:space="preserve">9.1 The connected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3482"/>
        <w:gridCol w:w="2353"/>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482"/>
            <w:shd w:fill="1B3350" w:color="auto" w:val="clear"/>
            <w:tcMar>
              <w:top w:type="dxa" w:w="70"/>
              <w:left w:type="dxa" w:w="110"/>
              <w:bottom w:type="dxa" w:w="70"/>
              <w:right w:type="dxa" w:w="110"/>
            </w:tcMar>
            <w:vAlign w:val="top"/>
          </w:tcPr>
          <w:p>
            <w:pPr>
              <w:spacing w:after="40"/>
            </w:pPr>
            <w:r>
              <w:rPr>
                <w:b/>
                <w:bCs/>
                <w:color w:val="FFFFFF"/>
                <w:sz w:val="19"/>
                <w:szCs w:val="19"/>
              </w:rPr>
              <w:t xml:space="preserve">Public web link</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Portal setting</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https://ee.kobotoolbox.org/x/fSOJejrV</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KOBO_ASSET_UID, KOBO_FORM_URL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482"/>
            <w:shd w:fill="F8FAFB" w:color="auto" w:val="clear"/>
            <w:tcMar>
              <w:top w:type="dxa" w:w="70"/>
              <w:left w:type="dxa" w:w="110"/>
              <w:bottom w:type="dxa" w:w="70"/>
              <w:right w:type="dxa" w:w="110"/>
            </w:tcMar>
            <w:vAlign w:val="top"/>
          </w:tcPr>
          <w:p>
            <w:pPr>
              <w:spacing w:after="40"/>
            </w:pPr>
            <w:r>
              <w:rPr>
                <w:b w:val="false"/>
                <w:bCs w:val="false"/>
                <w:sz w:val="19"/>
                <w:szCs w:val="19"/>
              </w:rPr>
              <w:t xml:space="preserve">https://ee.kobotoolbox.org/x/hwMQ5dG3</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KOBO_KII_ASSET_UID</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https://ee.kobotoolbox.org/x/nM616hqU</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KOBO_DOCUMENTS_ASSET_UID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Respondents must start from the portal</w:t>
            </w:r>
          </w:p>
          <w:p>
            <w:pPr>
              <w:spacing w:after="40" w:line="264"/>
            </w:pPr>
            <w:r>
              <w:rPr>
                <w:sz w:val="19"/>
                <w:szCs w:val="19"/>
              </w:rPr>
              <w:t xml:space="preserve">Do not send the questionnaire's public KoboToolbox link to respondents. Submissions made directly on that link carry no portal signature and are set aside. Always send the personal invitation link.</w:t>
            </w:r>
          </w:p>
        </w:tc>
      </w:tr>
    </w:tbl>
    <w:p>
      <w:pPr>
        <w:pStyle w:val="Heading2"/>
      </w:pPr>
      <w:r>
        <w:t xml:space="preserve">9.2 Changing a form</w:t>
      </w:r>
    </w:p>
    <w:p>
      <w:pPr>
        <w:pStyle w:val="ListParagraph"/>
        <w:numPr>
          <w:ilvl w:val="0"/>
          <w:numId w:val="2"/>
        </w:numPr>
        <w:spacing w:after="60" w:line="276"/>
      </w:pPr>
      <w:r>
        <w:t xml:space="preserve">Keep the hidden identifier fields (</w:t>
      </w:r>
      <w:r>
        <w:rPr>
          <w:rFonts w:ascii="Consolas" w:cs="Consolas" w:eastAsia="Consolas" w:hAnsi="Consolas"/>
          <w:b w:val="false"/>
          <w:bCs w:val="false"/>
          <w:color w:val="122238"/>
          <w:sz w:val="19"/>
          <w:szCs w:val="19"/>
        </w:rPr>
        <w:t xml:space="preserve">master_id</w:t>
      </w:r>
      <w:r>
        <w:t xml:space="preserve">, </w:t>
      </w:r>
      <w:r>
        <w:rPr>
          <w:rFonts w:ascii="Consolas" w:cs="Consolas" w:eastAsia="Consolas" w:hAnsi="Consolas"/>
          <w:b w:val="false"/>
          <w:bCs w:val="false"/>
          <w:color w:val="122238"/>
          <w:sz w:val="19"/>
          <w:szCs w:val="19"/>
        </w:rPr>
        <w:t xml:space="preserve">sample_id</w:t>
      </w:r>
      <w:r>
        <w:t xml:space="preserve">, </w:t>
      </w:r>
      <w:r>
        <w:rPr>
          <w:rFonts w:ascii="Consolas" w:cs="Consolas" w:eastAsia="Consolas" w:hAnsi="Consolas"/>
          <w:b w:val="false"/>
          <w:bCs w:val="false"/>
          <w:color w:val="122238"/>
          <w:sz w:val="19"/>
          <w:szCs w:val="19"/>
        </w:rPr>
        <w:t xml:space="preserve">administration_mode</w:t>
      </w:r>
      <w:r>
        <w:t xml:space="preserve">, </w:t>
      </w:r>
      <w:r>
        <w:rPr>
          <w:rFonts w:ascii="Consolas" w:cs="Consolas" w:eastAsia="Consolas" w:hAnsi="Consolas"/>
          <w:b w:val="false"/>
          <w:bCs w:val="false"/>
          <w:color w:val="122238"/>
          <w:sz w:val="19"/>
          <w:szCs w:val="19"/>
        </w:rPr>
        <w:t xml:space="preserve">respondent_role_category</w:t>
      </w:r>
      <w:r>
        <w:t xml:space="preserve">, </w:t>
      </w:r>
      <w:r>
        <w:rPr>
          <w:rFonts w:ascii="Consolas" w:cs="Consolas" w:eastAsia="Consolas" w:hAnsi="Consolas"/>
          <w:b w:val="false"/>
          <w:bCs w:val="false"/>
          <w:color w:val="122238"/>
          <w:sz w:val="19"/>
          <w:szCs w:val="19"/>
        </w:rPr>
        <w:t xml:space="preserve">portal_token_id</w:t>
      </w:r>
      <w:r>
        <w:t xml:space="preserve">) and the </w:t>
      </w:r>
      <w:r>
        <w:rPr>
          <w:rFonts w:ascii="Consolas" w:cs="Consolas" w:eastAsia="Consolas" w:hAnsi="Consolas"/>
          <w:b w:val="false"/>
          <w:bCs w:val="false"/>
          <w:color w:val="122238"/>
          <w:sz w:val="19"/>
          <w:szCs w:val="19"/>
        </w:rPr>
        <w:t xml:space="preserve">SAMPLE_ID_FINAL</w:t>
      </w:r>
      <w:r>
        <w:t xml:space="preserve">, </w:t>
      </w:r>
      <w:r>
        <w:rPr>
          <w:rFonts w:ascii="Consolas" w:cs="Consolas" w:eastAsia="Consolas" w:hAnsi="Consolas"/>
          <w:b w:val="false"/>
          <w:bCs w:val="false"/>
          <w:color w:val="122238"/>
          <w:sz w:val="19"/>
          <w:szCs w:val="19"/>
        </w:rPr>
        <w:t xml:space="preserve">part_a/KII_ID</w:t>
      </w:r>
      <w:r>
        <w:t xml:space="preserve"> and </w:t>
      </w:r>
      <w:r>
        <w:rPr>
          <w:rFonts w:ascii="Consolas" w:cs="Consolas" w:eastAsia="Consolas" w:hAnsi="Consolas"/>
          <w:b w:val="false"/>
          <w:bCs w:val="false"/>
          <w:color w:val="122238"/>
          <w:sz w:val="19"/>
          <w:szCs w:val="19"/>
        </w:rPr>
        <w:t xml:space="preserve">section_a/DOC_ID</w:t>
      </w:r>
      <w:r>
        <w:t xml:space="preserve"> fields unchanged — they link answers to records.</w:t>
      </w:r>
    </w:p>
    <w:p>
      <w:pPr>
        <w:pStyle w:val="ListParagraph"/>
        <w:numPr>
          <w:ilvl w:val="0"/>
          <w:numId w:val="2"/>
        </w:numPr>
        <w:spacing w:after="60" w:line="276"/>
      </w:pPr>
      <w:r>
        <w:t xml:space="preserve">After redeploying the questionnaire with new required questions, ask the technical administrator to refresh the required-field QA list (</w:t>
      </w:r>
      <w:r>
        <w:rPr>
          <w:rFonts w:ascii="Consolas" w:cs="Consolas" w:eastAsia="Consolas" w:hAnsi="Consolas"/>
          <w:b w:val="false"/>
          <w:bCs w:val="false"/>
          <w:color w:val="122238"/>
          <w:sz w:val="19"/>
          <w:szCs w:val="19"/>
        </w:rPr>
        <w:t xml:space="preserve">qa_required_fields_from_kobo</w:t>
      </w:r>
      <w:r>
        <w:t xml:space="preserve">).</w:t>
      </w:r>
    </w:p>
    <w:p>
      <w:pPr>
        <w:pStyle w:val="ListParagraph"/>
        <w:numPr>
          <w:ilvl w:val="0"/>
          <w:numId w:val="2"/>
        </w:numPr>
        <w:spacing w:after="60" w:line="276"/>
      </w:pPr>
      <w:r>
        <w:t xml:space="preserve">Test every change with one test submission launched from a test invitation, then delete the test submission in KoboToolbox.</w:t>
      </w:r>
    </w:p>
    <w:p>
      <w:pPr>
        <w:spacing w:after="60"/>
      </w:pPr>
    </w:p>
    <w:p>
      <w:pPr>
        <w:pStyle w:val="Heading2"/>
      </w:pPr>
      <w:r>
        <w:t xml:space="preserve">9.3 Instrument decisions (PI, 15 September 2026)</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94"/>
        <w:gridCol w:w="6118"/>
      </w:tblGrid>
      <w:tr>
        <w:trPr>
          <w:tblHeader/>
        </w:trPr>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118"/>
            <w:shd w:fill="1B3350" w:color="auto" w:val="clear"/>
            <w:tcMar>
              <w:top w:type="dxa" w:w="70"/>
              <w:left w:type="dxa" w:w="110"/>
              <w:bottom w:type="dxa" w:w="70"/>
              <w:right w:type="dxa" w:w="110"/>
            </w:tcMar>
            <w:vAlign w:val="top"/>
          </w:tcPr>
          <w:p>
            <w:pPr>
              <w:spacing w:after="40"/>
            </w:pPr>
            <w:r>
              <w:rPr>
                <w:b/>
                <w:bCs/>
                <w:color w:val="FFFFFF"/>
                <w:sz w:val="19"/>
                <w:szCs w:val="19"/>
              </w:rPr>
              <w:t xml:space="preserve">Decision</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Questionnaire Section 10 (Optional Routed Evidence Module)</w:t>
            </w:r>
          </w:p>
        </w:tc>
        <w:tc>
          <w:tcPr>
            <w:tcW w:type="dxa" w:w="6118"/>
            <w:tcMar>
              <w:top w:type="dxa" w:w="70"/>
              <w:left w:type="dxa" w:w="110"/>
              <w:bottom w:type="dxa" w:w="70"/>
              <w:right w:type="dxa" w:w="110"/>
            </w:tcMar>
            <w:vAlign w:val="top"/>
          </w:tcPr>
          <w:p>
            <w:pPr>
              <w:spacing w:after="40"/>
            </w:pPr>
            <w:r>
              <w:rPr>
                <w:b w:val="false"/>
                <w:bCs w:val="false"/>
                <w:sz w:val="19"/>
                <w:szCs w:val="19"/>
              </w:rPr>
              <w:t xml:space="preserve">Shown to every consenting respondent; all questions optional, exactly as the frozen v3.0 instrument. No routing added.</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tool: records rated Exclude</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Section A–B provenance and screening; skip Sections C–L. Publication/event date stays free text so year-only dates are accepted.</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KII respondent category list</w:t>
            </w:r>
          </w:p>
        </w:tc>
        <w:tc>
          <w:tcPr>
            <w:tcW w:type="dxa" w:w="6118"/>
            <w:tcMar>
              <w:top w:type="dxa" w:w="70"/>
              <w:left w:type="dxa" w:w="110"/>
              <w:bottom w:type="dxa" w:w="70"/>
              <w:right w:type="dxa" w:w="110"/>
            </w:tcMar>
            <w:vAlign w:val="top"/>
          </w:tcPr>
          <w:p>
            <w:pPr>
              <w:spacing w:after="40"/>
            </w:pPr>
            <w:r>
              <w:rPr>
                <w:b w:val="false"/>
                <w:bCs w:val="false"/>
                <w:sz w:val="19"/>
                <w:szCs w:val="19"/>
              </w:rPr>
              <w:t xml:space="preserve">Confirmed identical to the frozen KII Guide v3.0 (10 named categories + Other).</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KII Executive Short Form</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Source wording restored: 'Ask K1, K2, K3, K7 and K9 below', each question labelled with its source code. Data columns EXEC1–EXEC5 unchanged. Redeployed 15 September 2026.</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Answers from a participant who later withdraws</w:t>
            </w:r>
          </w:p>
        </w:tc>
        <w:tc>
          <w:tcPr>
            <w:tcW w:type="dxa" w:w="6118"/>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 marked in the operational export and KoboToolbox downloads.</w:t>
            </w:r>
          </w:p>
        </w:tc>
      </w:tr>
    </w:tbl>
    <w:p>
      <w:pPr>
        <w:spacing w:after="120"/>
      </w:pPr>
    </w:p>
    <w:p>
      <w:pPr>
        <w:pStyle w:val="Heading2"/>
      </w:pPr>
      <w:r>
        <w:t xml:space="preserve">9.4 Rotating the KoboToolbox password and API token</w:t>
      </w:r>
    </w:p>
    <w:p>
      <w:pPr>
        <w:pStyle w:val="ListParagraph"/>
        <w:numPr>
          <w:ilvl w:val="0"/>
          <w:numId w:val="36"/>
        </w:numPr>
        <w:spacing w:after="80" w:line="276"/>
      </w:pPr>
      <w:r>
        <w:t xml:space="preserve">Sign in to KoboToolbox (https://kf.kobotoolbox.org) and change the account password.</w:t>
      </w:r>
    </w:p>
    <w:p>
      <w:pPr>
        <w:pStyle w:val="ListParagraph"/>
        <w:numPr>
          <w:ilvl w:val="0"/>
          <w:numId w:val="36"/>
        </w:numPr>
        <w:spacing w:after="80" w:line="276"/>
      </w:pPr>
      <w:r>
        <w:t xml:space="preserve">In </w:t>
      </w:r>
      <w:r>
        <w:rPr>
          <w:b/>
          <w:bCs/>
        </w:rPr>
        <w:t xml:space="preserve">Account settings → Security</w:t>
      </w:r>
      <w:r>
        <w:t xml:space="preserve">, generate a new API token.</w:t>
      </w:r>
    </w:p>
    <w:p>
      <w:pPr>
        <w:pStyle w:val="ListParagraph"/>
        <w:numPr>
          <w:ilvl w:val="0"/>
          <w:numId w:val="36"/>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 The script never displays it.</w:t>
      </w:r>
    </w:p>
    <w:p>
      <w:pPr>
        <w:pStyle w:val="ListParagraph"/>
        <w:numPr>
          <w:ilvl w:val="0"/>
          <w:numId w:val="36"/>
        </w:numPr>
        <w:spacing w:after="80" w:line="276"/>
      </w:pPr>
      <w:r>
        <w:t xml:space="preserve">In the portal, open </w:t>
      </w:r>
      <w:r>
        <w:rPr>
          <w:b/>
          <w:bCs/>
        </w:rPr>
        <w:t xml:space="preserve">QA Queue</w:t>
      </w:r>
      <w:r>
        <w:t xml:space="preserve"> and select </w:t>
      </w:r>
      <w:r>
        <w:rPr>
          <w:b/>
          <w:bCs/>
        </w:rPr>
        <w:t xml:space="preserve">Sync now</w:t>
      </w:r>
      <w:r>
        <w:t xml:space="preserve">; the panel should report a successful run.</w:t>
      </w:r>
    </w:p>
    <w:p>
      <w:pPr>
        <w:spacing w:after="80"/>
      </w:pPr>
    </w:p>
    <w:p>
      <w:pPr>
        <w:pStyle w:val="Heading1"/>
        <w:pageBreakBefore/>
      </w:pPr>
      <w:r>
        <w:t xml:space="preserve">10. System administration</w:t>
      </w:r>
    </w:p>
    <w:p>
      <w:pPr>
        <w:pStyle w:val="Heading2"/>
      </w:pPr>
      <w:r>
        <w:t xml:space="preserve">10.1 Creating and managing accounts (PI)</w:t>
      </w:r>
    </w:p>
    <w:p>
      <w:pPr>
        <w:pStyle w:val="ListParagraph"/>
        <w:numPr>
          <w:ilvl w:val="0"/>
          <w:numId w:val="37"/>
        </w:numPr>
        <w:spacing w:after="80" w:line="276"/>
      </w:pPr>
      <w:r>
        <w:t xml:space="preserve">For a whole team, fill in </w:t>
      </w:r>
      <w:r>
        <w:rPr>
          <w:b/>
          <w:bCs/>
        </w:rPr>
        <w:t xml:space="preserve">docs/templates/ABF-FST_Staff_Accounts_Template.xlsx</w:t>
      </w:r>
      <w:r>
        <w:t xml:space="preserve"> and run </w:t>
      </w:r>
      <w:r>
        <w:rPr>
          <w:rFonts w:ascii="Consolas" w:cs="Consolas" w:eastAsia="Consolas" w:hAnsi="Consolas"/>
          <w:b w:val="false"/>
          <w:bCs w:val="false"/>
          <w:color w:val="122238"/>
          <w:sz w:val="19"/>
          <w:szCs w:val="19"/>
        </w:rPr>
        <w:t xml:space="preserve">manage.py create_staff_accounts --file &lt;sheet&gt; --dry-run</w:t>
      </w:r>
      <w:r>
        <w:t xml:space="preserve">, then again without </w:t>
      </w:r>
      <w:r>
        <w:rPr>
          <w:rFonts w:ascii="Consolas" w:cs="Consolas" w:eastAsia="Consolas" w:hAnsi="Consolas"/>
          <w:b w:val="false"/>
          <w:bCs w:val="false"/>
          <w:color w:val="122238"/>
          <w:sz w:val="19"/>
          <w:szCs w:val="19"/>
        </w:rPr>
        <w:t xml:space="preserve">--dry-run</w:t>
      </w:r>
      <w:r>
        <w:t xml:space="preserve"> (add </w:t>
      </w:r>
      <w:r>
        <w:rPr>
          <w:rFonts w:ascii="Consolas" w:cs="Consolas" w:eastAsia="Consolas" w:hAnsi="Consolas"/>
          <w:b w:val="false"/>
          <w:bCs w:val="false"/>
          <w:color w:val="122238"/>
          <w:sz w:val="19"/>
          <w:szCs w:val="19"/>
        </w:rPr>
        <w:t xml:space="preserve">--assign-cases</w:t>
      </w:r>
      <w:r>
        <w:t xml:space="preserve"> to share the shared account's Main cases among the new Contact RAs by province). Temporary passwords go to a private credentials file, never the screen. For one person:</w:t>
      </w:r>
    </w:p>
    <w:p>
      <w:pPr>
        <w:pStyle w:val="ListParagraph"/>
        <w:numPr>
          <w:ilvl w:val="0"/>
          <w:numId w:val="37"/>
        </w:numPr>
        <w:spacing w:after="80" w:line="276"/>
      </w:pPr>
      <w:r>
        <w:t xml:space="preserve">Open </w:t>
      </w:r>
      <w:r>
        <w:rPr>
          <w:b/>
          <w:bCs/>
        </w:rPr>
        <w:t xml:space="preserve">https://research.agribizframework.com/django-admin/</w:t>
      </w:r>
      <w:r>
        <w:t xml:space="preserve"> and sign in with the PI account.</w:t>
      </w:r>
    </w:p>
    <w:p>
      <w:pPr>
        <w:pStyle w:val="ListParagraph"/>
        <w:numPr>
          <w:ilvl w:val="0"/>
          <w:numId w:val="37"/>
        </w:numPr>
        <w:spacing w:after="80" w:line="276"/>
      </w:pPr>
      <w:r>
        <w:t xml:space="preserve">Select </w:t>
      </w:r>
      <w:r>
        <w:rPr>
          <w:b/>
          <w:bCs/>
        </w:rPr>
        <w:t xml:space="preserve">Users → Add user</w:t>
      </w:r>
      <w:r>
        <w:t xml:space="preserve">, enter a username and a strong temporary password, and save.</w:t>
      </w:r>
    </w:p>
    <w:p>
      <w:pPr>
        <w:pStyle w:val="ListParagraph"/>
        <w:numPr>
          <w:ilvl w:val="0"/>
          <w:numId w:val="37"/>
        </w:numPr>
        <w:spacing w:after="80" w:line="276"/>
      </w:pPr>
      <w:r>
        <w:t xml:space="preserve">On the next page, set the person's name and </w:t>
      </w:r>
      <w:r>
        <w:rPr>
          <w:b/>
          <w:bCs/>
        </w:rPr>
        <w:t xml:space="preserve">email</w:t>
      </w:r>
      <w:r>
        <w:t xml:space="preserve"> (used for </w:t>
      </w:r>
      <w:r>
        <w:rPr>
          <w:b/>
          <w:bCs/>
        </w:rPr>
        <w:t xml:space="preserve">Email to me</w:t>
      </w:r>
      <w:r>
        <w:t xml:space="preserve">), choose the </w:t>
      </w:r>
      <w:r>
        <w:rPr>
          <w:b/>
          <w:bCs/>
        </w:rPr>
        <w:t xml:space="preserve">Role</w:t>
      </w:r>
      <w:r>
        <w:t xml:space="preserve"> under </w:t>
      </w:r>
      <w:r>
        <w:rPr>
          <w:b/>
          <w:bCs/>
        </w:rPr>
        <w:t xml:space="preserve">ABF-FST role</w:t>
      </w:r>
      <w:r>
        <w:t xml:space="preserve">, and save.</w:t>
      </w:r>
    </w:p>
    <w:p>
      <w:pPr>
        <w:pStyle w:val="ListParagraph"/>
        <w:numPr>
          <w:ilvl w:val="0"/>
          <w:numId w:val="37"/>
        </w:numPr>
        <w:spacing w:after="80" w:line="276"/>
      </w:pPr>
      <w:r>
        <w:t xml:space="preserve">Give the person their username and temporary password separately and ask them to change it at first sign-in (</w:t>
      </w:r>
      <w:r>
        <w:rPr>
          <w:b/>
          <w:bCs/>
        </w:rPr>
        <w:t xml:space="preserve">Change password</w:t>
      </w:r>
      <w:r>
        <w:t xml:space="preserve">).</w:t>
      </w:r>
    </w:p>
    <w:p>
      <w:pPr>
        <w:pStyle w:val="ListParagraph"/>
        <w:numPr>
          <w:ilvl w:val="0"/>
          <w:numId w:val="37"/>
        </w:numPr>
        <w:spacing w:after="80" w:line="276"/>
      </w:pPr>
      <w:r>
        <w:t xml:space="preserve">When someone leaves the team, untick </w:t>
      </w:r>
      <w:r>
        <w:rPr>
          <w:b/>
          <w:bCs/>
        </w:rPr>
        <w:t xml:space="preserve">Active</w:t>
      </w:r>
      <w:r>
        <w:t xml:space="preserve"> on their user record. Never delete users: their audit history must remain.</w:t>
      </w:r>
    </w:p>
    <w:p>
      <w:pPr>
        <w:pStyle w:val="ListParagraph"/>
        <w:numPr>
          <w:ilvl w:val="0"/>
          <w:numId w:val="37"/>
        </w:numPr>
        <w:spacing w:after="80" w:line="276"/>
      </w:pPr>
      <w:r>
        <w:t xml:space="preserve">Reassign a departing Contact RA's cases with </w:t>
      </w:r>
      <w:r>
        <w:rPr>
          <w:b/>
          <w:bCs/>
        </w:rPr>
        <w:t xml:space="preserve">Reassign cases</w:t>
      </w:r>
      <w:r>
        <w:t xml:space="preserve"> on the Main-400 Register before deactivating them.</w:t>
      </w:r>
    </w:p>
    <w:p>
      <w:pPr>
        <w:spacing w:after="80"/>
      </w:pPr>
    </w:p>
    <w:p>
      <w:pPr>
        <w:pStyle w:val="Heading2"/>
      </w:pPr>
      <w:r>
        <w:t xml:space="preserve">10.2 Server operations (technical administrator)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Command (on the server, as root)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Deploy an update</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/srv/agribiz-drp/deploy/deploy.sh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Roll back the last deploy</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/srv/agribiz-drp/deploy/rollback.sh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go-live readiness without changing data</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cd /srv/agribiz-drp/backend &amp;&amp; sudo -u agribiz-drp venv/bin/python manage.py golive_preflight</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Connect or reconnect KoboToolbox</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/srv/agribiz-drp/deploy/configure-kobo.sh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Set up outgoing email (Gmail App Password)</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/srv/agribiz-drp/deploy/configure-email.sh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Enable encrypted Google Drive backups</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/srv/agribiz-drp/deploy/configure-offsite-backup.sh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services</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systemctl status drp-backend drp-frontend drp-celery-worker drp-celery-beat nginx</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Secrets never go in chat or email</w:t>
            </w:r>
          </w:p>
          <w:p>
            <w:pPr>
              <w:spacing w:after="40" w:line="264"/>
            </w:pPr>
            <w:r>
              <w:rPr>
                <w:sz w:val="19"/>
                <w:szCs w:val="19"/>
              </w:rPr>
              <w:t xml:space="preserve">Passwords, API tokens, App Passwords and backup encryption keys are typed only into the configuration scripts on the server. Store the backup encryption key in a password manager: without it the offsite backups cannot be restored.</w:t>
            </w:r>
          </w:p>
        </w:tc>
      </w:tr>
    </w:tbl>
    <w:p>
      <w:pPr>
        <w:pStyle w:val="Heading2"/>
      </w:pPr>
      <w:r>
        <w:t xml:space="preserve">10.3 Backups</w:t>
      </w:r>
    </w:p>
    <w:p>
      <w:pPr>
        <w:pStyle w:val="ListParagraph"/>
        <w:numPr>
          <w:ilvl w:val="0"/>
          <w:numId w:val="2"/>
        </w:numPr>
        <w:spacing w:after="60" w:line="276"/>
      </w:pPr>
      <w:r>
        <w:t xml:space="preserve">The database and private KoboToolbox files are backed up on the server every 4 hours.</w:t>
      </w:r>
    </w:p>
    <w:p>
      <w:pPr>
        <w:pStyle w:val="ListParagraph"/>
        <w:numPr>
          <w:ilvl w:val="0"/>
          <w:numId w:val="2"/>
        </w:numPr>
        <w:spacing w:after="60" w:line="276"/>
      </w:pPr>
      <w:r>
        <w:t xml:space="preserve">Once offsite backup is configured, each backup is encrypted and copied to Google Drive.</w:t>
      </w:r>
    </w:p>
    <w:p>
      <w:pPr>
        <w:pStyle w:val="ListParagraph"/>
        <w:numPr>
          <w:ilvl w:val="0"/>
          <w:numId w:val="2"/>
        </w:numPr>
        <w:spacing w:after="60" w:line="276"/>
      </w:pPr>
      <w:r>
        <w:t xml:space="preserve">Recovery targets: lose at most 4 hours of data, restore within 4 hours.</w:t>
      </w:r>
    </w:p>
    <w:p>
      <w:pPr>
        <w:spacing w:after="60"/>
      </w:pPr>
    </w:p>
    <w:p>
      <w:pPr>
        <w:pStyle w:val="Heading1"/>
        <w:pageBreakBefore/>
      </w:pPr>
      <w:r>
        <w:t xml:space="preserve">11. Data protection and ethics in practice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11.1 What respondents are told (PIS v1.3, summary)</w:t>
      </w:r>
    </w:p>
    <w:p>
      <w:pPr>
        <w:pStyle w:val="ListParagraph"/>
        <w:numPr>
          <w:ilvl w:val="0"/>
          <w:numId w:val="2"/>
        </w:numPr>
        <w:spacing w:after="60" w:line="276"/>
      </w:pPr>
      <w:r>
        <w:t xml:space="preserve">The study, the researcher, the supervisors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Participation is voluntary; they may decline or stop at any time without consequence.</w:t>
      </w:r>
    </w:p>
    <w:p>
      <w:pPr>
        <w:pStyle w:val="ListParagraph"/>
        <w:numPr>
          <w:ilvl w:val="0"/>
          <w:numId w:val="2"/>
        </w:numPr>
        <w:spacing w:after="60" w:line="276"/>
      </w:pPr>
      <w:r>
        <w:t xml:space="preserve">No score, rating or financing decision is produced; individual answers are never shared with lenders.</w:t>
      </w:r>
    </w:p>
    <w:p>
      <w:pPr>
        <w:pStyle w:val="ListParagraph"/>
        <w:numPr>
          <w:ilvl w:val="0"/>
          <w:numId w:val="2"/>
        </w:numPr>
        <w:spacing w:after="60" w:line="276"/>
      </w:pPr>
      <w:r>
        <w:t xml:space="preserve">Names and contact details are kept separately from answers, used only to manage participation, and results are reported only in combined, anonymised form.</w:t>
      </w:r>
    </w:p>
    <w:p>
      <w:pPr>
        <w:pStyle w:val="ListParagraph"/>
        <w:numPr>
          <w:ilvl w:val="0"/>
          <w:numId w:val="2"/>
        </w:numPr>
        <w:spacing w:after="60" w:line="276"/>
      </w:pPr>
      <w:r>
        <w:t xml:space="preserve">Contact: Happyson Saina, 0773943709, abffst.research.cut@gmail.com.</w:t>
      </w:r>
    </w:p>
    <w:p>
      <w:pPr>
        <w:spacing w:after="60"/>
      </w:pPr>
    </w:p>
    <w:p>
      <w:pPr>
        <w:pStyle w:val="Heading1"/>
        <w:pageBreakBefore/>
      </w:pPr>
      <w:r>
        <w:t xml:space="preserve">12. Troubleshooting</w:t>
      </w:r>
    </w:p>
    <w:p>
      <w:pPr>
        <w:pStyle w:val="Heading2"/>
      </w:pPr>
      <w:r>
        <w:t xml:space="preserve">12.1 Staff</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2"/>
      </w:pPr>
      <w:r>
        <w:t xml:space="preserve">12.2 Respondents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says</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link says it's not valid"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Mistyped, expired (14 days), revoked, or replaced by a newer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the case's invitation history; send a new invitation.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"I'm not the right person"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They are not in a senior, knowledgeable role.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them to nominate the right person; record and invite that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"It won't let me pick a time"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time chosen is in the past.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a future date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questionnaire won't open"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Weak connection or a busy service.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Try again</w:t>
            </w:r>
            <w:r>
              <w:rPr>
                <w:b w:val="false"/>
                <w:bCs w:val="false"/>
                <w:sz w:val="19"/>
                <w:szCs w:val="19"/>
              </w:rPr>
              <w:t xml:space="preserve">, or </w:t>
            </w:r>
            <w:r>
              <w:rPr>
                <w:b w:val="false"/>
                <w:bCs w:val="false"/>
                <w:sz w:val="19"/>
                <w:szCs w:val="19"/>
              </w:rPr>
              <w:t xml:space="preserve">Ask a researcher to help me instead</w:t>
            </w:r>
            <w:r>
              <w:rPr>
                <w:b w:val="false"/>
                <w:bCs w:val="false"/>
                <w:sz w:val="19"/>
                <w:szCs w:val="19"/>
              </w:rPr>
              <w:t xml:space="preserve">; offer a call.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"Will this affect our financing?"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Understandable concern.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No score, rating or financing decision is produced, and answers are never shared with lenders.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want to stop / withdraw"</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Their right at any time.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stop contact, and have the Field Coordinator or PI record the withdrawal.</w:t>
            </w:r>
          </w:p>
        </w:tc>
      </w:tr>
    </w:tbl>
    <w:p>
      <w:pPr>
        <w:spacing w:after="120"/>
      </w:pPr>
    </w:p>
    <w:p>
      <w:pPr>
        <w:pStyle w:val="Heading1"/>
        <w:pageBreakBefore/>
      </w:pPr>
      <w:r>
        <w:t xml:space="preserve">13.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1.3.</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50–75).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Appendix A.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Staff sign-in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Respondent links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https://research.agribizframework.com/i/&lt;personal code&gt;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administration (PI)</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Study 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abffst.research.cut@gmail.com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PI phone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validity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QA 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questionnaires · 60 KIIs · 50–75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bl>
    <w:p>
      <w:pPr>
        <w:spacing w:after="120"/>
      </w:pPr>
    </w:p>
    <w:p>
      <w:pPr>
        <w:pStyle w:val="Heading2"/>
      </w:pPr>
      <w:r>
        <w:t xml:space="preserve">Administration modes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1.7 · 21 September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System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4ef61d24476971e5d35aa092425033da2b606591.jpg"/><Relationship Id="rId16" Type="http://schemas.openxmlformats.org/officeDocument/2006/relationships/image" Target="media/8846fda5f1a7342058793abd52d9ac03fa7d3fd5.jpg"/><Relationship Id="rId17" Type="http://schemas.openxmlformats.org/officeDocument/2006/relationships/image" Target="media/df019385ac02fc3bc9f45e187eae368a72a5363d.jpg"/><Relationship Id="rId18" Type="http://schemas.openxmlformats.org/officeDocument/2006/relationships/image" Target="media/a671ec339f0072aed32e873d6b83d4f85087c414.jpg"/><Relationship Id="rId19" Type="http://schemas.openxmlformats.org/officeDocument/2006/relationships/image" Target="media/e8f1830aa748f7916b6b366ed434fd99a351667f.jpg"/><Relationship Id="rId20" Type="http://schemas.openxmlformats.org/officeDocument/2006/relationships/image" Target="media/f062c1962ea1c83c7827a4e300ed3176a45ee053.jpg"/><Relationship Id="rId21" Type="http://schemas.openxmlformats.org/officeDocument/2006/relationships/image" Target="media/db1c58ec30bd25d6cdfc5a9d1b1981fd866cbc75.jpg"/><Relationship Id="rId22" Type="http://schemas.openxmlformats.org/officeDocument/2006/relationships/image" Target="media/cc4f959bc398dcad96c03df0c27b5941edae5b0c.jpg"/><Relationship Id="rId23" Type="http://schemas.openxmlformats.org/officeDocument/2006/relationships/image" Target="media/4d3c50bbd3774d9fab6ff84c843b793cff94ccf1.jpg"/><Relationship Id="rId24" Type="http://schemas.openxmlformats.org/officeDocument/2006/relationships/image" Target="media/1e757d05f0668d9c8964bc737e75cc4f13a77c39.jpg"/><Relationship Id="rId25" Type="http://schemas.openxmlformats.org/officeDocument/2006/relationships/image" Target="media/6bd9e8c8bd62a31ad686a6877a5005139c50ea7c.jpg"/><Relationship Id="rId26" Type="http://schemas.openxmlformats.org/officeDocument/2006/relationships/image" Target="media/0df8b87650df43f0163d04ca0d1666befd254073.jpg"/><Relationship Id="rId27" Type="http://schemas.openxmlformats.org/officeDocument/2006/relationships/image" Target="media/fc1bb911a479d206fae15d1be7de3779d6382f25.jpg"/><Relationship Id="rId28" Type="http://schemas.openxmlformats.org/officeDocument/2006/relationships/image" Target="media/51e08ceb12e27bba247b8e91a517c26439f11061.jpg"/><Relationship Id="rId29" Type="http://schemas.openxmlformats.org/officeDocument/2006/relationships/image" Target="media/4edb0e7f342465c561eec1cbce99a1e92cd50760.jpg"/><Relationship Id="rId30" Type="http://schemas.openxmlformats.org/officeDocument/2006/relationships/image" Target="media/aeb03538f4861c1892a516c49524165a7d2e0dd1.jpg"/><Relationship Id="rId31" Type="http://schemas.openxmlformats.org/officeDocument/2006/relationships/image" Target="media/78a5edc81e1f24d57d716107ff9f9a4db861f9d3.jpg"/><Relationship Id="rId32" Type="http://schemas.openxmlformats.org/officeDocument/2006/relationships/image" Target="media/7d2b62dfb7d7ff0d968e867e143e33403eee4643.jpg"/><Relationship Id="rId33" Type="http://schemas.openxmlformats.org/officeDocument/2006/relationships/image" Target="media/8caf4112704b66abfaea1431ba0f43469d6019a6.jpg"/><Relationship Id="rId34" Type="http://schemas.openxmlformats.org/officeDocument/2006/relationships/image" Target="media/44135e913076e42573f8cb3dbbc650339cf92059.jpg"/><Relationship Id="rId35" Type="http://schemas.openxmlformats.org/officeDocument/2006/relationships/image" Target="media/ba7ded731a830891ee5d7053c82840256c629d31.jpg"/><Relationship Id="rId36" Type="http://schemas.openxmlformats.org/officeDocument/2006/relationships/image" Target="media/816d7ad2d5b879fedcc912a2c642dcc739548ce2.jpg"/><Relationship Id="rId37" Type="http://schemas.openxmlformats.org/officeDocument/2006/relationships/image" Target="media/fbfc0e781ee459839812ba26eeffa28c72909d8b.jpg"/><Relationship Id="rId38" Type="http://schemas.openxmlformats.org/officeDocument/2006/relationships/image" Target="media/ccdf3c194b050a419e374412bcccdbbc06c9a88f.jpg"/><Relationship Id="rId39" Type="http://schemas.openxmlformats.org/officeDocument/2006/relationships/image" Target="media/b99c12b06b55cd851aae0d72ba6eec5b76f41581.jpg"/><Relationship Id="rId40" Type="http://schemas.openxmlformats.org/officeDocument/2006/relationships/image" Target="media/70b49bc59d9bf7ad3b4e53d4874146c337734b47.jpg"/><Relationship Id="rId41" Type="http://schemas.openxmlformats.org/officeDocument/2006/relationships/image" Target="media/b6bd74a0c6c46380ca20c3d5e4837ab0ba645637.jpg"/><Relationship Id="rId42" Type="http://schemas.openxmlformats.org/officeDocument/2006/relationships/image" Target="media/4153b66a524c5fc63b23a4188595d69892202180.jpg"/><Relationship Id="rId43" Type="http://schemas.openxmlformats.org/officeDocument/2006/relationships/image" Target="media/dc3b655000895ab866aae9e373014bcfcca20bb0.jpg"/><Relationship Id="rId44" Type="http://schemas.openxmlformats.org/officeDocument/2006/relationships/image" Target="media/cfaa4e7f90ac6b68932c8dd19deadffa5cf88a8c.jpg"/><Relationship Id="rId45" Type="http://schemas.openxmlformats.org/officeDocument/2006/relationships/image" Target="media/2d860a9b9979a3ac4dddce15c616e931a8d0e4ec.jpg"/><Relationship Id="rId46" Type="http://schemas.openxmlformats.org/officeDocument/2006/relationships/image" Target="media/5f75b571f87ea147d0fd9f8f5b148da426fb95ab.jpg"/><Relationship Id="rId47" Type="http://schemas.openxmlformats.org/officeDocument/2006/relationships/image" Target="media/8f6a0cea9eb1241e20ab330adb9ad040955d428c.jpg"/><Relationship Id="rId48" Type="http://schemas.openxmlformats.org/officeDocument/2006/relationships/image" Target="media/6de9946338cd7a1d0a758e732a3a1330310e6439.jpg"/><Relationship Id="rId49" Type="http://schemas.openxmlformats.org/officeDocument/2006/relationships/image" Target="media/c4ca3b2664fd24e940ad419aaf9890fce05ccb1d.jpg"/><Relationship Id="rId50" Type="http://schemas.openxmlformats.org/officeDocument/2006/relationships/image" Target="media/51614fee0c2701f795430b8219c18fa1c6171c55.jpg"/><Relationship Id="rId51" Type="http://schemas.openxmlformats.org/officeDocument/2006/relationships/image" Target="media/1eeb69d1e8014c155b62e43b2184d1441ea40a66.jpg"/><Relationship Id="rId52" Type="http://schemas.openxmlformats.org/officeDocument/2006/relationships/image" Target="media/6be96a6b5b0bdba7bbac4bfcbacf217fb64745b8.jpg"/><Relationship Id="rId53" Type="http://schemas.openxmlformats.org/officeDocument/2006/relationships/image" Target="media/a101e8b64cef9b64b216a55a671364cd28e59060.jpg"/><Relationship Id="rId54" Type="http://schemas.openxmlformats.org/officeDocument/2006/relationships/image" Target="media/f569da932ab46bca548ed97aa5c514c3dffd3e94.jpg"/><Relationship Id="rId55" Type="http://schemas.openxmlformats.org/officeDocument/2006/relationships/image" Target="media/359a81fb40f1ab5a8abd847cf8cc756de4594358.jpg"/><Relationship Id="rId56" Type="http://schemas.openxmlformats.org/officeDocument/2006/relationships/image" Target="media/3de19fa2a550e3a76ccbf38482ebf6bfeb8a5cb6.jpg"/><Relationship Id="rId57" Type="http://schemas.openxmlformats.org/officeDocument/2006/relationships/image" Target="media/adb3fed0578ebef53fede9bb1cb8609b1887d1a8.jpg"/><Relationship Id="rId58" Type="http://schemas.openxmlformats.org/officeDocument/2006/relationships/image" Target="media/46e8ff89f9b102d49e6a1301ea89021478ce96ef.jpg"/><Relationship Id="rId59" Type="http://schemas.openxmlformats.org/officeDocument/2006/relationships/image" Target="media/adb921774f4b44f85e85efcb22fa43be573c6b56.jpg"/><Relationship Id="rId60" Type="http://schemas.openxmlformats.org/officeDocument/2006/relationships/image" Target="media/796d9597b4dd19a6b8b07eb26d00c0dc567e71ee.jpg"/><Relationship Id="rId61" Type="http://schemas.openxmlformats.org/officeDocument/2006/relationships/image" Target="media/855a1418e194f7a3ea9769ee6b402cf6104f7bc1.jpg"/><Relationship Id="rId62" Type="http://schemas.openxmlformats.org/officeDocument/2006/relationships/image" Target="media/d7bbfc7ad2fddf32816c64a37752340b4198ac1e.jpg"/><Relationship Id="rId63" Type="http://schemas.openxmlformats.org/officeDocument/2006/relationships/image" Target="media/fbbd8f14067a91a3e2a925fa8c2afe3fc35740a2.jpg"/><Relationship Id="rId64" Type="http://schemas.openxmlformats.org/officeDocument/2006/relationships/image" Target="media/9c26bd58060c7f7a5f0866e7b06f32b963a91215.jpg"/><Relationship Id="rId65" Type="http://schemas.openxmlformats.org/officeDocument/2006/relationships/image" Target="media/2343109223ad5a6983f661d6e6d590e93fd232d5.jpg"/><Relationship Id="rId66" Type="http://schemas.openxmlformats.org/officeDocument/2006/relationships/image" Target="media/e4d974a67db3e7f34189d62a45292995969e1ab3.jpg"/><Relationship Id="rId67" Type="http://schemas.openxmlformats.org/officeDocument/2006/relationships/image" Target="media/0475537fe47564c7f4e5e6ab09d93e3ef13744b0.jpg"/><Relationship Id="rId68" Type="http://schemas.openxmlformats.org/officeDocument/2006/relationships/image" Target="media/434b8ca61bff15756b23206524afaa732c523185.jpg"/><Relationship Id="rId69" Type="http://schemas.openxmlformats.org/officeDocument/2006/relationships/image" Target="media/abd698a42cb600c19ebf8c14d929fd10bccd1e65.jpg"/><Relationship Id="rId70" Type="http://schemas.openxmlformats.org/officeDocument/2006/relationships/image" Target="media/f354137ca857eaca779e4c35c48374a5be4dca4d.jpg"/><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Un-named</cp:lastModifiedBy>
  <cp:revision>1</cp:revision>
  <dcterms:created xsi:type="dcterms:W3CDTF">2026-09-21T18:54:22.339Z</dcterms:created>
  <dcterms:modified xsi:type="dcterms:W3CDTF">2026-09-21T18:54:22.346Z</dcterms:modified>
</cp:coreProperties>
</file>

<file path=docProps/custom.xml><?xml version="1.0" encoding="utf-8"?>
<Properties xmlns="http://schemas.openxmlformats.org/officeDocument/2006/custom-properties" xmlns:vt="http://schemas.openxmlformats.org/officeDocument/2006/docPropsVTypes"/>
</file>