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7: Data Analyst</w:t>
      </w:r>
    </w:p>
    <w:p>
      <w:pPr>
        <w:spacing w:after="700" w:line="300"/>
      </w:pPr>
      <w:r>
        <w:rPr>
          <w:color w:val="5B6670"/>
          <w:sz w:val="28"/>
          <w:szCs w:val="28"/>
        </w:rPr>
        <w:t xml:space="preserve">Step-by-step instructions for the Data Analyst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Analysts monitoring progress and working with de-identified data</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monitor fieldwork through the dashboards and Reports and prepare analysis from the de-identified export. Your role is read-only: you cannot change any record, and you never see names or contact details.</w:t>
      </w:r>
    </w:p>
    <w:p>
      <w:pPr>
        <w:pStyle w:val="Heading3"/>
      </w:pPr>
      <w:r>
        <w:t xml:space="preserve">You can</w:t>
      </w:r>
    </w:p>
    <w:p>
      <w:pPr>
        <w:pStyle w:val="ListParagraph"/>
        <w:numPr>
          <w:ilvl w:val="0"/>
          <w:numId w:val="2"/>
        </w:numPr>
        <w:spacing w:after="60" w:line="276"/>
      </w:pPr>
      <w:r>
        <w:t xml:space="preserve">Open the Executive, Sampling, Contact and KII/Doc dashboards, Reports and Cost (view).</w:t>
      </w:r>
    </w:p>
    <w:p>
      <w:pPr>
        <w:pStyle w:val="ListParagraph"/>
        <w:numPr>
          <w:ilvl w:val="0"/>
          <w:numId w:val="2"/>
        </w:numPr>
        <w:spacing w:after="60" w:line="276"/>
      </w:pPr>
      <w:r>
        <w:t xml:space="preserve">Download the de-identified analysis export (CSV).</w:t>
      </w:r>
    </w:p>
    <w:p>
      <w:pPr>
        <w:spacing w:after="60"/>
      </w:pPr>
    </w:p>
    <w:p>
      <w:pPr>
        <w:pStyle w:val="Heading3"/>
      </w:pPr>
      <w:r>
        <w:t xml:space="preserve">You cannot</w:t>
      </w:r>
    </w:p>
    <w:p>
      <w:pPr>
        <w:pStyle w:val="ListParagraph"/>
        <w:numPr>
          <w:ilvl w:val="0"/>
          <w:numId w:val="2"/>
        </w:numPr>
        <w:spacing w:after="60" w:line="276"/>
      </w:pPr>
      <w:r>
        <w:t xml:space="preserve">Change any record anywhere.</w:t>
      </w:r>
    </w:p>
    <w:p>
      <w:pPr>
        <w:pStyle w:val="ListParagraph"/>
        <w:numPr>
          <w:ilvl w:val="0"/>
          <w:numId w:val="2"/>
        </w:numPr>
        <w:spacing w:after="60" w:line="276"/>
      </w:pPr>
      <w:r>
        <w:t xml:space="preserve">See case pages, respondent names, contact details or completed forms.</w:t>
      </w:r>
    </w:p>
    <w:p>
      <w:pPr>
        <w:pStyle w:val="ListParagraph"/>
        <w:numPr>
          <w:ilvl w:val="0"/>
          <w:numId w:val="2"/>
        </w:numPr>
        <w:spacing w:after="60" w:line="276"/>
      </w:pPr>
      <w:r>
        <w:t xml:space="preserve">Download the operational export or the KoboToolbox data (ask the PI for the de-identified extracts you need).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(Data Analyst)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KII/Doc</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and coverage.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with charts and tables.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Spend and cost per completed case (view only).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for the last 7 and 30 days; coverage by province, organisation type and size; mode balance; completion times.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the analysis export; update progress tables for the PI and supervisors.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data lock</w:t>
            </w:r>
          </w:p>
        </w:tc>
        <w:tc>
          <w:tcPr>
            <w:tcW w:type="dxa" w:w="7341"/>
            <w:tcMar>
              <w:top w:type="dxa" w:w="70"/>
              <w:left w:type="dxa" w:w="110"/>
              <w:bottom w:type="dxa" w:w="70"/>
              <w:right w:type="dxa" w:w="110"/>
            </w:tcMar>
            <w:vAlign w:val="top"/>
          </w:tcPr>
          <w:p>
            <w:pPr>
              <w:spacing w:after="40"/>
            </w:pPr>
            <w:r>
              <w:rPr>
                <w:b w:val="false"/>
                <w:bCs w:val="false"/>
                <w:sz w:val="19"/>
                <w:szCs w:val="19"/>
              </w:rPr>
              <w:t xml:space="preserve">Agree the final export and cleaning plan with the PI.</w:t>
            </w:r>
          </w:p>
        </w:tc>
      </w:tr>
    </w:tbl>
    <w:p>
      <w:pPr>
        <w:spacing w:after="120"/>
      </w:pPr>
    </w:p>
    <w:p>
      <w:pPr>
        <w:pStyle w:val="Heading1"/>
        <w:pageBreakBefore/>
      </w:pPr>
      <w:r>
        <w:t xml:space="preserve">4. Step-by-step tasks</w:t>
      </w:r>
    </w:p>
    <w:p>
      <w:pPr>
        <w:pStyle w:val="Heading2"/>
      </w:pPr>
      <w:r>
        <w:t xml:space="preserve">4.1 Your start screen</w:t>
      </w:r>
    </w:p>
    <w:p>
      <w:pPr>
        <w:keepNext/>
        <w:spacing w:after="40" w:before="80"/>
        <w:jc w:val="center"/>
      </w:pPr>
      <w:r>
        <w:drawing>
          <wp:inline distT="0" distB="0" distL="0" distR="0">
            <wp:extent cx="5715000" cy="3571875"/>
            <wp:effectExtent t="0" r="0" b="0" l="0"/>
            <wp:docPr id="1"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as seen by the Analyst.</w:t>
      </w: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Downloading data</w:t>
      </w:r>
    </w:p>
    <w:p>
      <w:pPr>
        <w:keepNext/>
        <w:spacing w:after="40" w:before="80"/>
        <w:jc w:val="center"/>
      </w:pPr>
      <w:r>
        <w:drawing>
          <wp:inline distT="0" distB="0" distL="0" distR="0">
            <wp:extent cx="5715000" cy="1876425"/>
            <wp:effectExtent t="0" r="0" b="0" l="0"/>
            <wp:docPr id="1"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2"/>
      </w:pPr>
      <w:r>
        <w:t xml:space="preserve">4.5 Working with the analysis export</w:t>
      </w:r>
    </w:p>
    <w:p>
      <w:pPr>
        <w:pStyle w:val="ListParagraph"/>
        <w:numPr>
          <w:ilvl w:val="0"/>
          <w:numId w:val="2"/>
        </w:numPr>
        <w:spacing w:after="60" w:line="276"/>
      </w:pPr>
      <w:r>
        <w:t xml:space="preserve">One row per questionnaire submission. </w:t>
      </w:r>
      <w:r>
        <w:rPr>
          <w:rFonts w:ascii="Consolas" w:cs="Consolas" w:eastAsia="Consolas" w:hAnsi="Consolas"/>
          <w:b w:val="false"/>
          <w:bCs w:val="false"/>
          <w:color w:val="122238"/>
          <w:sz w:val="19"/>
          <w:szCs w:val="19"/>
        </w:rPr>
        <w:t xml:space="preserve">sample_id</w:t>
      </w:r>
      <w:r>
        <w:t xml:space="preserve"> links to the case; </w:t>
      </w:r>
      <w:r>
        <w:rPr>
          <w:rFonts w:ascii="Consolas" w:cs="Consolas" w:eastAsia="Consolas" w:hAnsi="Consolas"/>
          <w:b w:val="false"/>
          <w:bCs w:val="false"/>
          <w:color w:val="122238"/>
          <w:sz w:val="19"/>
          <w:szCs w:val="19"/>
        </w:rPr>
        <w:t xml:space="preserve">master_id</w:t>
      </w:r>
      <w:r>
        <w:t xml:space="preserve"> to the organisation.</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qa_status</w:t>
      </w:r>
      <w:r>
        <w:t xml:space="preserve">: use only </w:t>
      </w:r>
      <w:r>
        <w:rPr>
          <w:b/>
          <w:bCs/>
        </w:rPr>
        <w:t xml:space="preserve">QA_PASSED</w:t>
      </w:r>
      <w:r>
        <w:t xml:space="preserve"> rows for the main analysis unless the PI says otherwise.</w:t>
      </w:r>
    </w:p>
    <w:p>
      <w:pPr>
        <w:pStyle w:val="ListParagraph"/>
        <w:numPr>
          <w:ilvl w:val="0"/>
          <w:numId w:val="2"/>
        </w:numPr>
        <w:spacing w:after="60" w:line="276"/>
      </w:pPr>
      <w:r>
        <w:t xml:space="preserve">Participants who withdrew after submitting are already left out of this export (PI decision, 15 September 2026).</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completion_seconds</w:t>
      </w:r>
      <w:r>
        <w:t xml:space="preserve"> is the time taken; </w:t>
      </w:r>
      <w:r>
        <w:rPr>
          <w:rFonts w:ascii="Consolas" w:cs="Consolas" w:eastAsia="Consolas" w:hAnsi="Consolas"/>
          <w:b w:val="false"/>
          <w:bCs w:val="false"/>
          <w:color w:val="122238"/>
          <w:sz w:val="19"/>
          <w:szCs w:val="19"/>
        </w:rPr>
        <w:t xml:space="preserve">administration_mode</w:t>
      </w:r>
      <w:r>
        <w:t xml:space="preserve"> is 01–06 (see the table in the Quick reference).</w:t>
      </w:r>
    </w:p>
    <w:p>
      <w:pPr>
        <w:pStyle w:val="ListParagraph"/>
        <w:numPr>
          <w:ilvl w:val="0"/>
          <w:numId w:val="2"/>
        </w:numPr>
        <w:spacing w:after="60" w:line="276"/>
      </w:pPr>
      <w:r>
        <w:t xml:space="preserve">Store exports only on encrypted, access-controlled storage and delete working copies when no longer needed.</w:t>
      </w:r>
    </w:p>
    <w:p>
      <w:pPr>
        <w:spacing w:after="60"/>
      </w:pPr>
    </w:p>
    <w:p>
      <w:pPr>
        <w:pStyle w:val="Heading1"/>
        <w:pageBreakBefore/>
      </w:pPr>
      <w:r>
        <w:t xml:space="preserve">5. Rules you must follow</w:t>
      </w:r>
    </w:p>
    <w:p>
      <w:pPr>
        <w:pStyle w:val="ListParagraph"/>
        <w:numPr>
          <w:ilvl w:val="0"/>
          <w:numId w:val="2"/>
        </w:numPr>
        <w:spacing w:after="60" w:line="276"/>
      </w:pPr>
      <w:r>
        <w:t xml:space="preserve">Never try to re-identify organisations or people from exported data.</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Export button missing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Only the de-identified export is available to Analysts.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PI for any further extract.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Administration modes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01 Web self-administration; 02 WhatsApp link, self-completion; 03 Telephone, interviewer-administered; 04 WhatsApp call, interviewer-assisted; 05 Video call, interviewer-assisted; 06 Face to face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8.8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8.10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7 · Data Analyst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b91b581b09337bb23f679b76001661051c6cc9e.jpg"/><Relationship Id="rId15" Type="http://schemas.openxmlformats.org/officeDocument/2006/relationships/image" Target="media/e67a3b41ad31830d0a6d35510b8466d1c6a8ade6.jpg"/><Relationship Id="rId16" Type="http://schemas.openxmlformats.org/officeDocument/2006/relationships/image" Target="media/0df8b87650df43f0163d04ca0d1666befd254073.jpg"/><Relationship Id="rId17" Type="http://schemas.openxmlformats.org/officeDocument/2006/relationships/image" Target="media/fc1bb911a479d206fae15d1be7de3779d6382f25.jpg"/><Relationship Id="rId18" Type="http://schemas.openxmlformats.org/officeDocument/2006/relationships/image" Target="media/51e08ceb12e27bba247b8e91a517c26439f11061.jpg"/><Relationship Id="rId19" Type="http://schemas.openxmlformats.org/officeDocument/2006/relationships/image" Target="media/4edb0e7f342465c561eec1cbce99a1e92cd50760.jpg"/><Relationship Id="rId20" Type="http://schemas.openxmlformats.org/officeDocument/2006/relationships/image" Target="media/aeb03538f4861c1892a516c49524165a7d2e0dd1.jpg"/><Relationship Id="rId21" Type="http://schemas.openxmlformats.org/officeDocument/2006/relationships/image" Target="media/78a5edc81e1f24d57d716107ff9f9a4db861f9d3.jpg"/><Relationship Id="rId22" Type="http://schemas.openxmlformats.org/officeDocument/2006/relationships/image" Target="media/79d0f9c645d463e4bcfb1ce3c6acee31dfac8aa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Un-named</cp:lastModifiedBy>
  <cp:revision>1</cp:revision>
  <dcterms:created xsi:type="dcterms:W3CDTF">2026-10-26T04:33:20.254Z</dcterms:created>
  <dcterms:modified xsi:type="dcterms:W3CDTF">2026-10-26T04:33:20.254Z</dcterms:modified>
</cp:coreProperties>
</file>

<file path=docProps/custom.xml><?xml version="1.0" encoding="utf-8"?>
<Properties xmlns="http://schemas.openxmlformats.org/officeDocument/2006/custom-properties" xmlns:vt="http://schemas.openxmlformats.org/officeDocument/2006/docPropsVTypes"/>
</file>