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Screen and Button Reference</w:t>
      </w:r>
    </w:p>
    <w:p>
      <w:pPr>
        <w:spacing w:after="700" w:line="300"/>
      </w:pPr>
      <w:r>
        <w:rPr>
          <w:color w:val="5B6670"/>
          <w:sz w:val="28"/>
          <w:szCs w:val="28"/>
        </w:rPr>
        <w:t xml:space="preserve">Every screen and every button: what it does, when to use it, why it exists and what happens next.</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Everyone who uses the portal: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1.40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reference</w:t>
      </w:r>
    </w:p>
    <w:p>
      <w:pPr>
        <w:spacing w:after="120" w:line="288"/>
      </w:pPr>
      <w:r>
        <w:t xml:space="preserve">The other manuals tell you how to do a task, step by step. This one is the opposite: it takes every screen of the ABF-FST Research Operations Centre and, for each button, field and choice on it, says what it does, when to use it, </w:t>
      </w:r>
      <w:r>
        <w:rPr>
          <w:b/>
          <w:bCs/>
        </w:rPr>
        <w:t xml:space="preserve">why it exists</w:t>
      </w:r>
      <w:r>
        <w:t xml:space="preserve"> and </w:t>
      </w:r>
      <w:r>
        <w:rPr>
          <w:b/>
          <w:bCs/>
        </w:rPr>
        <w:t xml:space="preserve">what you will see next</w:t>
      </w:r>
      <w:r>
        <w:t xml:space="preserve">.</w:t>
      </w:r>
    </w:p>
    <w:p>
      <w:pPr>
        <w:spacing w:after="120" w:line="288"/>
      </w:pPr>
      <w:r>
        <w:t xml:space="preserve">Use it when you wonder “what does this button do?”, “why is it greyed out?” or “what happens if I press it?”. It is written from the actual screens, so the labels are the ones you see.</w:t>
      </w:r>
    </w:p>
    <w:p>
      <w:pPr>
        <w:pStyle w:val="Heading3"/>
      </w:pPr>
      <w:r>
        <w:t xml:space="preserve">How each table works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Column</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Control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label of the button, field or choice, exactly as on screen. If only some roles see it, the roles are named.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it does and when to use it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action, and the situation it is for.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Why it exists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rule, risk or research requirement behind it. When a button is greyed out, this is usually where the reason is.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next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What you will see or what will have changed afterwards, including any confirmation and whether it is audited.</w:t>
            </w:r>
          </w:p>
        </w:tc>
      </w:tr>
    </w:tbl>
    <w:p>
      <w:pPr>
        <w:spacing w:after="120"/>
      </w:pPr>
    </w:p>
    <w:p>
      <w:pPr>
        <w:pStyle w:val="Heading3"/>
      </w:pPr>
      <w:r>
        <w:t xml:space="preserve">The other manuals</w:t>
      </w:r>
    </w:p>
    <w:p>
      <w:pPr>
        <w:pStyle w:val="ListParagraph"/>
        <w:numPr>
          <w:ilvl w:val="0"/>
          <w:numId w:val="2"/>
        </w:numPr>
        <w:spacing w:after="60" w:line="276"/>
      </w:pPr>
      <w:r>
        <w:rPr>
          <w:b/>
          <w:bCs/>
        </w:rPr>
        <w:t xml:space="preserve">Role Guides 1 to 8</w:t>
      </w:r>
      <w:r>
        <w:t xml:space="preserve"> teach each role its routine, step by step. Each ends with this reference cut down to that role.</w:t>
      </w:r>
    </w:p>
    <w:p>
      <w:pPr>
        <w:pStyle w:val="ListParagraph"/>
        <w:numPr>
          <w:ilvl w:val="0"/>
          <w:numId w:val="2"/>
        </w:numPr>
        <w:spacing w:after="60" w:line="276"/>
      </w:pPr>
      <w:r>
        <w:rPr>
          <w:b/>
          <w:bCs/>
        </w:rPr>
        <w:t xml:space="preserve">System Manual</w:t>
      </w:r>
      <w:r>
        <w:t xml:space="preserve">: how the whole system works and how the parts fit together.</w:t>
      </w:r>
    </w:p>
    <w:p>
      <w:pPr>
        <w:pStyle w:val="ListParagraph"/>
        <w:numPr>
          <w:ilvl w:val="0"/>
          <w:numId w:val="2"/>
        </w:numPr>
        <w:spacing w:after="60" w:line="276"/>
      </w:pPr>
      <w:r>
        <w:rPr>
          <w:b/>
          <w:bCs/>
        </w:rPr>
        <w:t xml:space="preserve">RA Training Manual</w:t>
      </w:r>
      <w:r>
        <w:t xml:space="preserve">: learn by doing, with practice exercises.</w:t>
      </w:r>
    </w:p>
    <w:p>
      <w:pPr>
        <w:spacing w:after="60"/>
      </w:pPr>
    </w:p>
    <w:p>
      <w:pPr>
        <w:pStyle w:val="Heading1"/>
        <w:pageBreakBefore/>
      </w:pPr>
      <w:r>
        <w:t xml:space="preserve">2. Rules that apply on every screen</w:t>
      </w:r>
    </w:p>
    <w:p>
      <w:pPr>
        <w:pStyle w:val="ListParagraph"/>
        <w:numPr>
          <w:ilvl w:val="0"/>
          <w:numId w:val="2"/>
        </w:numPr>
        <w:spacing w:after="60" w:line="276"/>
      </w:pPr>
      <w:r>
        <w:rPr>
          <w:b/>
          <w:bCs/>
        </w:rPr>
        <w:t xml:space="preserve">The menu shows only your screens.</w:t>
      </w:r>
      <w:r>
        <w:t xml:space="preserve"> The server builds it from your role. A screen that is not yours says “This screen isn't part of your role”.</w:t>
      </w:r>
    </w:p>
    <w:p>
      <w:pPr>
        <w:pStyle w:val="ListParagraph"/>
        <w:numPr>
          <w:ilvl w:val="0"/>
          <w:numId w:val="2"/>
        </w:numPr>
        <w:spacing w:after="60" w:line="276"/>
      </w:pPr>
      <w:r>
        <w:rPr>
          <w:b/>
          <w:bCs/>
        </w:rPr>
        <w:t xml:space="preserve">Read-only roles see no write buttons.</w:t>
      </w:r>
      <w:r>
        <w:t xml:space="preserve"> Supervisors and Analysts can open their screens but every button that would change something is replaced by a note. Each Role Guide's appendix lists only what its role can see.</w:t>
      </w:r>
    </w:p>
    <w:p>
      <w:pPr>
        <w:pStyle w:val="ListParagraph"/>
        <w:numPr>
          <w:ilvl w:val="0"/>
          <w:numId w:val="2"/>
        </w:numPr>
        <w:spacing w:after="60" w:line="276"/>
      </w:pPr>
      <w:r>
        <w:rPr>
          <w:b/>
          <w:bCs/>
        </w:rPr>
        <w:t xml:space="preserve">A greyed-out button is waiting for something.</w:t>
      </w:r>
      <w:r>
        <w:t xml:space="preserve"> Usually a required note, a required choice, or a step that must come first (for example Include is greyed out until authenticity is assessed). The “Why it exists” column says which.</w:t>
      </w:r>
    </w:p>
    <w:p>
      <w:pPr>
        <w:pStyle w:val="ListParagraph"/>
        <w:numPr>
          <w:ilvl w:val="0"/>
          <w:numId w:val="2"/>
        </w:numPr>
        <w:spacing w:after="60" w:line="276"/>
      </w:pPr>
      <w:r>
        <w:rPr>
          <w:b/>
          <w:bCs/>
        </w:rPr>
        <w:t xml:space="preserve">Confirmations protect what cannot be undone.</w:t>
      </w:r>
      <w:r>
        <w:t xml:space="preserve"> Moving many cases, recording a withdrawal, removing a file, regenerating a draft and submitting to KoboToolbox all ask first.</w:t>
      </w:r>
    </w:p>
    <w:p>
      <w:pPr>
        <w:pStyle w:val="ListParagraph"/>
        <w:numPr>
          <w:ilvl w:val="0"/>
          <w:numId w:val="2"/>
        </w:numPr>
        <w:spacing w:after="60" w:line="276"/>
      </w:pPr>
      <w:r>
        <w:rPr>
          <w:b/>
          <w:bCs/>
        </w:rPr>
        <w:t xml:space="preserve">Notes are required where a decision needs a reason.</w:t>
      </w:r>
      <w:r>
        <w:t xml:space="preserve"> QA decisions, closing a QA exception, activating a Reserve case and recording a withdrawal cannot be saved without one.</w:t>
      </w:r>
    </w:p>
    <w:p>
      <w:pPr>
        <w:pStyle w:val="ListParagraph"/>
        <w:numPr>
          <w:ilvl w:val="0"/>
          <w:numId w:val="2"/>
        </w:numPr>
        <w:spacing w:after="60" w:line="276"/>
      </w:pPr>
      <w:r>
        <w:rPr>
          <w:b/>
          <w:bCs/>
        </w:rPr>
        <w:t xml:space="preserve">Important actions are audited.</w:t>
      </w:r>
      <w:r>
        <w:t xml:space="preserve"> Decisions, downloads, submissions, withdrawals, activations and status changes are recorded with who, what and when. The audit log cannot be edited.</w:t>
      </w:r>
    </w:p>
    <w:p>
      <w:pPr>
        <w:pStyle w:val="ListParagraph"/>
        <w:numPr>
          <w:ilvl w:val="0"/>
          <w:numId w:val="2"/>
        </w:numPr>
        <w:spacing w:after="60" w:line="276"/>
      </w:pPr>
      <w:r>
        <w:rPr>
          <w:b/>
          <w:bCs/>
        </w:rPr>
        <w:t xml:space="preserve">Nothing personal goes into web addresses.</w:t>
      </w:r>
      <w:r>
        <w:t xml:space="preserve"> Links that open KoboToolbox carry only system IDs, never a name.</w:t>
      </w:r>
    </w:p>
    <w:p>
      <w:pPr>
        <w:pStyle w:val="ListParagraph"/>
        <w:numPr>
          <w:ilvl w:val="0"/>
          <w:numId w:val="2"/>
        </w:numPr>
        <w:spacing w:after="60" w:line="276"/>
      </w:pPr>
      <w:r>
        <w:rPr>
          <w:b/>
          <w:bCs/>
        </w:rPr>
        <w:t xml:space="preserve">Lists share one set of controls.</w:t>
      </w:r>
      <w:r>
        <w:t xml:space="preserve"> Every register has a </w:t>
      </w:r>
      <w:r>
        <w:rPr>
          <w:b/>
          <w:bCs/>
        </w:rPr>
        <w:t xml:space="preserve">Show</w:t>
      </w:r>
      <w:r>
        <w:t xml:space="preserve"> choice (10, 20, 50, 100 or 200 rows per page; your choice is remembered), page numbers, </w:t>
      </w:r>
      <w:r>
        <w:rPr>
          <w:b/>
          <w:bCs/>
        </w:rPr>
        <w:t xml:space="preserve">Previous</w:t>
      </w:r>
      <w:r>
        <w:t xml:space="preserve"> and </w:t>
      </w:r>
      <w:r>
        <w:rPr>
          <w:b/>
          <w:bCs/>
        </w:rPr>
        <w:t xml:space="preserve">Next</w:t>
      </w:r>
      <w:r>
        <w:t xml:space="preserve"> and first/last page arrows, and usually a </w:t>
      </w:r>
      <w:r>
        <w:rPr>
          <w:b/>
          <w:bCs/>
        </w:rPr>
        <w:t xml:space="preserve">Search</w:t>
      </w:r>
      <w:r>
        <w:t xml:space="preserve"> box.</w:t>
      </w:r>
    </w:p>
    <w:p>
      <w:pPr>
        <w:spacing w:after="60"/>
      </w:pPr>
    </w:p>
    <w:p>
      <w:pPr>
        <w:pStyle w:val="Heading1"/>
        <w:pageBreakBefore/>
      </w:pPr>
      <w:r>
        <w:t xml:space="preserve">3. Who can open which screen</w:t>
      </w:r>
    </w:p>
    <w:p>
      <w:pPr>
        <w:spacing w:after="120" w:line="288"/>
      </w:pPr>
      <w:r>
        <w:t xml:space="preserve">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753"/>
        <w:gridCol w:w="753"/>
        <w:gridCol w:w="753"/>
        <w:gridCol w:w="753"/>
        <w:gridCol w:w="753"/>
        <w:gridCol w:w="753"/>
        <w:gridCol w:w="753"/>
        <w:gridCol w:w="753"/>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CRA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QA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KII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DOC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AN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SUP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Executive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Contact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 Document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Main-400 Register (and 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Pre-Interview Profile (PROIT) and its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 (verifying a locked profile)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 Queue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Follow-ups due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(with the KoboToolbox sync panel)</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Documents (the corpus)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New Documentary Evidence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review screen</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Completed forms (Form PDFs)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Cost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r>
    </w:tbl>
    <w:p>
      <w:pPr>
        <w:spacing w:after="120"/>
      </w:pPr>
    </w:p>
    <w:p>
      <w:pPr>
        <w:pStyle w:val="Heading1"/>
        <w:pageBreakBefore/>
      </w:pPr>
      <w:r>
        <w:t xml:space="preserve">4. Signing in and your account</w:t>
      </w:r>
    </w:p>
    <w:p>
      <w:pPr>
        <w:pStyle w:val="Heading2"/>
      </w:pPr>
      <w:r>
        <w:t xml:space="preserve">4.1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4.2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4.3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1"/>
        <w:pageBreakBefore/>
      </w:pPr>
      <w:r>
        <w:t xml:space="preserve">5. Dashboards and Reports (read-only)</w:t>
      </w:r>
    </w:p>
    <w:p>
      <w:pPr>
        <w:pStyle w:val="Heading2"/>
      </w:pPr>
      <w:r>
        <w:t xml:space="preserve">5.1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5.2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5.3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5.5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5.6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1"/>
        <w:pageBreakBefore/>
      </w:pPr>
      <w:r>
        <w:t xml:space="preserve">6. The sample and contact</w:t>
      </w:r>
    </w:p>
    <w:p>
      <w:pPr>
        <w:pStyle w:val="Heading2"/>
      </w:pPr>
      <w:r>
        <w:t xml:space="preserve">6.1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6.2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6.3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6.4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6.5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6.6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6.7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6.8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6.9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1"/>
        <w:pageBreakBefore/>
      </w:pPr>
      <w:r>
        <w:t xml:space="preserve">7. Quality checking</w:t>
      </w:r>
    </w:p>
    <w:p>
      <w:pPr>
        <w:pStyle w:val="Heading2"/>
      </w:pPr>
      <w:r>
        <w:t xml:space="preserve">7.1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7.2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1"/>
        <w:pageBreakBefore/>
      </w:pPr>
      <w:r>
        <w:t xml:space="preserve">8. Key Informant Interviews</w:t>
      </w:r>
    </w:p>
    <w:p>
      <w:pPr>
        <w:pStyle w:val="Heading2"/>
      </w:pPr>
      <w:r>
        <w:t xml:space="preserve">8.1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r>
              <w:rPr>
                <w:b w:val="false"/>
                <w:bCs w:val="false"/>
                <w:sz w:val="19"/>
                <w:szCs w:val="19"/>
              </w:rPr>
              <w:t xml:space="preserve"> (the PI, the Field Coordinator, KII RAs,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1"/>
        <w:pageBreakBefore/>
      </w:pPr>
      <w:r>
        <w:t xml:space="preserve">9. Documentary evidence</w:t>
      </w:r>
    </w:p>
    <w:p>
      <w:pPr>
        <w:pStyle w:val="Heading2"/>
      </w:pPr>
      <w:r>
        <w:t xml:space="preserve">9.1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r>
              <w:rPr>
                <w:b w:val="false"/>
                <w:bCs w:val="false"/>
                <w:sz w:val="19"/>
                <w:szCs w:val="19"/>
              </w:rPr>
              <w:t xml:space="preserve"> (the PI, the Field Coordinator, Documentary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9.2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9.3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9.4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1"/>
        <w:pageBreakBefore/>
      </w:pPr>
      <w:r>
        <w:t xml:space="preserve">10. Completed forms and exports</w:t>
      </w:r>
    </w:p>
    <w:p>
      <w:pPr>
        <w:pStyle w:val="Heading2"/>
      </w:pPr>
      <w:r>
        <w:t xml:space="preserve">10.1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r>
              <w:rPr>
                <w:b w:val="false"/>
                <w:bCs w:val="false"/>
                <w:sz w:val="19"/>
                <w:szCs w:val="19"/>
              </w:rPr>
              <w:t xml:space="preserve"> (the PI, the Field Coordinator, QA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1"/>
        <w:pageBreakBefore/>
      </w:pPr>
      <w:r>
        <w:t xml:space="preserve">11. Study administration</w:t>
      </w:r>
    </w:p>
    <w:p>
      <w:pPr>
        <w:pStyle w:val="Heading2"/>
      </w:pPr>
      <w:r>
        <w:t xml:space="preserve">11.1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11.2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11.3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11.4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1.40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Screen and Button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Un-named</cp:lastModifiedBy>
  <cp:revision>1</cp:revision>
  <dcterms:created xsi:type="dcterms:W3CDTF">2026-10-14T08:10:48.862Z</dcterms:created>
  <dcterms:modified xsi:type="dcterms:W3CDTF">2026-10-14T08:10:48.862Z</dcterms:modified>
</cp:coreProperties>
</file>

<file path=docProps/custom.xml><?xml version="1.0" encoding="utf-8"?>
<Properties xmlns="http://schemas.openxmlformats.org/officeDocument/2006/custom-properties" xmlns:vt="http://schemas.openxmlformats.org/officeDocument/2006/docPropsVTypes"/>
</file>