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pPr>
      <w:r>
        <w:rPr>
          <w:b/>
          <w:bCs/>
          <w:color w:val="A67C27"/>
          <w:spacing w:val="20"/>
          <w:sz w:val="20"/>
          <w:szCs w:val="20"/>
        </w:rPr>
        <w:t xml:space="preserve">CHINHOYI UNIVERSITY OF TECHNOLOGY · ABF-FST RESEARCH STUDY</w:t>
      </w:r>
    </w:p>
    <w:p>
      <w:pPr>
        <w:pBdr>
          <w:bottom w:val="single" w:color="A67C27" w:sz="18" w:space="12"/>
        </w:pBdr>
        <w:spacing w:after="160"/>
      </w:pPr>
      <w:r>
        <w:rPr>
          <w:b/>
          <w:bCs/>
          <w:color w:val="122238"/>
          <w:sz w:val="56"/>
          <w:szCs w:val="56"/>
        </w:rPr>
        <w:t xml:space="preserve">ABF-FST Digital Respondent Portal — System Manual</w:t>
      </w:r>
    </w:p>
    <w:p>
      <w:pPr>
        <w:spacing w:after="700" w:line="300"/>
      </w:pPr>
      <w:r>
        <w:rPr>
          <w:color w:val="5B6670"/>
          <w:sz w:val="28"/>
          <w:szCs w:val="28"/>
        </w:rPr>
        <w:t xml:space="preserve">How the system works and how to use it: every screen, every role, KoboToolbox, data, security and administration.</w:t>
      </w:r>
    </w:p>
    <w:tbl>
      <w:tblPr>
        <w:tblW w:type="dxa" w:w="9412"/>
        <w:tblBorders>
          <w:top w:val="single" w:color="D5DAE0" w:sz="4"/>
          <w:left w:val="none" w:color="FFFFFF" w:sz="0"/>
          <w:bottom w:val="single" w:color="D5DAE0" w:sz="4"/>
          <w:right w:val="none" w:color="FFFFFF" w:sz="0"/>
          <w:insideH w:val="single" w:color="D5DAE0" w:sz="4"/>
          <w:insideV w:val="none" w:color="FFFFFF" w:sz="0"/>
        </w:tblBorders>
      </w:tblPr>
      <w:tblGrid>
        <w:gridCol w:w="2300"/>
        <w:gridCol w:w="7112"/>
      </w:tblGrid>
      <w:tr>
        <w:tc>
          <w:tcPr>
            <w:tcW w:type="dxa" w:w="2300"/>
            <w:tcMar>
              <w:top w:type="dxa" w:w="70"/>
              <w:left w:type="dxa" w:w="110"/>
              <w:bottom w:type="dxa" w:w="70"/>
              <w:right w:type="dxa" w:w="110"/>
            </w:tcMar>
            <w:vAlign w:val="top"/>
          </w:tcPr>
          <w:p>
            <w:pPr>
              <w:spacing w:after="40"/>
            </w:pPr>
            <w:r>
              <w:rPr>
                <w:b/>
                <w:bCs/>
                <w:color w:val="A67C27"/>
                <w:sz w:val="19"/>
                <w:szCs w:val="19"/>
              </w:rPr>
              <w:t xml:space="preserve">STUDY</w:t>
            </w:r>
          </w:p>
        </w:tc>
        <w:tc>
          <w:tcPr>
            <w:tcW w:type="dxa" w:w="7112"/>
            <w:tcMar>
              <w:top w:type="dxa" w:w="70"/>
              <w:left w:type="dxa" w:w="110"/>
              <w:bottom w:type="dxa" w:w="70"/>
              <w:right w:type="dxa" w:w="110"/>
            </w:tcMar>
            <w:vAlign w:val="top"/>
          </w:tcPr>
          <w:p>
            <w:pPr>
              <w:spacing w:after="40"/>
            </w:pPr>
            <w:r>
              <w:rPr>
                <w:b w:val="false"/>
                <w:bCs w:val="false"/>
                <w:sz w:val="19"/>
                <w:szCs w:val="19"/>
              </w:rPr>
              <w:t xml:space="preserve">Developing and Validating the Agribusiness Bankability Framework for Food Systems Transformation through Novel Financing Models in Zimbabwe (ABF-FST)</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PRINCIPAL RESEARCHER</w:t>
            </w:r>
          </w:p>
        </w:tc>
        <w:tc>
          <w:tcPr>
            <w:tcW w:type="dxa" w:w="7112"/>
            <w:tcMar>
              <w:top w:type="dxa" w:w="70"/>
              <w:left w:type="dxa" w:w="110"/>
              <w:bottom w:type="dxa" w:w="70"/>
              <w:right w:type="dxa" w:w="110"/>
            </w:tcMar>
            <w:vAlign w:val="top"/>
          </w:tcPr>
          <w:p>
            <w:pPr>
              <w:spacing w:after="40"/>
            </w:pPr>
            <w:r>
              <w:rPr>
                <w:b w:val="false"/>
                <w:bCs w:val="false"/>
                <w:sz w:val="19"/>
                <w:szCs w:val="19"/>
              </w:rPr>
              <w:t xml:space="preserve">Happyson Saina, Doctor of Strategic Management candidate, Chinhoyi University of Technology</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SUPERVISORS</w:t>
            </w:r>
          </w:p>
        </w:tc>
        <w:tc>
          <w:tcPr>
            <w:tcW w:type="dxa" w:w="7112"/>
            <w:tcMar>
              <w:top w:type="dxa" w:w="70"/>
              <w:left w:type="dxa" w:w="110"/>
              <w:bottom w:type="dxa" w:w="70"/>
              <w:right w:type="dxa" w:w="110"/>
            </w:tcMar>
            <w:vAlign w:val="top"/>
          </w:tcPr>
          <w:p>
            <w:pPr>
              <w:spacing w:after="40"/>
            </w:pPr>
            <w:r>
              <w:rPr>
                <w:b w:val="false"/>
                <w:bCs w:val="false"/>
                <w:sz w:val="19"/>
                <w:szCs w:val="19"/>
              </w:rPr>
              <w:t xml:space="preserve">Dr L. Chikazhe and Dr J. Kanyepe</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FOR</w:t>
            </w:r>
          </w:p>
        </w:tc>
        <w:tc>
          <w:tcPr>
            <w:tcW w:type="dxa" w:w="7112"/>
            <w:tcMar>
              <w:top w:type="dxa" w:w="70"/>
              <w:left w:type="dxa" w:w="110"/>
              <w:bottom w:type="dxa" w:w="70"/>
              <w:right w:type="dxa" w:w="110"/>
            </w:tcMar>
            <w:vAlign w:val="top"/>
          </w:tcPr>
          <w:p>
            <w:pPr>
              <w:spacing w:after="40"/>
            </w:pPr>
            <w:r>
              <w:rPr>
                <w:b w:val="false"/>
                <w:bCs w:val="false"/>
                <w:sz w:val="19"/>
                <w:szCs w:val="19"/>
              </w:rPr>
              <w:t xml:space="preserve">The whole research team: PI, coordinators, research assistants, analysts and supervisors</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SYSTEM ADDRESS</w:t>
            </w:r>
          </w:p>
        </w:tc>
        <w:tc>
          <w:tcPr>
            <w:tcW w:type="dxa" w:w="7112"/>
            <w:tcMar>
              <w:top w:type="dxa" w:w="70"/>
              <w:left w:type="dxa" w:w="110"/>
              <w:bottom w:type="dxa" w:w="70"/>
              <w:right w:type="dxa" w:w="110"/>
            </w:tcMar>
            <w:vAlign w:val="top"/>
          </w:tcPr>
          <w:p>
            <w:pPr>
              <w:spacing w:after="40"/>
            </w:pPr>
            <w:r>
              <w:rPr>
                <w:b w:val="false"/>
                <w:bCs w:val="false"/>
                <w:sz w:val="19"/>
                <w:szCs w:val="19"/>
              </w:rPr>
              <w:t xml:space="preserve">https://research.agribizframework.com</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CONTACT</w:t>
            </w:r>
          </w:p>
        </w:tc>
        <w:tc>
          <w:tcPr>
            <w:tcW w:type="dxa" w:w="7112"/>
            <w:tcMar>
              <w:top w:type="dxa" w:w="70"/>
              <w:left w:type="dxa" w:w="110"/>
              <w:bottom w:type="dxa" w:w="70"/>
              <w:right w:type="dxa" w:w="110"/>
            </w:tcMar>
            <w:vAlign w:val="top"/>
          </w:tcPr>
          <w:p>
            <w:pPr>
              <w:spacing w:after="40"/>
            </w:pPr>
            <w:r>
              <w:rPr>
                <w:b w:val="false"/>
                <w:bCs w:val="false"/>
                <w:sz w:val="19"/>
                <w:szCs w:val="19"/>
              </w:rPr>
              <w:t xml:space="preserve">0773943709 · abffst.research@gmail.com</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VERSION</w:t>
            </w:r>
          </w:p>
        </w:tc>
        <w:tc>
          <w:tcPr>
            <w:tcW w:type="dxa" w:w="7112"/>
            <w:tcMar>
              <w:top w:type="dxa" w:w="70"/>
              <w:left w:type="dxa" w:w="110"/>
              <w:bottom w:type="dxa" w:w="70"/>
              <w:right w:type="dxa" w:w="110"/>
            </w:tcMar>
            <w:vAlign w:val="top"/>
          </w:tcPr>
          <w:p>
            <w:pPr>
              <w:spacing w:after="40"/>
            </w:pPr>
            <w:r>
              <w:rPr>
                <w:b w:val="false"/>
                <w:bCs w:val="false"/>
                <w:sz w:val="19"/>
                <w:szCs w:val="19"/>
              </w:rPr>
              <w:t xml:space="preserve">Version 1.42 · 14 October 2026</w:t>
            </w:r>
          </w:p>
        </w:tc>
      </w:tr>
    </w:tbl>
    <w:p>
      <w:pPr>
        <w:spacing w:after="500"/>
      </w:pPr>
    </w:p>
    <w:p>
      <w:r>
        <w:rPr>
          <w:i/>
          <w:iCs/>
          <w:color w:val="5B6670"/>
          <w:sz w:val="18"/>
          <w:szCs w:val="18"/>
        </w:rPr>
        <w:t xml:space="preserve">Screenshots in this document use </w:t>
      </w:r>
      <w:r>
        <w:rPr>
          <w:b/>
          <w:bCs/>
          <w:i/>
          <w:iCs/>
          <w:color w:val="5B6670"/>
          <w:sz w:val="18"/>
          <w:szCs w:val="18"/>
        </w:rPr>
        <w:t xml:space="preserve">fictional demonstration data</w:t>
      </w:r>
      <w:r>
        <w:rPr>
          <w:i/>
          <w:iCs/>
          <w:color w:val="5B6670"/>
          <w:sz w:val="18"/>
          <w:szCs w:val="18"/>
        </w:rPr>
        <w:t xml:space="preserve">. Organisation and person names, phone numbers and figures shown in them are not real study records.</w:t>
      </w:r>
    </w:p>
    <w:p>
      <w:r>
        <w:br w:type="page"/>
      </w:r>
    </w:p>
    <w:p>
      <w:pPr>
        <w:spacing w:after="200"/>
      </w:pPr>
      <w:r>
        <w:rPr>
          <w:b/>
          <w:bCs/>
          <w:color w:val="122238"/>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About this manual</w:t>
      </w:r>
    </w:p>
    <w:p>
      <w:pPr>
        <w:spacing w:after="120" w:line="288"/>
      </w:pPr>
      <w:r>
        <w:t xml:space="preserve">This manual explains the ABF-FST Digital Respondent Portal from end to end: what it is for, how its parts fit together, what every screen does, and how to carry out each task. It is the reference document for the whole team.</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3953"/>
        <w:gridCol w:w="5459"/>
      </w:tblGrid>
      <w:tr>
        <w:trPr>
          <w:tblHeader/>
        </w:trPr>
        <w:tc>
          <w:tcPr>
            <w:tcW w:type="dxa" w:w="3953"/>
            <w:shd w:fill="1B3350" w:color="auto" w:val="clear"/>
            <w:tcMar>
              <w:top w:type="dxa" w:w="70"/>
              <w:left w:type="dxa" w:w="110"/>
              <w:bottom w:type="dxa" w:w="70"/>
              <w:right w:type="dxa" w:w="110"/>
            </w:tcMar>
            <w:vAlign w:val="top"/>
          </w:tcPr>
          <w:p>
            <w:pPr>
              <w:spacing w:after="40"/>
            </w:pPr>
            <w:r>
              <w:rPr>
                <w:b/>
                <w:bCs/>
                <w:color w:val="FFFFFF"/>
                <w:sz w:val="19"/>
                <w:szCs w:val="19"/>
              </w:rPr>
              <w:t xml:space="preserve">Document</w:t>
            </w:r>
          </w:p>
        </w:tc>
        <w:tc>
          <w:tcPr>
            <w:tcW w:type="dxa" w:w="5459"/>
            <w:shd w:fill="1B3350" w:color="auto" w:val="clear"/>
            <w:tcMar>
              <w:top w:type="dxa" w:w="70"/>
              <w:left w:type="dxa" w:w="110"/>
              <w:bottom w:type="dxa" w:w="70"/>
              <w:right w:type="dxa" w:w="110"/>
            </w:tcMar>
            <w:vAlign w:val="top"/>
          </w:tcPr>
          <w:p>
            <w:pPr>
              <w:spacing w:after="40"/>
            </w:pPr>
            <w:r>
              <w:rPr>
                <w:b/>
                <w:bCs/>
                <w:color w:val="FFFFFF"/>
                <w:sz w:val="19"/>
                <w:szCs w:val="19"/>
              </w:rPr>
              <w:t xml:space="preserve">Read it if you are</w:t>
            </w:r>
          </w:p>
        </w:tc>
      </w:tr>
      <w:tr>
        <w:trPr>
          <w:cantSplit/>
        </w:trPr>
        <w:tc>
          <w:tcPr>
            <w:tcW w:type="dxa" w:w="3953"/>
            <w:tcMar>
              <w:top w:type="dxa" w:w="70"/>
              <w:left w:type="dxa" w:w="110"/>
              <w:bottom w:type="dxa" w:w="70"/>
              <w:right w:type="dxa" w:w="110"/>
            </w:tcMar>
            <w:vAlign w:val="top"/>
          </w:tcPr>
          <w:p>
            <w:pPr>
              <w:spacing w:after="40"/>
            </w:pPr>
            <w:r>
              <w:rPr>
                <w:b w:val="false"/>
                <w:bCs w:val="false"/>
                <w:sz w:val="19"/>
                <w:szCs w:val="19"/>
              </w:rPr>
              <w:t xml:space="preserve">System Manual</w:t>
            </w:r>
            <w:r>
              <w:rPr>
                <w:b w:val="false"/>
                <w:bCs w:val="false"/>
                <w:sz w:val="19"/>
                <w:szCs w:val="19"/>
              </w:rPr>
              <w:t xml:space="preserve"> (this document)</w:t>
            </w:r>
          </w:p>
        </w:tc>
        <w:tc>
          <w:tcPr>
            <w:tcW w:type="dxa" w:w="5459"/>
            <w:tcMar>
              <w:top w:type="dxa" w:w="70"/>
              <w:left w:type="dxa" w:w="110"/>
              <w:bottom w:type="dxa" w:w="70"/>
              <w:right w:type="dxa" w:w="110"/>
            </w:tcMar>
            <w:vAlign w:val="top"/>
          </w:tcPr>
          <w:p>
            <w:pPr>
              <w:spacing w:after="40"/>
            </w:pPr>
            <w:r>
              <w:rPr>
                <w:b w:val="false"/>
                <w:bCs w:val="false"/>
                <w:sz w:val="19"/>
                <w:szCs w:val="19"/>
              </w:rPr>
              <w:t xml:space="preserve">Anyone who needs the complete picture, especially the PI and Field Coordinator.</w:t>
            </w:r>
          </w:p>
        </w:tc>
      </w:tr>
      <w:tr>
        <w:trPr>
          <w:cantSplit/>
        </w:trPr>
        <w:tc>
          <w:tcPr>
            <w:tcW w:type="dxa" w:w="3953"/>
            <w:shd w:fill="F8FAFB" w:color="auto" w:val="clear"/>
            <w:tcMar>
              <w:top w:type="dxa" w:w="70"/>
              <w:left w:type="dxa" w:w="110"/>
              <w:bottom w:type="dxa" w:w="70"/>
              <w:right w:type="dxa" w:w="110"/>
            </w:tcMar>
            <w:vAlign w:val="top"/>
          </w:tcPr>
          <w:p>
            <w:pPr>
              <w:spacing w:after="40"/>
            </w:pPr>
            <w:r>
              <w:rPr>
                <w:b w:val="false"/>
                <w:bCs w:val="false"/>
                <w:sz w:val="19"/>
                <w:szCs w:val="19"/>
              </w:rPr>
              <w:t xml:space="preserve">Screen and Button Reference</w:t>
            </w:r>
          </w:p>
        </w:tc>
        <w:tc>
          <w:tcPr>
            <w:tcW w:type="dxa" w:w="5459"/>
            <w:shd w:fill="F8FAFB" w:color="auto" w:val="clear"/>
            <w:tcMar>
              <w:top w:type="dxa" w:w="70"/>
              <w:left w:type="dxa" w:w="110"/>
              <w:bottom w:type="dxa" w:w="70"/>
              <w:right w:type="dxa" w:w="110"/>
            </w:tcMar>
            <w:vAlign w:val="top"/>
          </w:tcPr>
          <w:p>
            <w:pPr>
              <w:spacing w:after="40"/>
            </w:pPr>
            <w:r>
              <w:rPr>
                <w:b w:val="false"/>
                <w:bCs w:val="false"/>
                <w:sz w:val="19"/>
                <w:szCs w:val="19"/>
              </w:rPr>
              <w:t xml:space="preserve">Anyone who wants to know what every button does, why it exists and what happens next.</w:t>
            </w:r>
          </w:p>
        </w:tc>
      </w:tr>
      <w:tr>
        <w:trPr>
          <w:cantSplit/>
        </w:trPr>
        <w:tc>
          <w:tcPr>
            <w:tcW w:type="dxa" w:w="3953"/>
            <w:tcMar>
              <w:top w:type="dxa" w:w="70"/>
              <w:left w:type="dxa" w:w="110"/>
              <w:bottom w:type="dxa" w:w="70"/>
              <w:right w:type="dxa" w:w="110"/>
            </w:tcMar>
            <w:vAlign w:val="top"/>
          </w:tcPr>
          <w:p>
            <w:pPr>
              <w:spacing w:after="40"/>
            </w:pPr>
            <w:r>
              <w:rPr>
                <w:b w:val="false"/>
                <w:bCs w:val="false"/>
                <w:sz w:val="19"/>
                <w:szCs w:val="19"/>
              </w:rPr>
              <w:t xml:space="preserve">Role Guide 1 — PI / System Admin</w:t>
            </w:r>
          </w:p>
        </w:tc>
        <w:tc>
          <w:tcPr>
            <w:tcW w:type="dxa" w:w="5459"/>
            <w:tcMar>
              <w:top w:type="dxa" w:w="70"/>
              <w:left w:type="dxa" w:w="110"/>
              <w:bottom w:type="dxa" w:w="70"/>
              <w:right w:type="dxa" w:w="110"/>
            </w:tcMar>
            <w:vAlign w:val="top"/>
          </w:tcPr>
          <w:p>
            <w:pPr>
              <w:spacing w:after="40"/>
            </w:pPr>
            <w:r>
              <w:rPr>
                <w:b w:val="false"/>
                <w:bCs w:val="false"/>
                <w:sz w:val="19"/>
                <w:szCs w:val="19"/>
              </w:rPr>
              <w:t xml:space="preserve">The Principal Investigator.</w:t>
            </w:r>
          </w:p>
        </w:tc>
      </w:tr>
      <w:tr>
        <w:trPr>
          <w:cantSplit/>
        </w:trPr>
        <w:tc>
          <w:tcPr>
            <w:tcW w:type="dxa" w:w="3953"/>
            <w:shd w:fill="F8FAFB" w:color="auto" w:val="clear"/>
            <w:tcMar>
              <w:top w:type="dxa" w:w="70"/>
              <w:left w:type="dxa" w:w="110"/>
              <w:bottom w:type="dxa" w:w="70"/>
              <w:right w:type="dxa" w:w="110"/>
            </w:tcMar>
            <w:vAlign w:val="top"/>
          </w:tcPr>
          <w:p>
            <w:pPr>
              <w:spacing w:after="40"/>
            </w:pPr>
            <w:r>
              <w:rPr>
                <w:b w:val="false"/>
                <w:bCs w:val="false"/>
                <w:sz w:val="19"/>
                <w:szCs w:val="19"/>
              </w:rPr>
              <w:t xml:space="preserve">Role Guide 2 — Field / Digital Coordinator</w:t>
            </w:r>
          </w:p>
        </w:tc>
        <w:tc>
          <w:tcPr>
            <w:tcW w:type="dxa" w:w="5459"/>
            <w:shd w:fill="F8FAFB" w:color="auto" w:val="clear"/>
            <w:tcMar>
              <w:top w:type="dxa" w:w="70"/>
              <w:left w:type="dxa" w:w="110"/>
              <w:bottom w:type="dxa" w:w="70"/>
              <w:right w:type="dxa" w:w="110"/>
            </w:tcMar>
            <w:vAlign w:val="top"/>
          </w:tcPr>
          <w:p>
            <w:pPr>
              <w:spacing w:after="40"/>
            </w:pPr>
            <w:r>
              <w:rPr>
                <w:b w:val="false"/>
                <w:bCs w:val="false"/>
                <w:sz w:val="19"/>
                <w:szCs w:val="19"/>
              </w:rPr>
              <w:t xml:space="preserve">Running day-to-day fieldwork.</w:t>
            </w:r>
          </w:p>
        </w:tc>
      </w:tr>
      <w:tr>
        <w:trPr>
          <w:cantSplit/>
        </w:trPr>
        <w:tc>
          <w:tcPr>
            <w:tcW w:type="dxa" w:w="3953"/>
            <w:tcMar>
              <w:top w:type="dxa" w:w="70"/>
              <w:left w:type="dxa" w:w="110"/>
              <w:bottom w:type="dxa" w:w="70"/>
              <w:right w:type="dxa" w:w="110"/>
            </w:tcMar>
            <w:vAlign w:val="top"/>
          </w:tcPr>
          <w:p>
            <w:pPr>
              <w:spacing w:after="40"/>
            </w:pPr>
            <w:r>
              <w:rPr>
                <w:b w:val="false"/>
                <w:bCs w:val="false"/>
                <w:sz w:val="19"/>
                <w:szCs w:val="19"/>
              </w:rPr>
              <w:t xml:space="preserve">Role Guide 3 — Contact RA</w:t>
            </w:r>
          </w:p>
        </w:tc>
        <w:tc>
          <w:tcPr>
            <w:tcW w:type="dxa" w:w="5459"/>
            <w:tcMar>
              <w:top w:type="dxa" w:w="70"/>
              <w:left w:type="dxa" w:w="110"/>
              <w:bottom w:type="dxa" w:w="70"/>
              <w:right w:type="dxa" w:w="110"/>
            </w:tcMar>
            <w:vAlign w:val="top"/>
          </w:tcPr>
          <w:p>
            <w:pPr>
              <w:spacing w:after="40"/>
            </w:pPr>
            <w:r>
              <w:rPr>
                <w:b w:val="false"/>
                <w:bCs w:val="false"/>
                <w:sz w:val="19"/>
                <w:szCs w:val="19"/>
              </w:rPr>
              <w:t xml:space="preserve">Contacting and inviting organisations.</w:t>
            </w:r>
          </w:p>
        </w:tc>
      </w:tr>
      <w:tr>
        <w:trPr>
          <w:cantSplit/>
        </w:trPr>
        <w:tc>
          <w:tcPr>
            <w:tcW w:type="dxa" w:w="3953"/>
            <w:shd w:fill="F8FAFB" w:color="auto" w:val="clear"/>
            <w:tcMar>
              <w:top w:type="dxa" w:w="70"/>
              <w:left w:type="dxa" w:w="110"/>
              <w:bottom w:type="dxa" w:w="70"/>
              <w:right w:type="dxa" w:w="110"/>
            </w:tcMar>
            <w:vAlign w:val="top"/>
          </w:tcPr>
          <w:p>
            <w:pPr>
              <w:spacing w:after="40"/>
            </w:pPr>
            <w:r>
              <w:rPr>
                <w:b w:val="false"/>
                <w:bCs w:val="false"/>
                <w:sz w:val="19"/>
                <w:szCs w:val="19"/>
              </w:rPr>
              <w:t xml:space="preserve">Role Guide 4 — QUAN/Kobo QA RA</w:t>
            </w:r>
          </w:p>
        </w:tc>
        <w:tc>
          <w:tcPr>
            <w:tcW w:type="dxa" w:w="5459"/>
            <w:shd w:fill="F8FAFB" w:color="auto" w:val="clear"/>
            <w:tcMar>
              <w:top w:type="dxa" w:w="70"/>
              <w:left w:type="dxa" w:w="110"/>
              <w:bottom w:type="dxa" w:w="70"/>
              <w:right w:type="dxa" w:w="110"/>
            </w:tcMar>
            <w:vAlign w:val="top"/>
          </w:tcPr>
          <w:p>
            <w:pPr>
              <w:spacing w:after="40"/>
            </w:pPr>
            <w:r>
              <w:rPr>
                <w:b w:val="false"/>
                <w:bCs w:val="false"/>
                <w:sz w:val="19"/>
                <w:szCs w:val="19"/>
              </w:rPr>
              <w:t xml:space="preserve">Checking questionnaire quality.</w:t>
            </w:r>
          </w:p>
        </w:tc>
      </w:tr>
      <w:tr>
        <w:trPr>
          <w:cantSplit/>
        </w:trPr>
        <w:tc>
          <w:tcPr>
            <w:tcW w:type="dxa" w:w="3953"/>
            <w:tcMar>
              <w:top w:type="dxa" w:w="70"/>
              <w:left w:type="dxa" w:w="110"/>
              <w:bottom w:type="dxa" w:w="70"/>
              <w:right w:type="dxa" w:w="110"/>
            </w:tcMar>
            <w:vAlign w:val="top"/>
          </w:tcPr>
          <w:p>
            <w:pPr>
              <w:spacing w:after="40"/>
            </w:pPr>
            <w:r>
              <w:rPr>
                <w:b w:val="false"/>
                <w:bCs w:val="false"/>
                <w:sz w:val="19"/>
                <w:szCs w:val="19"/>
              </w:rPr>
              <w:t xml:space="preserve">Role Guide 5 — KII RA</w:t>
            </w:r>
          </w:p>
        </w:tc>
        <w:tc>
          <w:tcPr>
            <w:tcW w:type="dxa" w:w="5459"/>
            <w:tcMar>
              <w:top w:type="dxa" w:w="70"/>
              <w:left w:type="dxa" w:w="110"/>
              <w:bottom w:type="dxa" w:w="70"/>
              <w:right w:type="dxa" w:w="110"/>
            </w:tcMar>
            <w:vAlign w:val="top"/>
          </w:tcPr>
          <w:p>
            <w:pPr>
              <w:spacing w:after="40"/>
            </w:pPr>
            <w:r>
              <w:rPr>
                <w:b w:val="false"/>
                <w:bCs w:val="false"/>
                <w:sz w:val="19"/>
                <w:szCs w:val="19"/>
              </w:rPr>
              <w:t xml:space="preserve">Running Key Informant Interviews.</w:t>
            </w:r>
          </w:p>
        </w:tc>
      </w:tr>
      <w:tr>
        <w:trPr>
          <w:cantSplit/>
        </w:trPr>
        <w:tc>
          <w:tcPr>
            <w:tcW w:type="dxa" w:w="3953"/>
            <w:shd w:fill="F8FAFB" w:color="auto" w:val="clear"/>
            <w:tcMar>
              <w:top w:type="dxa" w:w="70"/>
              <w:left w:type="dxa" w:w="110"/>
              <w:bottom w:type="dxa" w:w="70"/>
              <w:right w:type="dxa" w:w="110"/>
            </w:tcMar>
            <w:vAlign w:val="top"/>
          </w:tcPr>
          <w:p>
            <w:pPr>
              <w:spacing w:after="40"/>
            </w:pPr>
            <w:r>
              <w:rPr>
                <w:b w:val="false"/>
                <w:bCs w:val="false"/>
                <w:sz w:val="19"/>
                <w:szCs w:val="19"/>
              </w:rPr>
              <w:t xml:space="preserve">Role Guide 6 — Documentary RA</w:t>
            </w:r>
          </w:p>
        </w:tc>
        <w:tc>
          <w:tcPr>
            <w:tcW w:type="dxa" w:w="5459"/>
            <w:shd w:fill="F8FAFB" w:color="auto" w:val="clear"/>
            <w:tcMar>
              <w:top w:type="dxa" w:w="70"/>
              <w:left w:type="dxa" w:w="110"/>
              <w:bottom w:type="dxa" w:w="70"/>
              <w:right w:type="dxa" w:w="110"/>
            </w:tcMar>
            <w:vAlign w:val="top"/>
          </w:tcPr>
          <w:p>
            <w:pPr>
              <w:spacing w:after="40"/>
            </w:pPr>
            <w:r>
              <w:rPr>
                <w:b w:val="false"/>
                <w:bCs w:val="false"/>
                <w:sz w:val="19"/>
                <w:szCs w:val="19"/>
              </w:rPr>
              <w:t xml:space="preserve">Collecting and assessing documents.</w:t>
            </w:r>
          </w:p>
        </w:tc>
      </w:tr>
      <w:tr>
        <w:trPr>
          <w:cantSplit/>
        </w:trPr>
        <w:tc>
          <w:tcPr>
            <w:tcW w:type="dxa" w:w="3953"/>
            <w:tcMar>
              <w:top w:type="dxa" w:w="70"/>
              <w:left w:type="dxa" w:w="110"/>
              <w:bottom w:type="dxa" w:w="70"/>
              <w:right w:type="dxa" w:w="110"/>
            </w:tcMar>
            <w:vAlign w:val="top"/>
          </w:tcPr>
          <w:p>
            <w:pPr>
              <w:spacing w:after="40"/>
            </w:pPr>
            <w:r>
              <w:rPr>
                <w:b w:val="false"/>
                <w:bCs w:val="false"/>
                <w:sz w:val="19"/>
                <w:szCs w:val="19"/>
              </w:rPr>
              <w:t xml:space="preserve">Role Guide 7 — Data Analyst</w:t>
            </w:r>
          </w:p>
        </w:tc>
        <w:tc>
          <w:tcPr>
            <w:tcW w:type="dxa" w:w="5459"/>
            <w:tcMar>
              <w:top w:type="dxa" w:w="70"/>
              <w:left w:type="dxa" w:w="110"/>
              <w:bottom w:type="dxa" w:w="70"/>
              <w:right w:type="dxa" w:w="110"/>
            </w:tcMar>
            <w:vAlign w:val="top"/>
          </w:tcPr>
          <w:p>
            <w:pPr>
              <w:spacing w:after="40"/>
            </w:pPr>
            <w:r>
              <w:rPr>
                <w:b w:val="false"/>
                <w:bCs w:val="false"/>
                <w:sz w:val="19"/>
                <w:szCs w:val="19"/>
              </w:rPr>
              <w:t xml:space="preserve">Monitoring progress and analysing de-identified data.</w:t>
            </w:r>
          </w:p>
        </w:tc>
      </w:tr>
      <w:tr>
        <w:trPr>
          <w:cantSplit/>
        </w:trPr>
        <w:tc>
          <w:tcPr>
            <w:tcW w:type="dxa" w:w="3953"/>
            <w:shd w:fill="F8FAFB" w:color="auto" w:val="clear"/>
            <w:tcMar>
              <w:top w:type="dxa" w:w="70"/>
              <w:left w:type="dxa" w:w="110"/>
              <w:bottom w:type="dxa" w:w="70"/>
              <w:right w:type="dxa" w:w="110"/>
            </w:tcMar>
            <w:vAlign w:val="top"/>
          </w:tcPr>
          <w:p>
            <w:pPr>
              <w:spacing w:after="40"/>
            </w:pPr>
            <w:r>
              <w:rPr>
                <w:b w:val="false"/>
                <w:bCs w:val="false"/>
                <w:sz w:val="19"/>
                <w:szCs w:val="19"/>
              </w:rPr>
              <w:t xml:space="preserve">Role Guide 8 — Supervisor</w:t>
            </w:r>
          </w:p>
        </w:tc>
        <w:tc>
          <w:tcPr>
            <w:tcW w:type="dxa" w:w="5459"/>
            <w:shd w:fill="F8FAFB" w:color="auto" w:val="clear"/>
            <w:tcMar>
              <w:top w:type="dxa" w:w="70"/>
              <w:left w:type="dxa" w:w="110"/>
              <w:bottom w:type="dxa" w:w="70"/>
              <w:right w:type="dxa" w:w="110"/>
            </w:tcMar>
            <w:vAlign w:val="top"/>
          </w:tcPr>
          <w:p>
            <w:pPr>
              <w:spacing w:after="40"/>
            </w:pPr>
            <w:r>
              <w:rPr>
                <w:b w:val="false"/>
                <w:bCs w:val="false"/>
                <w:sz w:val="19"/>
                <w:szCs w:val="19"/>
              </w:rPr>
              <w:t xml:space="preserve">Overseeing the study read-only.</w:t>
            </w:r>
          </w:p>
        </w:tc>
      </w:tr>
      <w:tr>
        <w:trPr>
          <w:cantSplit/>
        </w:trPr>
        <w:tc>
          <w:tcPr>
            <w:tcW w:type="dxa" w:w="3953"/>
            <w:tcMar>
              <w:top w:type="dxa" w:w="70"/>
              <w:left w:type="dxa" w:w="110"/>
              <w:bottom w:type="dxa" w:w="70"/>
              <w:right w:type="dxa" w:w="110"/>
            </w:tcMar>
            <w:vAlign w:val="top"/>
          </w:tcPr>
          <w:p>
            <w:pPr>
              <w:spacing w:after="40"/>
            </w:pPr>
            <w:r>
              <w:rPr>
                <w:b w:val="false"/>
                <w:bCs w:val="false"/>
                <w:sz w:val="19"/>
                <w:szCs w:val="19"/>
              </w:rPr>
              <w:t xml:space="preserve">Respondent Guide</w:t>
            </w:r>
          </w:p>
        </w:tc>
        <w:tc>
          <w:tcPr>
            <w:tcW w:type="dxa" w:w="5459"/>
            <w:tcMar>
              <w:top w:type="dxa" w:w="70"/>
              <w:left w:type="dxa" w:w="110"/>
              <w:bottom w:type="dxa" w:w="70"/>
              <w:right w:type="dxa" w:w="110"/>
            </w:tcMar>
            <w:vAlign w:val="top"/>
          </w:tcPr>
          <w:p>
            <w:pPr>
              <w:spacing w:after="40"/>
            </w:pPr>
            <w:r>
              <w:rPr>
                <w:b w:val="false"/>
                <w:bCs w:val="false"/>
                <w:sz w:val="19"/>
                <w:szCs w:val="19"/>
              </w:rPr>
              <w:t xml:space="preserve">A respondent, or briefing one.</w:t>
            </w:r>
          </w:p>
        </w:tc>
      </w:tr>
    </w:tbl>
    <w:p>
      <w:pPr>
        <w:spacing w:after="120"/>
      </w:pPr>
    </w:p>
    <w:p>
      <w:pPr>
        <w:pStyle w:val="Heading3"/>
      </w:pPr>
      <w:r>
        <w:t xml:space="preserve">Conventions</w:t>
      </w:r>
    </w:p>
    <w:p>
      <w:pPr>
        <w:pStyle w:val="ListParagraph"/>
        <w:numPr>
          <w:ilvl w:val="0"/>
          <w:numId w:val="2"/>
        </w:numPr>
        <w:spacing w:after="60" w:line="276"/>
      </w:pPr>
      <w:r>
        <w:t xml:space="preserve">Names of buttons, fields and screens are in </w:t>
      </w:r>
      <w:r>
        <w:rPr>
          <w:b/>
          <w:bCs/>
        </w:rPr>
        <w:t xml:space="preserve">bold</w:t>
      </w:r>
      <w:r>
        <w:t xml:space="preserve">, exactly as they appear on screen.</w:t>
      </w:r>
    </w:p>
    <w:p>
      <w:pPr>
        <w:pStyle w:val="ListParagraph"/>
        <w:numPr>
          <w:ilvl w:val="0"/>
          <w:numId w:val="2"/>
        </w:numPr>
        <w:spacing w:after="60" w:line="276"/>
      </w:pPr>
      <w:r>
        <w:t xml:space="preserve">Codes and system values look like </w:t>
      </w:r>
      <w:r>
        <w:rPr>
          <w:rFonts w:ascii="Consolas" w:cs="Consolas" w:eastAsia="Consolas" w:hAnsi="Consolas"/>
          <w:b w:val="false"/>
          <w:bCs w:val="false"/>
          <w:color w:val="122238"/>
          <w:sz w:val="19"/>
          <w:szCs w:val="19"/>
        </w:rPr>
        <w:t xml:space="preserve">S03</w:t>
      </w:r>
      <w:r>
        <w:t xml:space="preserve"> or </w:t>
      </w:r>
      <w:r>
        <w:rPr>
          <w:rFonts w:ascii="Consolas" w:cs="Consolas" w:eastAsia="Consolas" w:hAnsi="Consolas"/>
          <w:b w:val="false"/>
          <w:bCs w:val="false"/>
          <w:color w:val="122238"/>
          <w:sz w:val="19"/>
          <w:szCs w:val="19"/>
        </w:rPr>
        <w:t xml:space="preserve">consent_withdrawn</w:t>
      </w:r>
      <w:r>
        <w:t xml:space="preserve">.</w:t>
      </w:r>
    </w:p>
    <w:p>
      <w:pPr>
        <w:pStyle w:val="ListParagraph"/>
        <w:numPr>
          <w:ilvl w:val="0"/>
          <w:numId w:val="2"/>
        </w:numPr>
        <w:spacing w:after="60" w:line="276"/>
      </w:pPr>
      <w:r>
        <w:rPr>
          <w:b/>
          <w:bCs/>
        </w:rPr>
        <w:t xml:space="preserve">Tip</w:t>
      </w:r>
      <w:r>
        <w:t xml:space="preserve"> boxes (blue) give helpful advice. </w:t>
      </w:r>
      <w:r>
        <w:rPr>
          <w:b/>
          <w:bCs/>
        </w:rPr>
        <w:t xml:space="preserve">Important</w:t>
      </w:r>
      <w:r>
        <w:t xml:space="preserve"> boxes (amber) protect data quality, respondents or the research design.</w:t>
      </w:r>
    </w:p>
    <w:p>
      <w:pPr>
        <w:pStyle w:val="ListParagraph"/>
        <w:numPr>
          <w:ilvl w:val="0"/>
          <w:numId w:val="2"/>
        </w:numPr>
        <w:spacing w:after="60" w:line="276"/>
      </w:pPr>
      <w:r>
        <w:t xml:space="preserve">Screenshots use fictional demonstration data. Your screens show the real study records.</w:t>
      </w:r>
    </w:p>
    <w:p>
      <w:pPr>
        <w:spacing w:after="60"/>
      </w:pPr>
    </w:p>
    <w:p>
      <w:pPr>
        <w:pStyle w:val="Heading1"/>
        <w:pageBreakBefore/>
      </w:pPr>
      <w:r>
        <w:t xml:space="preserve">2. The study and the system</w:t>
      </w:r>
    </w:p>
    <w:p>
      <w:pPr>
        <w:pStyle w:val="Heading2"/>
      </w:pPr>
      <w:r>
        <w:t xml:space="preserve">2.1 The study</w:t>
      </w:r>
    </w:p>
    <w:p>
      <w:pPr>
        <w:spacing w:after="120" w:line="288"/>
      </w:pPr>
      <w:r>
        <w:t xml:space="preserve">The portal supports the doctoral study </w:t>
      </w:r>
      <w:r>
        <w:rPr>
          <w:b/>
          <w:bCs/>
        </w:rPr>
        <w:t xml:space="preserve">Developing and Validating the Agribusiness Bankability Framework for Food Systems Transformation through Novel Financing Models in Zimbabwe (ABF-FST)</w:t>
      </w:r>
      <w:r>
        <w:t xml:space="preserve">, by Happyson Saina (Doctor of Strategic Management candidate, Chinhoyi University of Technology), supervised by Dr L. Chikazhe and Dr J. Kanyepe.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Quantitative strand</w:t>
            </w:r>
          </w:p>
        </w:tc>
        <w:tc>
          <w:tcPr>
            <w:tcW w:type="dxa" w:w="6588"/>
            <w:tcMar>
              <w:top w:type="dxa" w:w="70"/>
              <w:left w:type="dxa" w:w="110"/>
              <w:bottom w:type="dxa" w:w="70"/>
              <w:right w:type="dxa" w:w="110"/>
            </w:tcMar>
            <w:vAlign w:val="top"/>
          </w:tcPr>
          <w:p>
            <w:pPr>
              <w:spacing w:after="40"/>
            </w:pPr>
            <w:r>
              <w:rPr>
                <w:b w:val="false"/>
                <w:bCs w:val="false"/>
                <w:sz w:val="19"/>
                <w:szCs w:val="19"/>
              </w:rPr>
              <w:t xml:space="preserve">400 completed questionnaires from the Main-400 sample of agribusiness organisations, with 400 matched Reserve organisations for replacement.</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Qualitative strand</w:t>
            </w:r>
          </w:p>
        </w:tc>
        <w:tc>
          <w:tcPr>
            <w:tcW w:type="dxa" w:w="6588"/>
            <w:tcMar>
              <w:top w:type="dxa" w:w="70"/>
              <w:left w:type="dxa" w:w="110"/>
              <w:bottom w:type="dxa" w:w="70"/>
              <w:right w:type="dxa" w:w="110"/>
            </w:tcMar>
            <w:vAlign w:val="top"/>
          </w:tcPr>
          <w:p>
            <w:pPr>
              <w:spacing w:after="40"/>
            </w:pPr>
            <w:r>
              <w:rPr>
                <w:b w:val="false"/>
                <w:bCs w:val="false"/>
                <w:sz w:val="19"/>
                <w:szCs w:val="19"/>
              </w:rPr>
              <w:t xml:space="preserve">60 completed Key Informant Interviews (90 KII records loaded: Core-60 plus Reserve-30).</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Documentary strand</w:t>
            </w:r>
          </w:p>
        </w:tc>
        <w:tc>
          <w:tcPr>
            <w:tcW w:type="dxa" w:w="6588"/>
            <w:tcMar>
              <w:top w:type="dxa" w:w="70"/>
              <w:left w:type="dxa" w:w="110"/>
              <w:bottom w:type="dxa" w:w="70"/>
              <w:right w:type="dxa" w:w="110"/>
            </w:tcMar>
            <w:vAlign w:val="top"/>
          </w:tcPr>
          <w:p>
            <w:pPr>
              <w:spacing w:after="40"/>
            </w:pPr>
            <w:r>
              <w:rPr>
                <w:b w:val="false"/>
                <w:bCs w:val="false"/>
                <w:sz w:val="19"/>
                <w:szCs w:val="19"/>
              </w:rPr>
              <w:t xml:space="preserve">50–75 coded documents, digital platform and media sources (100 records loaded).</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Data lock</w:t>
            </w:r>
          </w:p>
        </w:tc>
        <w:tc>
          <w:tcPr>
            <w:tcW w:type="dxa" w:w="6588"/>
            <w:tcMar>
              <w:top w:type="dxa" w:w="70"/>
              <w:left w:type="dxa" w:w="110"/>
              <w:bottom w:type="dxa" w:w="70"/>
              <w:right w:type="dxa" w:w="110"/>
            </w:tcMar>
            <w:vAlign w:val="top"/>
          </w:tcPr>
          <w:p>
            <w:pPr>
              <w:spacing w:after="40"/>
            </w:pPr>
            <w:r>
              <w:rPr>
                <w:b w:val="false"/>
                <w:bCs w:val="false"/>
                <w:sz w:val="19"/>
                <w:szCs w:val="19"/>
              </w:rPr>
              <w:t xml:space="preserve">30 November 2026.</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Approvals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Ethics and POTRAZ covered by the PI's CUT research clearance; Participant Information Sheet (v1.3), QA thresholds, invitation and reminder wording, and PROIT approved by the PI on 15 September 2026. The PIS is now v1.5: v1.4 changed the study email (22 Sep) and v1.5 added the paragraph telling respondents an AI tool is used to help with the public-information search (28 Sep).</w:t>
            </w:r>
          </w:p>
        </w:tc>
      </w:tr>
    </w:tbl>
    <w:p>
      <w:pPr>
        <w:spacing w:after="120"/>
      </w:pPr>
    </w:p>
    <w:p>
      <w:pPr>
        <w:pStyle w:val="Heading2"/>
      </w:pPr>
      <w:r>
        <w:t xml:space="preserve">2.2 What the portal is — and is not</w:t>
      </w:r>
    </w:p>
    <w:p>
      <w:pPr>
        <w:pStyle w:val="ListParagraph"/>
        <w:numPr>
          <w:ilvl w:val="0"/>
          <w:numId w:val="2"/>
        </w:numPr>
        <w:spacing w:after="60" w:line="276"/>
      </w:pPr>
      <w:r>
        <w:t xml:space="preserve">It </w:t>
      </w:r>
      <w:r>
        <w:rPr>
          <w:b/>
          <w:bCs/>
        </w:rPr>
        <w:t xml:space="preserve">is</w:t>
      </w:r>
      <w:r>
        <w:t xml:space="preserve"> the research operations system: it controls the sample, invites and tracks respondents, records eligibility and consent, launches the KoboToolbox questionnaire with the right identifiers, reconciles submissions, runs quality assurance, supports the KII and documentary strands, and produces monitoring, reports and exports.</w:t>
      </w:r>
    </w:p>
    <w:p>
      <w:pPr>
        <w:pStyle w:val="ListParagraph"/>
        <w:numPr>
          <w:ilvl w:val="0"/>
          <w:numId w:val="2"/>
        </w:numPr>
        <w:spacing w:after="60" w:line="276"/>
      </w:pPr>
      <w:r>
        <w:t xml:space="preserve">It is </w:t>
      </w:r>
      <w:r>
        <w:rPr>
          <w:b/>
          <w:bCs/>
        </w:rPr>
        <w:t xml:space="preserve">not</w:t>
      </w:r>
      <w:r>
        <w:t xml:space="preserve"> a public survey. Nobody can browse in: every respondent starts from a personal invitation link.</w:t>
      </w:r>
    </w:p>
    <w:p>
      <w:pPr>
        <w:pStyle w:val="ListParagraph"/>
        <w:numPr>
          <w:ilvl w:val="0"/>
          <w:numId w:val="2"/>
        </w:numPr>
        <w:spacing w:after="60" w:line="276"/>
      </w:pPr>
      <w:r>
        <w:t xml:space="preserve">It </w:t>
      </w:r>
      <w:r>
        <w:rPr>
          <w:b/>
          <w:bCs/>
        </w:rPr>
        <w:t xml:space="preserve">never</w:t>
      </w:r>
      <w:r>
        <w:t xml:space="preserve"> calculates or shows a score, rating or financing decision to anyone taking part.</w:t>
      </w:r>
    </w:p>
    <w:p>
      <w:pPr>
        <w:pStyle w:val="ListParagraph"/>
        <w:numPr>
          <w:ilvl w:val="0"/>
          <w:numId w:val="2"/>
        </w:numPr>
        <w:spacing w:after="60" w:line="276"/>
      </w:pPr>
      <w:r>
        <w:t xml:space="preserve">It does </w:t>
      </w:r>
      <w:r>
        <w:rPr>
          <w:b/>
          <w:bCs/>
        </w:rPr>
        <w:t xml:space="preserve">not</w:t>
      </w:r>
      <w:r>
        <w:t xml:space="preserve"> replace KoboToolbox. The questionnaire, KII Guide and Document Analysis Tool live in KoboToolbox; the portal manages everything around them.</w:t>
      </w:r>
    </w:p>
    <w:p>
      <w:pPr>
        <w:spacing w:after="60"/>
      </w:pPr>
    </w:p>
    <w:p>
      <w:pPr>
        <w:pStyle w:val="Heading2"/>
      </w:pPr>
      <w:r>
        <w:t xml:space="preserve">2.3 The parts of the system</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071"/>
        <w:gridCol w:w="5271"/>
        <w:gridCol w:w="2070"/>
      </w:tblGrid>
      <w:tr>
        <w:trPr>
          <w:tblHeader/>
        </w:trPr>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Part</w:t>
            </w:r>
          </w:p>
        </w:tc>
        <w:tc>
          <w:tcPr>
            <w:tcW w:type="dxa" w:w="5271"/>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w:t>
            </w:r>
          </w:p>
        </w:tc>
        <w:tc>
          <w:tcPr>
            <w:tcW w:type="dxa" w:w="2070"/>
            <w:shd w:fill="1B3350" w:color="auto" w:val="clear"/>
            <w:tcMar>
              <w:top w:type="dxa" w:w="70"/>
              <w:left w:type="dxa" w:w="110"/>
              <w:bottom w:type="dxa" w:w="70"/>
              <w:right w:type="dxa" w:w="110"/>
            </w:tcMar>
            <w:vAlign w:val="top"/>
          </w:tcPr>
          <w:p>
            <w:pPr>
              <w:spacing w:after="40"/>
            </w:pPr>
            <w:r>
              <w:rPr>
                <w:b/>
                <w:bCs/>
                <w:color w:val="FFFFFF"/>
                <w:sz w:val="19"/>
                <w:szCs w:val="19"/>
              </w:rPr>
              <w:t xml:space="preserve">Who uses it</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Respondent portal</w:t>
            </w:r>
          </w:p>
        </w:tc>
        <w:tc>
          <w:tcPr>
            <w:tcW w:type="dxa" w:w="5271"/>
            <w:tcMar>
              <w:top w:type="dxa" w:w="70"/>
              <w:left w:type="dxa" w:w="110"/>
              <w:bottom w:type="dxa" w:w="70"/>
              <w:right w:type="dxa" w:w="110"/>
            </w:tcMar>
            <w:vAlign w:val="top"/>
          </w:tcPr>
          <w:p>
            <w:pPr>
              <w:spacing w:after="40"/>
            </w:pPr>
            <w:r>
              <w:rPr>
                <w:b w:val="false"/>
                <w:bCs w:val="false"/>
                <w:sz w:val="19"/>
                <w:szCs w:val="19"/>
              </w:rPr>
              <w:t xml:space="preserve">Public pages at https://research.agribizframework.com/i/… that walk an invited respondent through confirmation, eligibility, information, consent and choice of how to take part.</w:t>
            </w:r>
          </w:p>
        </w:tc>
        <w:tc>
          <w:tcPr>
            <w:tcW w:type="dxa" w:w="2070"/>
            <w:tcMar>
              <w:top w:type="dxa" w:w="70"/>
              <w:left w:type="dxa" w:w="110"/>
              <w:bottom w:type="dxa" w:w="70"/>
              <w:right w:type="dxa" w:w="110"/>
            </w:tcMar>
            <w:vAlign w:val="top"/>
          </w:tcPr>
          <w:p>
            <w:pPr>
              <w:spacing w:after="40"/>
            </w:pPr>
            <w:r>
              <w:rPr>
                <w:b w:val="false"/>
                <w:bCs w:val="false"/>
                <w:sz w:val="19"/>
                <w:szCs w:val="19"/>
              </w:rPr>
              <w:t xml:space="preserve">Respondents</w:t>
            </w:r>
          </w:p>
        </w:tc>
      </w:tr>
      <w:tr>
        <w:trPr>
          <w:cantSplit/>
        </w:trPr>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Research Operations Centre</w:t>
            </w:r>
          </w:p>
        </w:tc>
        <w:tc>
          <w:tcPr>
            <w:tcW w:type="dxa" w:w="5271"/>
            <w:shd w:fill="F8FAFB" w:color="auto" w:val="clear"/>
            <w:tcMar>
              <w:top w:type="dxa" w:w="70"/>
              <w:left w:type="dxa" w:w="110"/>
              <w:bottom w:type="dxa" w:w="70"/>
              <w:right w:type="dxa" w:w="110"/>
            </w:tcMar>
            <w:vAlign w:val="top"/>
          </w:tcPr>
          <w:p>
            <w:pPr>
              <w:spacing w:after="40"/>
            </w:pPr>
            <w:r>
              <w:rPr>
                <w:b w:val="false"/>
                <w:bCs w:val="false"/>
                <w:sz w:val="19"/>
                <w:szCs w:val="19"/>
              </w:rPr>
              <w:t xml:space="preserve">The internal system at https://research.agribizframework.com/admin: registers, case pages, invitations, follow-ups, QA, KII, documents, costs, dashboards, reports and exports.</w:t>
            </w:r>
          </w:p>
        </w:tc>
        <w:tc>
          <w:tcPr>
            <w:tcW w:type="dxa" w:w="2070"/>
            <w:shd w:fill="F8FAFB" w:color="auto" w:val="clear"/>
            <w:tcMar>
              <w:top w:type="dxa" w:w="70"/>
              <w:left w:type="dxa" w:w="110"/>
              <w:bottom w:type="dxa" w:w="70"/>
              <w:right w:type="dxa" w:w="110"/>
            </w:tcMar>
            <w:vAlign w:val="top"/>
          </w:tcPr>
          <w:p>
            <w:pPr>
              <w:spacing w:after="40"/>
            </w:pPr>
            <w:r>
              <w:rPr>
                <w:b w:val="false"/>
                <w:bCs w:val="false"/>
                <w:sz w:val="19"/>
                <w:szCs w:val="19"/>
              </w:rPr>
              <w:t xml:space="preserve">Research team (8 roles)</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KoboToolbox</w:t>
            </w:r>
          </w:p>
        </w:tc>
        <w:tc>
          <w:tcPr>
            <w:tcW w:type="dxa" w:w="5271"/>
            <w:tcMar>
              <w:top w:type="dxa" w:w="70"/>
              <w:left w:type="dxa" w:w="110"/>
              <w:bottom w:type="dxa" w:w="70"/>
              <w:right w:type="dxa" w:w="110"/>
            </w:tcMar>
            <w:vAlign w:val="top"/>
          </w:tcPr>
          <w:p>
            <w:pPr>
              <w:spacing w:after="40"/>
            </w:pPr>
            <w:r>
              <w:rPr>
                <w:b w:val="false"/>
                <w:bCs w:val="false"/>
                <w:sz w:val="19"/>
                <w:szCs w:val="19"/>
              </w:rPr>
              <w:t xml:space="preserve">Hosts the three forms: Main Study Questionnaire, Main Study KII Guide, and Document, Digital Platform &amp; Media Analysis Tool. Stores the answers.</w:t>
            </w:r>
          </w:p>
        </w:tc>
        <w:tc>
          <w:tcPr>
            <w:tcW w:type="dxa" w:w="2070"/>
            <w:tcMar>
              <w:top w:type="dxa" w:w="70"/>
              <w:left w:type="dxa" w:w="110"/>
              <w:bottom w:type="dxa" w:w="70"/>
              <w:right w:type="dxa" w:w="110"/>
            </w:tcMar>
            <w:vAlign w:val="top"/>
          </w:tcPr>
          <w:p>
            <w:pPr>
              <w:spacing w:after="40"/>
            </w:pPr>
            <w:r>
              <w:rPr>
                <w:b w:val="false"/>
                <w:bCs w:val="false"/>
                <w:sz w:val="19"/>
                <w:szCs w:val="19"/>
              </w:rPr>
              <w:t xml:space="preserve">Respondents and RAs (forms); PI (form design)</w:t>
            </w:r>
          </w:p>
        </w:tc>
      </w:tr>
      <w:tr>
        <w:trPr>
          <w:cantSplit/>
        </w:trPr>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Background jobs</w:t>
            </w:r>
          </w:p>
        </w:tc>
        <w:tc>
          <w:tcPr>
            <w:tcW w:type="dxa" w:w="5271"/>
            <w:shd w:fill="F8FAFB" w:color="auto" w:val="clear"/>
            <w:tcMar>
              <w:top w:type="dxa" w:w="70"/>
              <w:left w:type="dxa" w:w="110"/>
              <w:bottom w:type="dxa" w:w="70"/>
              <w:right w:type="dxa" w:w="110"/>
            </w:tcMar>
            <w:vAlign w:val="top"/>
          </w:tcPr>
          <w:p>
            <w:pPr>
              <w:spacing w:after="40"/>
            </w:pPr>
            <w:r>
              <w:rPr>
                <w:b w:val="false"/>
                <w:bCs w:val="false"/>
                <w:sz w:val="19"/>
                <w:szCs w:val="19"/>
              </w:rPr>
              <w:t xml:space="preserve">Pull submissions from KoboToolbox (every 15 minutes by day, hourly overnight), compute reminders due, and check nonresponse.</w:t>
            </w:r>
          </w:p>
        </w:tc>
        <w:tc>
          <w:tcPr>
            <w:tcW w:type="dxa" w:w="2070"/>
            <w:shd w:fill="F8FAFB" w:color="auto" w:val="clear"/>
            <w:tcMar>
              <w:top w:type="dxa" w:w="70"/>
              <w:left w:type="dxa" w:w="110"/>
              <w:bottom w:type="dxa" w:w="70"/>
              <w:right w:type="dxa" w:w="110"/>
            </w:tcMar>
            <w:vAlign w:val="top"/>
          </w:tcPr>
          <w:p>
            <w:pPr>
              <w:spacing w:after="40"/>
            </w:pPr>
            <w:r>
              <w:rPr>
                <w:b w:val="false"/>
                <w:bCs w:val="false"/>
                <w:sz w:val="19"/>
                <w:szCs w:val="19"/>
              </w:rPr>
              <w:t xml:space="preserve">Automatic</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Email</w:t>
            </w:r>
          </w:p>
        </w:tc>
        <w:tc>
          <w:tcPr>
            <w:tcW w:type="dxa" w:w="5271"/>
            <w:tcMar>
              <w:top w:type="dxa" w:w="70"/>
              <w:left w:type="dxa" w:w="110"/>
              <w:bottom w:type="dxa" w:w="70"/>
              <w:right w:type="dxa" w:w="110"/>
            </w:tcMar>
            <w:vAlign w:val="top"/>
          </w:tcPr>
          <w:p>
            <w:pPr>
              <w:spacing w:after="40"/>
            </w:pPr>
            <w:r>
              <w:rPr>
                <w:b w:val="false"/>
                <w:bCs w:val="false"/>
                <w:sz w:val="19"/>
                <w:szCs w:val="19"/>
              </w:rPr>
              <w:t xml:space="preserve">Sends completed-form PDFs from abffst.research@gmail.com.</w:t>
            </w:r>
          </w:p>
        </w:tc>
        <w:tc>
          <w:tcPr>
            <w:tcW w:type="dxa" w:w="2070"/>
            <w:tcMar>
              <w:top w:type="dxa" w:w="70"/>
              <w:left w:type="dxa" w:w="110"/>
              <w:bottom w:type="dxa" w:w="70"/>
              <w:right w:type="dxa" w:w="110"/>
            </w:tcMar>
            <w:vAlign w:val="top"/>
          </w:tcPr>
          <w:p>
            <w:pPr>
              <w:spacing w:after="40"/>
            </w:pPr>
            <w:r>
              <w:rPr>
                <w:b w:val="false"/>
                <w:bCs w:val="false"/>
                <w:sz w:val="19"/>
                <w:szCs w:val="19"/>
              </w:rPr>
              <w:t xml:space="preserve">Automatic, on request</w:t>
            </w:r>
          </w:p>
        </w:tc>
      </w:tr>
      <w:tr>
        <w:trPr>
          <w:cantSplit/>
        </w:trPr>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Backups</w:t>
            </w:r>
          </w:p>
        </w:tc>
        <w:tc>
          <w:tcPr>
            <w:tcW w:type="dxa" w:w="5271"/>
            <w:shd w:fill="F8FAFB" w:color="auto" w:val="clear"/>
            <w:tcMar>
              <w:top w:type="dxa" w:w="70"/>
              <w:left w:type="dxa" w:w="110"/>
              <w:bottom w:type="dxa" w:w="70"/>
              <w:right w:type="dxa" w:w="110"/>
            </w:tcMar>
            <w:vAlign w:val="top"/>
          </w:tcPr>
          <w:p>
            <w:pPr>
              <w:spacing w:after="40"/>
            </w:pPr>
            <w:r>
              <w:rPr>
                <w:b w:val="false"/>
                <w:bCs w:val="false"/>
                <w:sz w:val="19"/>
                <w:szCs w:val="19"/>
              </w:rPr>
              <w:t xml:space="preserve">Database and private files every 4 hours on the server, copied encrypted to Google Drive once enabled.</w:t>
            </w:r>
          </w:p>
        </w:tc>
        <w:tc>
          <w:tcPr>
            <w:tcW w:type="dxa" w:w="2070"/>
            <w:shd w:fill="F8FAFB" w:color="auto" w:val="clear"/>
            <w:tcMar>
              <w:top w:type="dxa" w:w="70"/>
              <w:left w:type="dxa" w:w="110"/>
              <w:bottom w:type="dxa" w:w="70"/>
              <w:right w:type="dxa" w:w="110"/>
            </w:tcMar>
            <w:vAlign w:val="top"/>
          </w:tcPr>
          <w:p>
            <w:pPr>
              <w:spacing w:after="40"/>
            </w:pPr>
            <w:r>
              <w:rPr>
                <w:b w:val="false"/>
                <w:bCs w:val="false"/>
                <w:sz w:val="19"/>
                <w:szCs w:val="19"/>
              </w:rPr>
              <w:t xml:space="preserve">Automatic</w:t>
            </w:r>
          </w:p>
        </w:tc>
      </w:tr>
    </w:tbl>
    <w:p>
      <w:pPr>
        <w:spacing w:after="120"/>
      </w:pPr>
    </w:p>
    <w:p>
      <w:pPr>
        <w:pStyle w:val="Heading1"/>
        <w:pageBreakBefore/>
      </w:pPr>
      <w:r>
        <w:t xml:space="preserve">3. How the system works</w:t>
      </w:r>
    </w:p>
    <w:p>
      <w:pPr>
        <w:spacing w:after="120" w:line="288"/>
      </w:pPr>
      <w:r>
        <w:t xml:space="preserve">This chapter follows one organisation from selection to a quality-assured questionnaire, then covers the KII and documentary strands and the controls that protect the data.</w:t>
      </w:r>
    </w:p>
    <w:p>
      <w:pPr>
        <w:pStyle w:val="Heading2"/>
      </w:pPr>
      <w:r>
        <w:t xml:space="preserve">3.1 The journey of a case, end to end</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506"/>
        <w:gridCol w:w="4706"/>
        <w:gridCol w:w="1882"/>
        <w:gridCol w:w="1318"/>
      </w:tblGrid>
      <w:tr>
        <w:trPr>
          <w:tblHeader/>
        </w:trPr>
        <w:tc>
          <w:tcPr>
            <w:tcW w:type="dxa" w:w="1506"/>
            <w:shd w:fill="1B3350" w:color="auto" w:val="clear"/>
            <w:tcMar>
              <w:top w:type="dxa" w:w="70"/>
              <w:left w:type="dxa" w:w="110"/>
              <w:bottom w:type="dxa" w:w="70"/>
              <w:right w:type="dxa" w:w="110"/>
            </w:tcMar>
            <w:vAlign w:val="top"/>
          </w:tcPr>
          <w:p>
            <w:pPr>
              <w:spacing w:after="40"/>
            </w:pPr>
            <w:r>
              <w:rPr>
                <w:b/>
                <w:bCs/>
                <w:color w:val="FFFFFF"/>
                <w:sz w:val="19"/>
                <w:szCs w:val="19"/>
              </w:rPr>
              <w:t xml:space="preserve">Stage</w:t>
            </w:r>
          </w:p>
        </w:tc>
        <w:tc>
          <w:tcPr>
            <w:tcW w:type="dxa" w:w="4706"/>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w:t>
            </w:r>
          </w:p>
        </w:tc>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Who</w:t>
            </w:r>
          </w:p>
        </w:tc>
        <w:tc>
          <w:tcPr>
            <w:tcW w:type="dxa" w:w="1318"/>
            <w:shd w:fill="1B3350" w:color="auto" w:val="clear"/>
            <w:tcMar>
              <w:top w:type="dxa" w:w="70"/>
              <w:left w:type="dxa" w:w="110"/>
              <w:bottom w:type="dxa" w:w="70"/>
              <w:right w:type="dxa" w:w="110"/>
            </w:tcMar>
            <w:vAlign w:val="top"/>
          </w:tcPr>
          <w:p>
            <w:pPr>
              <w:spacing w:after="40"/>
            </w:pPr>
            <w:r>
              <w:rPr>
                <w:b/>
                <w:bCs/>
                <w:color w:val="FFFFFF"/>
                <w:sz w:val="19"/>
                <w:szCs w:val="19"/>
              </w:rPr>
              <w:t xml:space="preserve">Status</w:t>
            </w:r>
          </w:p>
        </w:tc>
      </w:tr>
      <w:tr>
        <w:trPr>
          <w:cantSplit/>
        </w:trPr>
        <w:tc>
          <w:tcPr>
            <w:tcW w:type="dxa" w:w="1506"/>
            <w:tcMar>
              <w:top w:type="dxa" w:w="70"/>
              <w:left w:type="dxa" w:w="110"/>
              <w:bottom w:type="dxa" w:w="70"/>
              <w:right w:type="dxa" w:w="110"/>
            </w:tcMar>
            <w:vAlign w:val="top"/>
          </w:tcPr>
          <w:p>
            <w:pPr>
              <w:spacing w:after="40"/>
            </w:pPr>
            <w:r>
              <w:rPr>
                <w:b w:val="false"/>
                <w:bCs w:val="false"/>
                <w:sz w:val="19"/>
                <w:szCs w:val="19"/>
              </w:rPr>
              <w:t xml:space="preserve">1. Selected</w:t>
            </w:r>
          </w:p>
        </w:tc>
        <w:tc>
          <w:tcPr>
            <w:tcW w:type="dxa" w:w="4706"/>
            <w:tcMar>
              <w:top w:type="dxa" w:w="70"/>
              <w:left w:type="dxa" w:w="110"/>
              <w:bottom w:type="dxa" w:w="70"/>
              <w:right w:type="dxa" w:w="110"/>
            </w:tcMar>
            <w:vAlign w:val="top"/>
          </w:tcPr>
          <w:p>
            <w:pPr>
              <w:spacing w:after="40"/>
            </w:pPr>
            <w:r>
              <w:rPr>
                <w:b w:val="false"/>
                <w:bCs w:val="false"/>
                <w:sz w:val="19"/>
                <w:szCs w:val="19"/>
              </w:rPr>
              <w:t xml:space="preserve">The organisation is in the approved Main-400 register with its matched Reserve.</w:t>
            </w:r>
          </w:p>
        </w:tc>
        <w:tc>
          <w:tcPr>
            <w:tcW w:type="dxa" w:w="1882"/>
            <w:tcMar>
              <w:top w:type="dxa" w:w="70"/>
              <w:left w:type="dxa" w:w="110"/>
              <w:bottom w:type="dxa" w:w="70"/>
              <w:right w:type="dxa" w:w="110"/>
            </w:tcMar>
            <w:vAlign w:val="top"/>
          </w:tcPr>
          <w:p>
            <w:pPr>
              <w:spacing w:after="40"/>
            </w:pPr>
            <w:r>
              <w:rPr>
                <w:b w:val="false"/>
                <w:bCs w:val="false"/>
                <w:sz w:val="19"/>
                <w:szCs w:val="19"/>
              </w:rPr>
              <w:t xml:space="preserve">Loaded</w:t>
            </w:r>
          </w:p>
        </w:tc>
        <w:tc>
          <w:tcPr>
            <w:tcW w:type="dxa" w:w="1318"/>
            <w:tcMar>
              <w:top w:type="dxa" w:w="70"/>
              <w:left w:type="dxa" w:w="110"/>
              <w:bottom w:type="dxa" w:w="70"/>
              <w:right w:type="dxa" w:w="110"/>
            </w:tcMar>
            <w:vAlign w:val="top"/>
          </w:tcPr>
          <w:p>
            <w:pPr>
              <w:spacing w:after="40"/>
            </w:pPr>
            <w:r>
              <w:rPr>
                <w:b w:val="false"/>
                <w:bCs w:val="false"/>
                <w:sz w:val="19"/>
                <w:szCs w:val="19"/>
              </w:rPr>
              <w:t xml:space="preserve">S00</w:t>
            </w:r>
          </w:p>
        </w:tc>
      </w:tr>
      <w:tr>
        <w:trPr>
          <w:cantSplit/>
        </w:trPr>
        <w:tc>
          <w:tcPr>
            <w:tcW w:type="dxa" w:w="1506"/>
            <w:shd w:fill="F8FAFB" w:color="auto" w:val="clear"/>
            <w:tcMar>
              <w:top w:type="dxa" w:w="70"/>
              <w:left w:type="dxa" w:w="110"/>
              <w:bottom w:type="dxa" w:w="70"/>
              <w:right w:type="dxa" w:w="110"/>
            </w:tcMar>
            <w:vAlign w:val="top"/>
          </w:tcPr>
          <w:p>
            <w:pPr>
              <w:spacing w:after="40"/>
            </w:pPr>
            <w:r>
              <w:rPr>
                <w:b w:val="false"/>
                <w:bCs w:val="false"/>
                <w:sz w:val="19"/>
                <w:szCs w:val="19"/>
              </w:rPr>
              <w:t xml:space="preserve">2. Assigned</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The case is assigned to a Contact RA.</w:t>
            </w:r>
          </w:p>
        </w:tc>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PI / Coordinator</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S00</w:t>
            </w:r>
          </w:p>
        </w:tc>
      </w:tr>
      <w:tr>
        <w:trPr>
          <w:cantSplit/>
        </w:trPr>
        <w:tc>
          <w:tcPr>
            <w:tcW w:type="dxa" w:w="1506"/>
            <w:tcMar>
              <w:top w:type="dxa" w:w="70"/>
              <w:left w:type="dxa" w:w="110"/>
              <w:bottom w:type="dxa" w:w="70"/>
              <w:right w:type="dxa" w:w="110"/>
            </w:tcMar>
            <w:vAlign w:val="top"/>
          </w:tcPr>
          <w:p>
            <w:pPr>
              <w:spacing w:after="40"/>
            </w:pPr>
            <w:r>
              <w:rPr>
                <w:b w:val="false"/>
                <w:bCs w:val="false"/>
                <w:sz w:val="19"/>
                <w:szCs w:val="19"/>
              </w:rPr>
              <w:t xml:space="preserve">3. Verified</w:t>
            </w:r>
          </w:p>
        </w:tc>
        <w:tc>
          <w:tcPr>
            <w:tcW w:type="dxa" w:w="4706"/>
            <w:tcMar>
              <w:top w:type="dxa" w:w="70"/>
              <w:left w:type="dxa" w:w="110"/>
              <w:bottom w:type="dxa" w:w="70"/>
              <w:right w:type="dxa" w:w="110"/>
            </w:tcMar>
            <w:vAlign w:val="top"/>
          </w:tcPr>
          <w:p>
            <w:pPr>
              <w:spacing w:after="40"/>
            </w:pPr>
            <w:r>
              <w:rPr>
                <w:b w:val="false"/>
                <w:bCs w:val="false"/>
                <w:sz w:val="19"/>
                <w:szCs w:val="19"/>
              </w:rPr>
              <w:t xml:space="preserve">The organisation is confirmed and an eligible senior respondent identified; contact details are recorded.</w:t>
            </w:r>
          </w:p>
        </w:tc>
        <w:tc>
          <w:tcPr>
            <w:tcW w:type="dxa" w:w="1882"/>
            <w:tcMar>
              <w:top w:type="dxa" w:w="70"/>
              <w:left w:type="dxa" w:w="110"/>
              <w:bottom w:type="dxa" w:w="70"/>
              <w:right w:type="dxa" w:w="110"/>
            </w:tcMar>
            <w:vAlign w:val="top"/>
          </w:tcPr>
          <w:p>
            <w:pPr>
              <w:spacing w:after="40"/>
            </w:pPr>
            <w:r>
              <w:rPr>
                <w:b w:val="false"/>
                <w:bCs w:val="false"/>
                <w:sz w:val="19"/>
                <w:szCs w:val="19"/>
              </w:rPr>
              <w:t xml:space="preserve">Coordinator / Contact RA</w:t>
            </w:r>
          </w:p>
        </w:tc>
        <w:tc>
          <w:tcPr>
            <w:tcW w:type="dxa" w:w="1318"/>
            <w:tcMar>
              <w:top w:type="dxa" w:w="70"/>
              <w:left w:type="dxa" w:w="110"/>
              <w:bottom w:type="dxa" w:w="70"/>
              <w:right w:type="dxa" w:w="110"/>
            </w:tcMar>
            <w:vAlign w:val="top"/>
          </w:tcPr>
          <w:p>
            <w:pPr>
              <w:spacing w:after="40"/>
            </w:pPr>
            <w:r>
              <w:rPr>
                <w:b w:val="false"/>
                <w:bCs w:val="false"/>
                <w:sz w:val="19"/>
                <w:szCs w:val="19"/>
              </w:rPr>
              <w:t xml:space="preserve">S01 → S03</w:t>
            </w:r>
          </w:p>
        </w:tc>
      </w:tr>
      <w:tr>
        <w:trPr>
          <w:cantSplit/>
        </w:trPr>
        <w:tc>
          <w:tcPr>
            <w:tcW w:type="dxa" w:w="1506"/>
            <w:shd w:fill="F8FAFB" w:color="auto" w:val="clear"/>
            <w:tcMar>
              <w:top w:type="dxa" w:w="70"/>
              <w:left w:type="dxa" w:w="110"/>
              <w:bottom w:type="dxa" w:w="70"/>
              <w:right w:type="dxa" w:w="110"/>
            </w:tcMar>
            <w:vAlign w:val="top"/>
          </w:tcPr>
          <w:p>
            <w:pPr>
              <w:spacing w:after="40"/>
            </w:pPr>
            <w:r>
              <w:rPr>
                <w:b w:val="false"/>
                <w:bCs w:val="false"/>
                <w:sz w:val="19"/>
                <w:szCs w:val="19"/>
              </w:rPr>
              <w:t xml:space="preserve">4. Profiled (optional)</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Public background facts are recorded with sources and locked (PROIT).</w:t>
            </w:r>
          </w:p>
        </w:tc>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Researcher + reviewer</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S03</w:t>
            </w:r>
          </w:p>
        </w:tc>
      </w:tr>
      <w:tr>
        <w:trPr>
          <w:cantSplit/>
        </w:trPr>
        <w:tc>
          <w:tcPr>
            <w:tcW w:type="dxa" w:w="1506"/>
            <w:tcMar>
              <w:top w:type="dxa" w:w="70"/>
              <w:left w:type="dxa" w:w="110"/>
              <w:bottom w:type="dxa" w:w="70"/>
              <w:right w:type="dxa" w:w="110"/>
            </w:tcMar>
            <w:vAlign w:val="top"/>
          </w:tcPr>
          <w:p>
            <w:pPr>
              <w:spacing w:after="40"/>
            </w:pPr>
            <w:r>
              <w:rPr>
                <w:b w:val="false"/>
                <w:bCs w:val="false"/>
                <w:sz w:val="19"/>
                <w:szCs w:val="19"/>
              </w:rPr>
              <w:t xml:space="preserve">5. Invited</w:t>
            </w:r>
          </w:p>
        </w:tc>
        <w:tc>
          <w:tcPr>
            <w:tcW w:type="dxa" w:w="4706"/>
            <w:tcMar>
              <w:top w:type="dxa" w:w="70"/>
              <w:left w:type="dxa" w:w="110"/>
              <w:bottom w:type="dxa" w:w="70"/>
              <w:right w:type="dxa" w:w="110"/>
            </w:tcMar>
            <w:vAlign w:val="top"/>
          </w:tcPr>
          <w:p>
            <w:pPr>
              <w:spacing w:after="40"/>
            </w:pPr>
            <w:r>
              <w:rPr>
                <w:b w:val="false"/>
                <w:bCs w:val="false"/>
                <w:sz w:val="19"/>
                <w:szCs w:val="19"/>
              </w:rPr>
              <w:t xml:space="preserve">A personal link is issued and sent by WhatsApp, SMS or email.</w:t>
            </w:r>
          </w:p>
        </w:tc>
        <w:tc>
          <w:tcPr>
            <w:tcW w:type="dxa" w:w="1882"/>
            <w:tcMar>
              <w:top w:type="dxa" w:w="70"/>
              <w:left w:type="dxa" w:w="110"/>
              <w:bottom w:type="dxa" w:w="70"/>
              <w:right w:type="dxa" w:w="110"/>
            </w:tcMar>
            <w:vAlign w:val="top"/>
          </w:tcPr>
          <w:p>
            <w:pPr>
              <w:spacing w:after="40"/>
            </w:pPr>
            <w:r>
              <w:rPr>
                <w:b w:val="false"/>
                <w:bCs w:val="false"/>
                <w:sz w:val="19"/>
                <w:szCs w:val="19"/>
              </w:rPr>
              <w:t xml:space="preserve">Contact RA</w:t>
            </w:r>
          </w:p>
        </w:tc>
        <w:tc>
          <w:tcPr>
            <w:tcW w:type="dxa" w:w="1318"/>
            <w:tcMar>
              <w:top w:type="dxa" w:w="70"/>
              <w:left w:type="dxa" w:w="110"/>
              <w:bottom w:type="dxa" w:w="70"/>
              <w:right w:type="dxa" w:w="110"/>
            </w:tcMar>
            <w:vAlign w:val="top"/>
          </w:tcPr>
          <w:p>
            <w:pPr>
              <w:spacing w:after="40"/>
            </w:pPr>
            <w:r>
              <w:rPr>
                <w:b w:val="false"/>
                <w:bCs w:val="false"/>
                <w:sz w:val="19"/>
                <w:szCs w:val="19"/>
              </w:rPr>
              <w:t xml:space="preserve">S05 (auto)</w:t>
            </w:r>
          </w:p>
        </w:tc>
      </w:tr>
      <w:tr>
        <w:trPr>
          <w:cantSplit/>
        </w:trPr>
        <w:tc>
          <w:tcPr>
            <w:tcW w:type="dxa" w:w="1506"/>
            <w:shd w:fill="F8FAFB" w:color="auto" w:val="clear"/>
            <w:tcMar>
              <w:top w:type="dxa" w:w="70"/>
              <w:left w:type="dxa" w:w="110"/>
              <w:bottom w:type="dxa" w:w="70"/>
              <w:right w:type="dxa" w:w="110"/>
            </w:tcMar>
            <w:vAlign w:val="top"/>
          </w:tcPr>
          <w:p>
            <w:pPr>
              <w:spacing w:after="40"/>
            </w:pPr>
            <w:r>
              <w:rPr>
                <w:b w:val="false"/>
                <w:bCs w:val="false"/>
                <w:sz w:val="19"/>
                <w:szCs w:val="19"/>
              </w:rPr>
              <w:t xml:space="preserve">6. Opened</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The respondent opens the link, confirms the organisation and their role.</w:t>
            </w:r>
          </w:p>
        </w:tc>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Respondent</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S06 (auto)</w:t>
            </w:r>
          </w:p>
        </w:tc>
      </w:tr>
      <w:tr>
        <w:trPr>
          <w:cantSplit/>
        </w:trPr>
        <w:tc>
          <w:tcPr>
            <w:tcW w:type="dxa" w:w="1506"/>
            <w:tcMar>
              <w:top w:type="dxa" w:w="70"/>
              <w:left w:type="dxa" w:w="110"/>
              <w:bottom w:type="dxa" w:w="70"/>
              <w:right w:type="dxa" w:w="110"/>
            </w:tcMar>
            <w:vAlign w:val="top"/>
          </w:tcPr>
          <w:p>
            <w:pPr>
              <w:spacing w:after="40"/>
            </w:pPr>
            <w:r>
              <w:rPr>
                <w:b w:val="false"/>
                <w:bCs w:val="false"/>
                <w:sz w:val="19"/>
                <w:szCs w:val="19"/>
              </w:rPr>
              <w:t xml:space="preserve">7. Consent</w:t>
            </w:r>
          </w:p>
        </w:tc>
        <w:tc>
          <w:tcPr>
            <w:tcW w:type="dxa" w:w="4706"/>
            <w:tcMar>
              <w:top w:type="dxa" w:w="70"/>
              <w:left w:type="dxa" w:w="110"/>
              <w:bottom w:type="dxa" w:w="70"/>
              <w:right w:type="dxa" w:w="110"/>
            </w:tcMar>
            <w:vAlign w:val="top"/>
          </w:tcPr>
          <w:p>
            <w:pPr>
              <w:spacing w:after="40"/>
            </w:pPr>
            <w:r>
              <w:rPr>
                <w:b w:val="false"/>
                <w:bCs w:val="false"/>
                <w:sz w:val="19"/>
                <w:szCs w:val="19"/>
              </w:rPr>
              <w:t xml:space="preserve">The respondent reads the Participant Information Sheet v1.5 and agrees.</w:t>
            </w:r>
          </w:p>
        </w:tc>
        <w:tc>
          <w:tcPr>
            <w:tcW w:type="dxa" w:w="1882"/>
            <w:tcMar>
              <w:top w:type="dxa" w:w="70"/>
              <w:left w:type="dxa" w:w="110"/>
              <w:bottom w:type="dxa" w:w="70"/>
              <w:right w:type="dxa" w:w="110"/>
            </w:tcMar>
            <w:vAlign w:val="top"/>
          </w:tcPr>
          <w:p>
            <w:pPr>
              <w:spacing w:after="40"/>
            </w:pPr>
            <w:r>
              <w:rPr>
                <w:b w:val="false"/>
                <w:bCs w:val="false"/>
                <w:sz w:val="19"/>
                <w:szCs w:val="19"/>
              </w:rPr>
              <w:t xml:space="preserve">Respondent</w:t>
            </w:r>
          </w:p>
        </w:tc>
        <w:tc>
          <w:tcPr>
            <w:tcW w:type="dxa" w:w="1318"/>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1506"/>
            <w:shd w:fill="F8FAFB" w:color="auto" w:val="clear"/>
            <w:tcMar>
              <w:top w:type="dxa" w:w="70"/>
              <w:left w:type="dxa" w:w="110"/>
              <w:bottom w:type="dxa" w:w="70"/>
              <w:right w:type="dxa" w:w="110"/>
            </w:tcMar>
            <w:vAlign w:val="top"/>
          </w:tcPr>
          <w:p>
            <w:pPr>
              <w:spacing w:after="40"/>
            </w:pPr>
            <w:r>
              <w:rPr>
                <w:b w:val="false"/>
                <w:bCs w:val="false"/>
                <w:sz w:val="19"/>
                <w:szCs w:val="19"/>
              </w:rPr>
              <w:t xml:space="preserve">8. Questionnaire</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The respondent opens the KoboToolbox questionnaire (or books a researcher-assisted session).</w:t>
            </w:r>
          </w:p>
        </w:tc>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Respondent / RA</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S07 (auto)</w:t>
            </w:r>
          </w:p>
        </w:tc>
      </w:tr>
      <w:tr>
        <w:trPr>
          <w:cantSplit/>
        </w:trPr>
        <w:tc>
          <w:tcPr>
            <w:tcW w:type="dxa" w:w="1506"/>
            <w:tcMar>
              <w:top w:type="dxa" w:w="70"/>
              <w:left w:type="dxa" w:w="110"/>
              <w:bottom w:type="dxa" w:w="70"/>
              <w:right w:type="dxa" w:w="110"/>
            </w:tcMar>
            <w:vAlign w:val="top"/>
          </w:tcPr>
          <w:p>
            <w:pPr>
              <w:spacing w:after="40"/>
            </w:pPr>
            <w:r>
              <w:rPr>
                <w:b w:val="false"/>
                <w:bCs w:val="false"/>
                <w:sz w:val="19"/>
                <w:szCs w:val="19"/>
              </w:rPr>
              <w:t xml:space="preserve">9. Submitted</w:t>
            </w:r>
          </w:p>
        </w:tc>
        <w:tc>
          <w:tcPr>
            <w:tcW w:type="dxa" w:w="4706"/>
            <w:tcMar>
              <w:top w:type="dxa" w:w="70"/>
              <w:left w:type="dxa" w:w="110"/>
              <w:bottom w:type="dxa" w:w="70"/>
              <w:right w:type="dxa" w:w="110"/>
            </w:tcMar>
            <w:vAlign w:val="top"/>
          </w:tcPr>
          <w:p>
            <w:pPr>
              <w:spacing w:after="40"/>
            </w:pPr>
            <w:r>
              <w:rPr>
                <w:b w:val="false"/>
                <w:bCs w:val="false"/>
                <w:sz w:val="19"/>
                <w:szCs w:val="19"/>
              </w:rPr>
              <w:t xml:space="preserve">KoboToolbox notifies the portal; the submission is matched to the case and checked by the QA rules.</w:t>
            </w:r>
          </w:p>
        </w:tc>
        <w:tc>
          <w:tcPr>
            <w:tcW w:type="dxa" w:w="1882"/>
            <w:tcMar>
              <w:top w:type="dxa" w:w="70"/>
              <w:left w:type="dxa" w:w="110"/>
              <w:bottom w:type="dxa" w:w="70"/>
              <w:right w:type="dxa" w:w="110"/>
            </w:tcMar>
            <w:vAlign w:val="top"/>
          </w:tcPr>
          <w:p>
            <w:pPr>
              <w:spacing w:after="40"/>
            </w:pPr>
            <w:r>
              <w:rPr>
                <w:b w:val="false"/>
                <w:bCs w:val="false"/>
                <w:sz w:val="19"/>
                <w:szCs w:val="19"/>
              </w:rPr>
              <w:t xml:space="preserve">Automatic</w:t>
            </w:r>
          </w:p>
        </w:tc>
        <w:tc>
          <w:tcPr>
            <w:tcW w:type="dxa" w:w="1318"/>
            <w:tcMar>
              <w:top w:type="dxa" w:w="70"/>
              <w:left w:type="dxa" w:w="110"/>
              <w:bottom w:type="dxa" w:w="70"/>
              <w:right w:type="dxa" w:w="110"/>
            </w:tcMar>
            <w:vAlign w:val="top"/>
          </w:tcPr>
          <w:p>
            <w:pPr>
              <w:spacing w:after="40"/>
            </w:pPr>
            <w:r>
              <w:rPr>
                <w:b w:val="false"/>
                <w:bCs w:val="false"/>
                <w:sz w:val="19"/>
                <w:szCs w:val="19"/>
              </w:rPr>
              <w:t xml:space="preserve">S08 (auto)</w:t>
            </w:r>
          </w:p>
        </w:tc>
      </w:tr>
      <w:tr>
        <w:trPr>
          <w:cantSplit/>
        </w:trPr>
        <w:tc>
          <w:tcPr>
            <w:tcW w:type="dxa" w:w="1506"/>
            <w:shd w:fill="F8FAFB" w:color="auto" w:val="clear"/>
            <w:tcMar>
              <w:top w:type="dxa" w:w="70"/>
              <w:left w:type="dxa" w:w="110"/>
              <w:bottom w:type="dxa" w:w="70"/>
              <w:right w:type="dxa" w:w="110"/>
            </w:tcMar>
            <w:vAlign w:val="top"/>
          </w:tcPr>
          <w:p>
            <w:pPr>
              <w:spacing w:after="40"/>
            </w:pPr>
            <w:r>
              <w:rPr>
                <w:b w:val="false"/>
                <w:bCs w:val="false"/>
                <w:sz w:val="19"/>
                <w:szCs w:val="19"/>
              </w:rPr>
              <w:t xml:space="preserve">10. Reminders</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If no submission, approved reminders fall due on Day 2 and Day 7.</w:t>
            </w:r>
          </w:p>
        </w:tc>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Contact RA</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S05–S07</w:t>
            </w:r>
          </w:p>
        </w:tc>
      </w:tr>
      <w:tr>
        <w:trPr>
          <w:cantSplit/>
        </w:trPr>
        <w:tc>
          <w:tcPr>
            <w:tcW w:type="dxa" w:w="1506"/>
            <w:tcMar>
              <w:top w:type="dxa" w:w="70"/>
              <w:left w:type="dxa" w:w="110"/>
              <w:bottom w:type="dxa" w:w="70"/>
              <w:right w:type="dxa" w:w="110"/>
            </w:tcMar>
            <w:vAlign w:val="top"/>
          </w:tcPr>
          <w:p>
            <w:pPr>
              <w:spacing w:after="40"/>
            </w:pPr>
            <w:r>
              <w:rPr>
                <w:b w:val="false"/>
                <w:bCs w:val="false"/>
                <w:sz w:val="19"/>
                <w:szCs w:val="19"/>
              </w:rPr>
              <w:t xml:space="preserve">11. QA decision</w:t>
            </w:r>
          </w:p>
        </w:tc>
        <w:tc>
          <w:tcPr>
            <w:tcW w:type="dxa" w:w="4706"/>
            <w:tcMar>
              <w:top w:type="dxa" w:w="70"/>
              <w:left w:type="dxa" w:w="110"/>
              <w:bottom w:type="dxa" w:w="70"/>
              <w:right w:type="dxa" w:w="110"/>
            </w:tcMar>
            <w:vAlign w:val="top"/>
          </w:tcPr>
          <w:p>
            <w:pPr>
              <w:spacing w:after="40"/>
            </w:pPr>
            <w:r>
              <w:rPr>
                <w:b w:val="false"/>
                <w:bCs w:val="false"/>
                <w:sz w:val="19"/>
                <w:szCs w:val="19"/>
              </w:rPr>
              <w:t xml:space="preserve">A QA reviewer accepts, re-queries or rejects, always with a note.</w:t>
            </w:r>
          </w:p>
        </w:tc>
        <w:tc>
          <w:tcPr>
            <w:tcW w:type="dxa" w:w="1882"/>
            <w:tcMar>
              <w:top w:type="dxa" w:w="70"/>
              <w:left w:type="dxa" w:w="110"/>
              <w:bottom w:type="dxa" w:w="70"/>
              <w:right w:type="dxa" w:w="110"/>
            </w:tcMar>
            <w:vAlign w:val="top"/>
          </w:tcPr>
          <w:p>
            <w:pPr>
              <w:spacing w:after="40"/>
            </w:pPr>
            <w:r>
              <w:rPr>
                <w:b w:val="false"/>
                <w:bCs w:val="false"/>
                <w:sz w:val="19"/>
                <w:szCs w:val="19"/>
              </w:rPr>
              <w:t xml:space="preserve">QA RA</w:t>
            </w:r>
          </w:p>
        </w:tc>
        <w:tc>
          <w:tcPr>
            <w:tcW w:type="dxa" w:w="1318"/>
            <w:tcMar>
              <w:top w:type="dxa" w:w="70"/>
              <w:left w:type="dxa" w:w="110"/>
              <w:bottom w:type="dxa" w:w="70"/>
              <w:right w:type="dxa" w:w="110"/>
            </w:tcMar>
            <w:vAlign w:val="top"/>
          </w:tcPr>
          <w:p>
            <w:pPr>
              <w:spacing w:after="40"/>
            </w:pPr>
            <w:r>
              <w:rPr>
                <w:b w:val="false"/>
                <w:bCs w:val="false"/>
                <w:sz w:val="19"/>
                <w:szCs w:val="19"/>
              </w:rPr>
              <w:t xml:space="preserve">S10 / S09 (auto)</w:t>
            </w:r>
          </w:p>
        </w:tc>
      </w:tr>
      <w:tr>
        <w:trPr>
          <w:cantSplit/>
        </w:trPr>
        <w:tc>
          <w:tcPr>
            <w:tcW w:type="dxa" w:w="1506"/>
            <w:shd w:fill="F8FAFB" w:color="auto" w:val="clear"/>
            <w:tcMar>
              <w:top w:type="dxa" w:w="70"/>
              <w:left w:type="dxa" w:w="110"/>
              <w:bottom w:type="dxa" w:w="70"/>
              <w:right w:type="dxa" w:w="110"/>
            </w:tcMar>
            <w:vAlign w:val="top"/>
          </w:tcPr>
          <w:p>
            <w:pPr>
              <w:spacing w:after="40"/>
            </w:pPr>
            <w:r>
              <w:rPr>
                <w:b w:val="false"/>
                <w:bCs w:val="false"/>
                <w:sz w:val="19"/>
                <w:szCs w:val="19"/>
              </w:rPr>
              <w:t xml:space="preserve">12. Completed</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The case is closed.</w:t>
            </w:r>
          </w:p>
        </w:tc>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Coordinator</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S11</w:t>
            </w:r>
          </w:p>
        </w:tc>
      </w:tr>
      <w:tr>
        <w:trPr>
          <w:cantSplit/>
        </w:trPr>
        <w:tc>
          <w:tcPr>
            <w:tcW w:type="dxa" w:w="1506"/>
            <w:tcMar>
              <w:top w:type="dxa" w:w="70"/>
              <w:left w:type="dxa" w:w="110"/>
              <w:bottom w:type="dxa" w:w="70"/>
              <w:right w:type="dxa" w:w="110"/>
            </w:tcMar>
            <w:vAlign w:val="top"/>
          </w:tcPr>
          <w:p>
            <w:pPr>
              <w:spacing w:after="40"/>
            </w:pPr>
            <w:r>
              <w:rPr>
                <w:b w:val="false"/>
                <w:bCs w:val="false"/>
                <w:sz w:val="19"/>
                <w:szCs w:val="19"/>
              </w:rPr>
              <w:t xml:space="preserve">If it drops out</w:t>
            </w:r>
          </w:p>
        </w:tc>
        <w:tc>
          <w:tcPr>
            <w:tcW w:type="dxa" w:w="4706"/>
            <w:tcMar>
              <w:top w:type="dxa" w:w="70"/>
              <w:left w:type="dxa" w:w="110"/>
              <w:bottom w:type="dxa" w:w="70"/>
              <w:right w:type="dxa" w:w="110"/>
            </w:tcMar>
            <w:vAlign w:val="top"/>
          </w:tcPr>
          <w:p>
            <w:pPr>
              <w:spacing w:after="40"/>
            </w:pPr>
            <w:r>
              <w:rPr>
                <w:b w:val="false"/>
                <w:bCs w:val="false"/>
                <w:sz w:val="19"/>
                <w:szCs w:val="19"/>
              </w:rPr>
              <w:t xml:space="preserve">Refusal, nonresponse, ineligibility or duplication is recorded; the matched Reserve is activated with a reason and evidence.</w:t>
            </w:r>
          </w:p>
        </w:tc>
        <w:tc>
          <w:tcPr>
            <w:tcW w:type="dxa" w:w="1882"/>
            <w:tcMar>
              <w:top w:type="dxa" w:w="70"/>
              <w:left w:type="dxa" w:w="110"/>
              <w:bottom w:type="dxa" w:w="70"/>
              <w:right w:type="dxa" w:w="110"/>
            </w:tcMar>
            <w:vAlign w:val="top"/>
          </w:tcPr>
          <w:p>
            <w:pPr>
              <w:spacing w:after="40"/>
            </w:pPr>
            <w:r>
              <w:rPr>
                <w:b w:val="false"/>
                <w:bCs w:val="false"/>
                <w:sz w:val="19"/>
                <w:szCs w:val="19"/>
              </w:rPr>
              <w:t xml:space="preserve">Coordinator / PI</w:t>
            </w:r>
          </w:p>
        </w:tc>
        <w:tc>
          <w:tcPr>
            <w:tcW w:type="dxa" w:w="1318"/>
            <w:tcMar>
              <w:top w:type="dxa" w:w="70"/>
              <w:left w:type="dxa" w:w="110"/>
              <w:bottom w:type="dxa" w:w="70"/>
              <w:right w:type="dxa" w:w="110"/>
            </w:tcMar>
            <w:vAlign w:val="top"/>
          </w:tcPr>
          <w:p>
            <w:pPr>
              <w:spacing w:after="40"/>
            </w:pPr>
            <w:r>
              <w:rPr>
                <w:b w:val="false"/>
                <w:bCs w:val="false"/>
                <w:sz w:val="19"/>
                <w:szCs w:val="19"/>
              </w:rPr>
              <w:t xml:space="preserve">S12–S16</w:t>
            </w:r>
          </w:p>
        </w:tc>
      </w:tr>
    </w:tbl>
    <w:p>
      <w:pPr>
        <w:spacing w:after="120"/>
      </w:pPr>
    </w:p>
    <w:p>
      <w:pPr>
        <w:pStyle w:val="Heading2"/>
      </w:pPr>
      <w:r>
        <w:t xml:space="preserve">3.2 Identifiers</w:t>
      </w:r>
    </w:p>
    <w:p>
      <w:pPr>
        <w:pStyle w:val="ListParagraph"/>
        <w:numPr>
          <w:ilvl w:val="0"/>
          <w:numId w:val="2"/>
        </w:numPr>
        <w:spacing w:after="60" w:line="276"/>
      </w:pPr>
      <w:r>
        <w:rPr>
          <w:b/>
          <w:bCs/>
        </w:rPr>
        <w:t xml:space="preserve">Master ID</w:t>
      </w:r>
      <w:r>
        <w:t xml:space="preserve"> identifies an organisation: </w:t>
      </w:r>
      <w:r>
        <w:rPr>
          <w:rFonts w:ascii="Consolas" w:cs="Consolas" w:eastAsia="Consolas" w:hAnsi="Consolas"/>
          <w:b w:val="false"/>
          <w:bCs w:val="false"/>
          <w:color w:val="122238"/>
          <w:sz w:val="19"/>
          <w:szCs w:val="19"/>
        </w:rPr>
        <w:t xml:space="preserve">MID-&lt;province code&gt;-&lt;sequence&gt;</w:t>
      </w:r>
      <w:r>
        <w:t xml:space="preserve">, e.g. MID-HA-000001.</w:t>
      </w:r>
    </w:p>
    <w:p>
      <w:pPr>
        <w:pStyle w:val="ListParagraph"/>
        <w:numPr>
          <w:ilvl w:val="0"/>
          <w:numId w:val="2"/>
        </w:numPr>
        <w:spacing w:after="60" w:line="276"/>
      </w:pPr>
      <w:r>
        <w:rPr>
          <w:b/>
          <w:bCs/>
        </w:rPr>
        <w:t xml:space="preserve">Sample ID</w:t>
      </w:r>
      <w:r>
        <w:t xml:space="preserve"> identifies a case (an organisation's place in the sample): </w:t>
      </w:r>
      <w:r>
        <w:rPr>
          <w:rFonts w:ascii="Consolas" w:cs="Consolas" w:eastAsia="Consolas" w:hAnsi="Consolas"/>
          <w:b w:val="false"/>
          <w:bCs w:val="false"/>
          <w:color w:val="122238"/>
          <w:sz w:val="19"/>
          <w:szCs w:val="19"/>
        </w:rPr>
        <w:t xml:space="preserve">SID-&lt;year&gt;-&lt;sequence&gt;</w:t>
      </w:r>
      <w:r>
        <w:t xml:space="preserve">, e.g. SID-2026-000001.</w:t>
      </w:r>
    </w:p>
    <w:p>
      <w:pPr>
        <w:pStyle w:val="ListParagraph"/>
        <w:numPr>
          <w:ilvl w:val="0"/>
          <w:numId w:val="2"/>
        </w:numPr>
        <w:spacing w:after="60" w:line="276"/>
      </w:pPr>
      <w:r>
        <w:rPr>
          <w:b/>
          <w:bCs/>
        </w:rPr>
        <w:t xml:space="preserve">KII ID</w:t>
      </w:r>
      <w:r>
        <w:t xml:space="preserve"> (KII-0001) and </w:t>
      </w:r>
      <w:r>
        <w:rPr>
          <w:b/>
          <w:bCs/>
        </w:rPr>
        <w:t xml:space="preserve">DOC ID</w:t>
      </w:r>
      <w:r>
        <w:t xml:space="preserve"> (DOC-0001) identify interview and document records.</w:t>
      </w:r>
    </w:p>
    <w:p>
      <w:pPr>
        <w:pStyle w:val="ListParagraph"/>
        <w:numPr>
          <w:ilvl w:val="0"/>
          <w:numId w:val="2"/>
        </w:numPr>
        <w:spacing w:after="60" w:line="276"/>
      </w:pPr>
      <w:r>
        <w:t xml:space="preserve">All identifiers are generated by the system, can never be typed or edited, and are never reused. They are the link between the portal and KoboToolbox.</w:t>
      </w:r>
    </w:p>
    <w:p>
      <w:pPr>
        <w:spacing w:after="60"/>
      </w:pPr>
    </w:p>
    <w:p>
      <w:pPr>
        <w:pStyle w:val="Heading2"/>
      </w:pPr>
      <w:r>
        <w:t xml:space="preserve">3.3 Sample, strata and Reserves</w:t>
      </w:r>
    </w:p>
    <w:p>
      <w:pPr>
        <w:spacing w:after="120" w:line="288"/>
      </w:pPr>
      <w:r>
        <w:t xml:space="preserve">Organisations are stratified by </w:t>
      </w:r>
      <w:r>
        <w:rPr>
          <w:b/>
          <w:bCs/>
        </w:rPr>
        <w:t xml:space="preserve">Province × Actor family × Size class</w:t>
      </w:r>
      <w:r>
        <w:t xml:space="preserve">. Entity type and value chain are descriptive only. Each Main case is paired with one </w:t>
      </w:r>
      <w:r>
        <w:rPr>
          <w:b/>
          <w:bCs/>
        </w:rPr>
        <w:t xml:space="preserve">Reserve</w:t>
      </w:r>
      <w:r>
        <w:t xml:space="preserve"> in the same stratum. A Reserve starts </w:t>
      </w:r>
      <w:r>
        <w:rPr>
          <w:b/>
          <w:bCs/>
        </w:rPr>
        <w:t xml:space="preserve">LOCKED</w:t>
      </w:r>
      <w:r>
        <w:t xml:space="preserve"> and cannot be invited. It can be activated only when its Main case has dropped out (S12–S15), with one of five authorised reasons — Ineligible, Inactive, Duplicate, Refusal, Nonresponse exhausted — and a written evidence note. The portal enforces the lock itself, not just the screens.</w:t>
      </w:r>
    </w:p>
    <w:p>
      <w:pPr>
        <w:pStyle w:val="Heading2"/>
      </w:pPr>
      <w:r>
        <w:t xml:space="preserve">3.4 Workflow statuses (S00–S16)</w:t>
      </w:r>
    </w:p>
    <w:p>
      <w:pPr>
        <w:spacing w:after="120" w:line="288"/>
      </w:pPr>
      <w:r>
        <w:t xml:space="preserve">Every Main case has exactly one status. Statuses S05–S10 follow real events automatically; the rest are set by bulk verification or by an individual decision. Invalid jumps are refused and the attempt is audited.</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847"/>
        <w:gridCol w:w="2824"/>
        <w:gridCol w:w="5741"/>
      </w:tblGrid>
      <w:tr>
        <w:trPr>
          <w:tblHeader/>
        </w:trPr>
        <w:tc>
          <w:tcPr>
            <w:tcW w:type="dxa" w:w="847"/>
            <w:shd w:fill="1B3350" w:color="auto" w:val="clear"/>
            <w:tcMar>
              <w:top w:type="dxa" w:w="70"/>
              <w:left w:type="dxa" w:w="110"/>
              <w:bottom w:type="dxa" w:w="70"/>
              <w:right w:type="dxa" w:w="110"/>
            </w:tcMar>
            <w:vAlign w:val="top"/>
          </w:tcPr>
          <w:p>
            <w:pPr>
              <w:spacing w:after="40"/>
            </w:pPr>
            <w:r>
              <w:rPr>
                <w:b/>
                <w:bCs/>
                <w:color w:val="FFFFFF"/>
                <w:sz w:val="19"/>
                <w:szCs w:val="19"/>
              </w:rPr>
              <w:t xml:space="preserve">Code</w:t>
            </w:r>
          </w:p>
        </w:tc>
        <w:tc>
          <w:tcPr>
            <w:tcW w:type="dxa" w:w="2824"/>
            <w:shd w:fill="1B3350" w:color="auto" w:val="clear"/>
            <w:tcMar>
              <w:top w:type="dxa" w:w="70"/>
              <w:left w:type="dxa" w:w="110"/>
              <w:bottom w:type="dxa" w:w="70"/>
              <w:right w:type="dxa" w:w="110"/>
            </w:tcMar>
            <w:vAlign w:val="top"/>
          </w:tcPr>
          <w:p>
            <w:pPr>
              <w:spacing w:after="40"/>
            </w:pPr>
            <w:r>
              <w:rPr>
                <w:b/>
                <w:bCs/>
                <w:color w:val="FFFFFF"/>
                <w:sz w:val="19"/>
                <w:szCs w:val="19"/>
              </w:rPr>
              <w:t xml:space="preserve">Status</w:t>
            </w:r>
          </w:p>
        </w:tc>
        <w:tc>
          <w:tcPr>
            <w:tcW w:type="dxa" w:w="5741"/>
            <w:shd w:fill="1B3350" w:color="auto" w:val="clear"/>
            <w:tcMar>
              <w:top w:type="dxa" w:w="70"/>
              <w:left w:type="dxa" w:w="110"/>
              <w:bottom w:type="dxa" w:w="70"/>
              <w:right w:type="dxa" w:w="110"/>
            </w:tcMar>
            <w:vAlign w:val="top"/>
          </w:tcPr>
          <w:p>
            <w:pPr>
              <w:spacing w:after="40"/>
            </w:pPr>
            <w:r>
              <w:rPr>
                <w:b/>
                <w:bCs/>
                <w:color w:val="FFFFFF"/>
                <w:sz w:val="19"/>
                <w:szCs w:val="19"/>
              </w:rPr>
              <w:t xml:space="preserve">Meaning</w:t>
            </w:r>
          </w:p>
        </w:tc>
      </w:tr>
      <w:tr>
        <w:trPr>
          <w:cantSplit/>
        </w:trPr>
        <w:tc>
          <w:tcPr>
            <w:tcW w:type="dxa" w:w="847"/>
            <w:tcMar>
              <w:top w:type="dxa" w:w="70"/>
              <w:left w:type="dxa" w:w="110"/>
              <w:bottom w:type="dxa" w:w="70"/>
              <w:right w:type="dxa" w:w="110"/>
            </w:tcMar>
            <w:vAlign w:val="top"/>
          </w:tcPr>
          <w:p>
            <w:pPr>
              <w:spacing w:after="40"/>
            </w:pPr>
            <w:r>
              <w:rPr>
                <w:b w:val="false"/>
                <w:bCs w:val="false"/>
                <w:sz w:val="19"/>
                <w:szCs w:val="19"/>
              </w:rPr>
              <w:t xml:space="preserve">S00</w:t>
            </w:r>
          </w:p>
        </w:tc>
        <w:tc>
          <w:tcPr>
            <w:tcW w:type="dxa" w:w="2824"/>
            <w:tcMar>
              <w:top w:type="dxa" w:w="70"/>
              <w:left w:type="dxa" w:w="110"/>
              <w:bottom w:type="dxa" w:w="70"/>
              <w:right w:type="dxa" w:w="110"/>
            </w:tcMar>
            <w:vAlign w:val="top"/>
          </w:tcPr>
          <w:p>
            <w:pPr>
              <w:spacing w:after="40"/>
            </w:pPr>
            <w:r>
              <w:rPr>
                <w:b w:val="false"/>
                <w:bCs w:val="false"/>
                <w:sz w:val="19"/>
                <w:szCs w:val="19"/>
              </w:rPr>
              <w:t xml:space="preserve">Selected Main</w:t>
            </w:r>
          </w:p>
        </w:tc>
        <w:tc>
          <w:tcPr>
            <w:tcW w:type="dxa" w:w="5741"/>
            <w:tcMar>
              <w:top w:type="dxa" w:w="70"/>
              <w:left w:type="dxa" w:w="110"/>
              <w:bottom w:type="dxa" w:w="70"/>
              <w:right w:type="dxa" w:w="110"/>
            </w:tcMar>
            <w:vAlign w:val="top"/>
          </w:tcPr>
          <w:p>
            <w:pPr>
              <w:spacing w:after="40"/>
            </w:pPr>
            <w:r>
              <w:rPr>
                <w:b w:val="false"/>
                <w:bCs w:val="false"/>
                <w:sz w:val="19"/>
                <w:szCs w:val="19"/>
              </w:rPr>
              <w:t xml:space="preserve">The case is in the Main-400 sample. Starting point for every Main case.</w:t>
            </w:r>
          </w:p>
        </w:tc>
      </w:tr>
      <w:tr>
        <w:trPr>
          <w:cantSplit/>
        </w:trPr>
        <w:tc>
          <w:tcPr>
            <w:tcW w:type="dxa" w:w="847"/>
            <w:shd w:fill="F8FAFB" w:color="auto" w:val="clear"/>
            <w:tcMar>
              <w:top w:type="dxa" w:w="70"/>
              <w:left w:type="dxa" w:w="110"/>
              <w:bottom w:type="dxa" w:w="70"/>
              <w:right w:type="dxa" w:w="110"/>
            </w:tcMar>
            <w:vAlign w:val="top"/>
          </w:tcPr>
          <w:p>
            <w:pPr>
              <w:spacing w:after="40"/>
            </w:pPr>
            <w:r>
              <w:rPr>
                <w:b w:val="false"/>
                <w:bCs w:val="false"/>
                <w:sz w:val="19"/>
                <w:szCs w:val="19"/>
              </w:rPr>
              <w:t xml:space="preserve">S01</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Verification required</w:t>
            </w:r>
          </w:p>
        </w:tc>
        <w:tc>
          <w:tcPr>
            <w:tcW w:type="dxa" w:w="5741"/>
            <w:shd w:fill="F8FAFB" w:color="auto" w:val="clear"/>
            <w:tcMar>
              <w:top w:type="dxa" w:w="70"/>
              <w:left w:type="dxa" w:w="110"/>
              <w:bottom w:type="dxa" w:w="70"/>
              <w:right w:type="dxa" w:w="110"/>
            </w:tcMar>
            <w:vAlign w:val="top"/>
          </w:tcPr>
          <w:p>
            <w:pPr>
              <w:spacing w:after="40"/>
            </w:pPr>
            <w:r>
              <w:rPr>
                <w:b w:val="false"/>
                <w:bCs w:val="false"/>
                <w:sz w:val="19"/>
                <w:szCs w:val="19"/>
              </w:rPr>
              <w:t xml:space="preserve">The organisation's details are being checked.</w:t>
            </w:r>
          </w:p>
        </w:tc>
      </w:tr>
      <w:tr>
        <w:trPr>
          <w:cantSplit/>
        </w:trPr>
        <w:tc>
          <w:tcPr>
            <w:tcW w:type="dxa" w:w="847"/>
            <w:tcMar>
              <w:top w:type="dxa" w:w="70"/>
              <w:left w:type="dxa" w:w="110"/>
              <w:bottom w:type="dxa" w:w="70"/>
              <w:right w:type="dxa" w:w="110"/>
            </w:tcMar>
            <w:vAlign w:val="top"/>
          </w:tcPr>
          <w:p>
            <w:pPr>
              <w:spacing w:after="40"/>
            </w:pPr>
            <w:r>
              <w:rPr>
                <w:b w:val="false"/>
                <w:bCs w:val="false"/>
                <w:sz w:val="19"/>
                <w:szCs w:val="19"/>
              </w:rPr>
              <w:t xml:space="preserve">S02</w:t>
            </w:r>
          </w:p>
        </w:tc>
        <w:tc>
          <w:tcPr>
            <w:tcW w:type="dxa" w:w="2824"/>
            <w:tcMar>
              <w:top w:type="dxa" w:w="70"/>
              <w:left w:type="dxa" w:w="110"/>
              <w:bottom w:type="dxa" w:w="70"/>
              <w:right w:type="dxa" w:w="110"/>
            </w:tcMar>
            <w:vAlign w:val="top"/>
          </w:tcPr>
          <w:p>
            <w:pPr>
              <w:spacing w:after="40"/>
            </w:pPr>
            <w:r>
              <w:rPr>
                <w:b w:val="false"/>
                <w:bCs w:val="false"/>
                <w:sz w:val="19"/>
                <w:szCs w:val="19"/>
              </w:rPr>
              <w:t xml:space="preserve">Organisation verified</w:t>
            </w:r>
          </w:p>
        </w:tc>
        <w:tc>
          <w:tcPr>
            <w:tcW w:type="dxa" w:w="5741"/>
            <w:tcMar>
              <w:top w:type="dxa" w:w="70"/>
              <w:left w:type="dxa" w:w="110"/>
              <w:bottom w:type="dxa" w:w="70"/>
              <w:right w:type="dxa" w:w="110"/>
            </w:tcMar>
            <w:vAlign w:val="top"/>
          </w:tcPr>
          <w:p>
            <w:pPr>
              <w:spacing w:after="40"/>
            </w:pPr>
            <w:r>
              <w:rPr>
                <w:b w:val="false"/>
                <w:bCs w:val="false"/>
                <w:sz w:val="19"/>
                <w:szCs w:val="19"/>
              </w:rPr>
              <w:t xml:space="preserve">The organisation exists, is active and is the right one.</w:t>
            </w:r>
          </w:p>
        </w:tc>
      </w:tr>
      <w:tr>
        <w:trPr>
          <w:cantSplit/>
        </w:trPr>
        <w:tc>
          <w:tcPr>
            <w:tcW w:type="dxa" w:w="847"/>
            <w:shd w:fill="F8FAFB" w:color="auto" w:val="clear"/>
            <w:tcMar>
              <w:top w:type="dxa" w:w="70"/>
              <w:left w:type="dxa" w:w="110"/>
              <w:bottom w:type="dxa" w:w="70"/>
              <w:right w:type="dxa" w:w="110"/>
            </w:tcMar>
            <w:vAlign w:val="top"/>
          </w:tcPr>
          <w:p>
            <w:pPr>
              <w:spacing w:after="40"/>
            </w:pPr>
            <w:r>
              <w:rPr>
                <w:b w:val="false"/>
                <w:bCs w:val="false"/>
                <w:sz w:val="19"/>
                <w:szCs w:val="19"/>
              </w:rPr>
              <w:t xml:space="preserve">S03</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Eligible respondent identified</w:t>
            </w:r>
          </w:p>
        </w:tc>
        <w:tc>
          <w:tcPr>
            <w:tcW w:type="dxa" w:w="5741"/>
            <w:shd w:fill="F8FAFB" w:color="auto" w:val="clear"/>
            <w:tcMar>
              <w:top w:type="dxa" w:w="70"/>
              <w:left w:type="dxa" w:w="110"/>
              <w:bottom w:type="dxa" w:w="70"/>
              <w:right w:type="dxa" w:w="110"/>
            </w:tcMar>
            <w:vAlign w:val="top"/>
          </w:tcPr>
          <w:p>
            <w:pPr>
              <w:spacing w:after="40"/>
            </w:pPr>
            <w:r>
              <w:rPr>
                <w:b w:val="false"/>
                <w:bCs w:val="false"/>
                <w:sz w:val="19"/>
                <w:szCs w:val="19"/>
              </w:rPr>
              <w:t xml:space="preserve">A knowledgeable senior person has been identified. Ready to invite.</w:t>
            </w:r>
          </w:p>
        </w:tc>
      </w:tr>
      <w:tr>
        <w:trPr>
          <w:cantSplit/>
        </w:trPr>
        <w:tc>
          <w:tcPr>
            <w:tcW w:type="dxa" w:w="847"/>
            <w:tcMar>
              <w:top w:type="dxa" w:w="70"/>
              <w:left w:type="dxa" w:w="110"/>
              <w:bottom w:type="dxa" w:w="70"/>
              <w:right w:type="dxa" w:w="110"/>
            </w:tcMar>
            <w:vAlign w:val="top"/>
          </w:tcPr>
          <w:p>
            <w:pPr>
              <w:spacing w:after="40"/>
            </w:pPr>
            <w:r>
              <w:rPr>
                <w:b w:val="false"/>
                <w:bCs w:val="false"/>
                <w:sz w:val="19"/>
                <w:szCs w:val="19"/>
              </w:rPr>
              <w:t xml:space="preserve">S04</w:t>
            </w:r>
          </w:p>
        </w:tc>
        <w:tc>
          <w:tcPr>
            <w:tcW w:type="dxa" w:w="2824"/>
            <w:tcMar>
              <w:top w:type="dxa" w:w="70"/>
              <w:left w:type="dxa" w:w="110"/>
              <w:bottom w:type="dxa" w:w="70"/>
              <w:right w:type="dxa" w:w="110"/>
            </w:tcMar>
            <w:vAlign w:val="top"/>
          </w:tcPr>
          <w:p>
            <w:pPr>
              <w:spacing w:after="40"/>
            </w:pPr>
            <w:r>
              <w:rPr>
                <w:b w:val="false"/>
                <w:bCs w:val="false"/>
                <w:sz w:val="19"/>
                <w:szCs w:val="19"/>
              </w:rPr>
              <w:t xml:space="preserve">Invitation prepared</w:t>
            </w:r>
          </w:p>
        </w:tc>
        <w:tc>
          <w:tcPr>
            <w:tcW w:type="dxa" w:w="5741"/>
            <w:tcMar>
              <w:top w:type="dxa" w:w="70"/>
              <w:left w:type="dxa" w:w="110"/>
              <w:bottom w:type="dxa" w:w="70"/>
              <w:right w:type="dxa" w:w="110"/>
            </w:tcMar>
            <w:vAlign w:val="top"/>
          </w:tcPr>
          <w:p>
            <w:pPr>
              <w:spacing w:after="40"/>
            </w:pPr>
            <w:r>
              <w:rPr>
                <w:b w:val="false"/>
                <w:bCs w:val="false"/>
                <w:sz w:val="19"/>
                <w:szCs w:val="19"/>
              </w:rPr>
              <w:t xml:space="preserve">Optional manual step before sending.</w:t>
            </w:r>
          </w:p>
        </w:tc>
      </w:tr>
      <w:tr>
        <w:trPr>
          <w:cantSplit/>
        </w:trPr>
        <w:tc>
          <w:tcPr>
            <w:tcW w:type="dxa" w:w="847"/>
            <w:shd w:fill="F8FAFB" w:color="auto" w:val="clear"/>
            <w:tcMar>
              <w:top w:type="dxa" w:w="70"/>
              <w:left w:type="dxa" w:w="110"/>
              <w:bottom w:type="dxa" w:w="70"/>
              <w:right w:type="dxa" w:w="110"/>
            </w:tcMar>
            <w:vAlign w:val="top"/>
          </w:tcPr>
          <w:p>
            <w:pPr>
              <w:spacing w:after="40"/>
            </w:pPr>
            <w:r>
              <w:rPr>
                <w:b w:val="false"/>
                <w:bCs w:val="false"/>
                <w:sz w:val="19"/>
                <w:szCs w:val="19"/>
              </w:rPr>
              <w:t xml:space="preserve">S05</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Invitation sent</w:t>
            </w:r>
          </w:p>
        </w:tc>
        <w:tc>
          <w:tcPr>
            <w:tcW w:type="dxa" w:w="5741"/>
            <w:shd w:fill="F8FAFB" w:color="auto" w:val="clear"/>
            <w:tcMar>
              <w:top w:type="dxa" w:w="70"/>
              <w:left w:type="dxa" w:w="110"/>
              <w:bottom w:type="dxa" w:w="70"/>
              <w:right w:type="dxa" w:w="110"/>
            </w:tcMar>
            <w:vAlign w:val="top"/>
          </w:tcPr>
          <w:p>
            <w:pPr>
              <w:spacing w:after="40"/>
            </w:pPr>
            <w:r>
              <w:rPr>
                <w:b w:val="false"/>
                <w:bCs w:val="false"/>
                <w:sz w:val="19"/>
                <w:szCs w:val="19"/>
              </w:rPr>
              <w:t xml:space="preserve">Set automatically when an invitation is issued.</w:t>
            </w:r>
          </w:p>
        </w:tc>
      </w:tr>
      <w:tr>
        <w:trPr>
          <w:cantSplit/>
        </w:trPr>
        <w:tc>
          <w:tcPr>
            <w:tcW w:type="dxa" w:w="847"/>
            <w:tcMar>
              <w:top w:type="dxa" w:w="70"/>
              <w:left w:type="dxa" w:w="110"/>
              <w:bottom w:type="dxa" w:w="70"/>
              <w:right w:type="dxa" w:w="110"/>
            </w:tcMar>
            <w:vAlign w:val="top"/>
          </w:tcPr>
          <w:p>
            <w:pPr>
              <w:spacing w:after="40"/>
            </w:pPr>
            <w:r>
              <w:rPr>
                <w:b w:val="false"/>
                <w:bCs w:val="false"/>
                <w:sz w:val="19"/>
                <w:szCs w:val="19"/>
              </w:rPr>
              <w:t xml:space="preserve">S06</w:t>
            </w:r>
          </w:p>
        </w:tc>
        <w:tc>
          <w:tcPr>
            <w:tcW w:type="dxa" w:w="2824"/>
            <w:tcMar>
              <w:top w:type="dxa" w:w="70"/>
              <w:left w:type="dxa" w:w="110"/>
              <w:bottom w:type="dxa" w:w="70"/>
              <w:right w:type="dxa" w:w="110"/>
            </w:tcMar>
            <w:vAlign w:val="top"/>
          </w:tcPr>
          <w:p>
            <w:pPr>
              <w:spacing w:after="40"/>
            </w:pPr>
            <w:r>
              <w:rPr>
                <w:b w:val="false"/>
                <w:bCs w:val="false"/>
                <w:sz w:val="19"/>
                <w:szCs w:val="19"/>
              </w:rPr>
              <w:t xml:space="preserve">Invitation opened</w:t>
            </w:r>
          </w:p>
        </w:tc>
        <w:tc>
          <w:tcPr>
            <w:tcW w:type="dxa" w:w="5741"/>
            <w:tcMar>
              <w:top w:type="dxa" w:w="70"/>
              <w:left w:type="dxa" w:w="110"/>
              <w:bottom w:type="dxa" w:w="70"/>
              <w:right w:type="dxa" w:w="110"/>
            </w:tcMar>
            <w:vAlign w:val="top"/>
          </w:tcPr>
          <w:p>
            <w:pPr>
              <w:spacing w:after="40"/>
            </w:pPr>
            <w:r>
              <w:rPr>
                <w:b w:val="false"/>
                <w:bCs w:val="false"/>
                <w:sz w:val="19"/>
                <w:szCs w:val="19"/>
              </w:rPr>
              <w:t xml:space="preserve">Set automatically when the respondent opens the link.</w:t>
            </w:r>
          </w:p>
        </w:tc>
      </w:tr>
      <w:tr>
        <w:trPr>
          <w:cantSplit/>
        </w:trPr>
        <w:tc>
          <w:tcPr>
            <w:tcW w:type="dxa" w:w="847"/>
            <w:shd w:fill="F8FAFB" w:color="auto" w:val="clear"/>
            <w:tcMar>
              <w:top w:type="dxa" w:w="70"/>
              <w:left w:type="dxa" w:w="110"/>
              <w:bottom w:type="dxa" w:w="70"/>
              <w:right w:type="dxa" w:w="110"/>
            </w:tcMar>
            <w:vAlign w:val="top"/>
          </w:tcPr>
          <w:p>
            <w:pPr>
              <w:spacing w:after="40"/>
            </w:pPr>
            <w:r>
              <w:rPr>
                <w:b w:val="false"/>
                <w:bCs w:val="false"/>
                <w:sz w:val="19"/>
                <w:szCs w:val="19"/>
              </w:rPr>
              <w:t xml:space="preserve">S07</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Survey started</w:t>
            </w:r>
          </w:p>
        </w:tc>
        <w:tc>
          <w:tcPr>
            <w:tcW w:type="dxa" w:w="5741"/>
            <w:shd w:fill="F8FAFB" w:color="auto" w:val="clear"/>
            <w:tcMar>
              <w:top w:type="dxa" w:w="70"/>
              <w:left w:type="dxa" w:w="110"/>
              <w:bottom w:type="dxa" w:w="70"/>
              <w:right w:type="dxa" w:w="110"/>
            </w:tcMar>
            <w:vAlign w:val="top"/>
          </w:tcPr>
          <w:p>
            <w:pPr>
              <w:spacing w:after="40"/>
            </w:pPr>
            <w:r>
              <w:rPr>
                <w:b w:val="false"/>
                <w:bCs w:val="false"/>
                <w:sz w:val="19"/>
                <w:szCs w:val="19"/>
              </w:rPr>
              <w:t xml:space="preserve">Set automatically when the respondent opens the questionnaire.</w:t>
            </w:r>
          </w:p>
        </w:tc>
      </w:tr>
      <w:tr>
        <w:trPr>
          <w:cantSplit/>
        </w:trPr>
        <w:tc>
          <w:tcPr>
            <w:tcW w:type="dxa" w:w="847"/>
            <w:tcMar>
              <w:top w:type="dxa" w:w="70"/>
              <w:left w:type="dxa" w:w="110"/>
              <w:bottom w:type="dxa" w:w="70"/>
              <w:right w:type="dxa" w:w="110"/>
            </w:tcMar>
            <w:vAlign w:val="top"/>
          </w:tcPr>
          <w:p>
            <w:pPr>
              <w:spacing w:after="40"/>
            </w:pPr>
            <w:r>
              <w:rPr>
                <w:b w:val="false"/>
                <w:bCs w:val="false"/>
                <w:sz w:val="19"/>
                <w:szCs w:val="19"/>
              </w:rPr>
              <w:t xml:space="preserve">S08</w:t>
            </w:r>
          </w:p>
        </w:tc>
        <w:tc>
          <w:tcPr>
            <w:tcW w:type="dxa" w:w="2824"/>
            <w:tcMar>
              <w:top w:type="dxa" w:w="70"/>
              <w:left w:type="dxa" w:w="110"/>
              <w:bottom w:type="dxa" w:w="70"/>
              <w:right w:type="dxa" w:w="110"/>
            </w:tcMar>
            <w:vAlign w:val="top"/>
          </w:tcPr>
          <w:p>
            <w:pPr>
              <w:spacing w:after="40"/>
            </w:pPr>
            <w:r>
              <w:rPr>
                <w:b w:val="false"/>
                <w:bCs w:val="false"/>
                <w:sz w:val="19"/>
                <w:szCs w:val="19"/>
              </w:rPr>
              <w:t xml:space="preserve">Survey submitted</w:t>
            </w:r>
          </w:p>
        </w:tc>
        <w:tc>
          <w:tcPr>
            <w:tcW w:type="dxa" w:w="5741"/>
            <w:tcMar>
              <w:top w:type="dxa" w:w="70"/>
              <w:left w:type="dxa" w:w="110"/>
              <w:bottom w:type="dxa" w:w="70"/>
              <w:right w:type="dxa" w:w="110"/>
            </w:tcMar>
            <w:vAlign w:val="top"/>
          </w:tcPr>
          <w:p>
            <w:pPr>
              <w:spacing w:after="40"/>
            </w:pPr>
            <w:r>
              <w:rPr>
                <w:b w:val="false"/>
                <w:bCs w:val="false"/>
                <w:sz w:val="19"/>
                <w:szCs w:val="19"/>
              </w:rPr>
              <w:t xml:space="preserve">Set automatically when the questionnaire arrives from KoboToolbox.</w:t>
            </w:r>
          </w:p>
        </w:tc>
      </w:tr>
      <w:tr>
        <w:trPr>
          <w:cantSplit/>
        </w:trPr>
        <w:tc>
          <w:tcPr>
            <w:tcW w:type="dxa" w:w="847"/>
            <w:shd w:fill="F8FAFB" w:color="auto" w:val="clear"/>
            <w:tcMar>
              <w:top w:type="dxa" w:w="70"/>
              <w:left w:type="dxa" w:w="110"/>
              <w:bottom w:type="dxa" w:w="70"/>
              <w:right w:type="dxa" w:w="110"/>
            </w:tcMar>
            <w:vAlign w:val="top"/>
          </w:tcPr>
          <w:p>
            <w:pPr>
              <w:spacing w:after="40"/>
            </w:pPr>
            <w:r>
              <w:rPr>
                <w:b w:val="false"/>
                <w:bCs w:val="false"/>
                <w:sz w:val="19"/>
                <w:szCs w:val="19"/>
              </w:rPr>
              <w:t xml:space="preserve">S09</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QA query</w:t>
            </w:r>
          </w:p>
        </w:tc>
        <w:tc>
          <w:tcPr>
            <w:tcW w:type="dxa" w:w="5741"/>
            <w:shd w:fill="F8FAFB" w:color="auto" w:val="clear"/>
            <w:tcMar>
              <w:top w:type="dxa" w:w="70"/>
              <w:left w:type="dxa" w:w="110"/>
              <w:bottom w:type="dxa" w:w="70"/>
              <w:right w:type="dxa" w:w="110"/>
            </w:tcMar>
            <w:vAlign w:val="top"/>
          </w:tcPr>
          <w:p>
            <w:pPr>
              <w:spacing w:after="40"/>
            </w:pPr>
            <w:r>
              <w:rPr>
                <w:b w:val="false"/>
                <w:bCs w:val="false"/>
                <w:sz w:val="19"/>
                <w:szCs w:val="19"/>
              </w:rPr>
              <w:t xml:space="preserve">Set automatically when a QA reviewer re-queries the submission.</w:t>
            </w:r>
          </w:p>
        </w:tc>
      </w:tr>
      <w:tr>
        <w:trPr>
          <w:cantSplit/>
        </w:trPr>
        <w:tc>
          <w:tcPr>
            <w:tcW w:type="dxa" w:w="847"/>
            <w:tcMar>
              <w:top w:type="dxa" w:w="70"/>
              <w:left w:type="dxa" w:w="110"/>
              <w:bottom w:type="dxa" w:w="70"/>
              <w:right w:type="dxa" w:w="110"/>
            </w:tcMar>
            <w:vAlign w:val="top"/>
          </w:tcPr>
          <w:p>
            <w:pPr>
              <w:spacing w:after="40"/>
            </w:pPr>
            <w:r>
              <w:rPr>
                <w:b w:val="false"/>
                <w:bCs w:val="false"/>
                <w:sz w:val="19"/>
                <w:szCs w:val="19"/>
              </w:rPr>
              <w:t xml:space="preserve">S10</w:t>
            </w:r>
          </w:p>
        </w:tc>
        <w:tc>
          <w:tcPr>
            <w:tcW w:type="dxa" w:w="2824"/>
            <w:tcMar>
              <w:top w:type="dxa" w:w="70"/>
              <w:left w:type="dxa" w:w="110"/>
              <w:bottom w:type="dxa" w:w="70"/>
              <w:right w:type="dxa" w:w="110"/>
            </w:tcMar>
            <w:vAlign w:val="top"/>
          </w:tcPr>
          <w:p>
            <w:pPr>
              <w:spacing w:after="40"/>
            </w:pPr>
            <w:r>
              <w:rPr>
                <w:b w:val="false"/>
                <w:bCs w:val="false"/>
                <w:sz w:val="19"/>
                <w:szCs w:val="19"/>
              </w:rPr>
              <w:t xml:space="preserve">QA passed</w:t>
            </w:r>
          </w:p>
        </w:tc>
        <w:tc>
          <w:tcPr>
            <w:tcW w:type="dxa" w:w="5741"/>
            <w:tcMar>
              <w:top w:type="dxa" w:w="70"/>
              <w:left w:type="dxa" w:w="110"/>
              <w:bottom w:type="dxa" w:w="70"/>
              <w:right w:type="dxa" w:w="110"/>
            </w:tcMar>
            <w:vAlign w:val="top"/>
          </w:tcPr>
          <w:p>
            <w:pPr>
              <w:spacing w:after="40"/>
            </w:pPr>
            <w:r>
              <w:rPr>
                <w:b w:val="false"/>
                <w:bCs w:val="false"/>
                <w:sz w:val="19"/>
                <w:szCs w:val="19"/>
              </w:rPr>
              <w:t xml:space="preserve">Set automatically when a QA reviewer accepts the submission.</w:t>
            </w:r>
          </w:p>
        </w:tc>
      </w:tr>
      <w:tr>
        <w:trPr>
          <w:cantSplit/>
        </w:trPr>
        <w:tc>
          <w:tcPr>
            <w:tcW w:type="dxa" w:w="847"/>
            <w:shd w:fill="F8FAFB" w:color="auto" w:val="clear"/>
            <w:tcMar>
              <w:top w:type="dxa" w:w="70"/>
              <w:left w:type="dxa" w:w="110"/>
              <w:bottom w:type="dxa" w:w="70"/>
              <w:right w:type="dxa" w:w="110"/>
            </w:tcMar>
            <w:vAlign w:val="top"/>
          </w:tcPr>
          <w:p>
            <w:pPr>
              <w:spacing w:after="40"/>
            </w:pPr>
            <w:r>
              <w:rPr>
                <w:b w:val="false"/>
                <w:bCs w:val="false"/>
                <w:sz w:val="19"/>
                <w:szCs w:val="19"/>
              </w:rPr>
              <w:t xml:space="preserve">S11</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Completed</w:t>
            </w:r>
          </w:p>
        </w:tc>
        <w:tc>
          <w:tcPr>
            <w:tcW w:type="dxa" w:w="5741"/>
            <w:shd w:fill="F8FAFB" w:color="auto" w:val="clear"/>
            <w:tcMar>
              <w:top w:type="dxa" w:w="70"/>
              <w:left w:type="dxa" w:w="110"/>
              <w:bottom w:type="dxa" w:w="70"/>
              <w:right w:type="dxa" w:w="110"/>
            </w:tcMar>
            <w:vAlign w:val="top"/>
          </w:tcPr>
          <w:p>
            <w:pPr>
              <w:spacing w:after="40"/>
            </w:pPr>
            <w:r>
              <w:rPr>
                <w:b w:val="false"/>
                <w:bCs w:val="false"/>
                <w:sz w:val="19"/>
                <w:szCs w:val="19"/>
              </w:rPr>
              <w:t xml:space="preserve">Final: the case is finished.</w:t>
            </w:r>
          </w:p>
        </w:tc>
      </w:tr>
      <w:tr>
        <w:trPr>
          <w:cantSplit/>
        </w:trPr>
        <w:tc>
          <w:tcPr>
            <w:tcW w:type="dxa" w:w="847"/>
            <w:tcMar>
              <w:top w:type="dxa" w:w="70"/>
              <w:left w:type="dxa" w:w="110"/>
              <w:bottom w:type="dxa" w:w="70"/>
              <w:right w:type="dxa" w:w="110"/>
            </w:tcMar>
            <w:vAlign w:val="top"/>
          </w:tcPr>
          <w:p>
            <w:pPr>
              <w:spacing w:after="40"/>
            </w:pPr>
            <w:r>
              <w:rPr>
                <w:b w:val="false"/>
                <w:bCs w:val="false"/>
                <w:sz w:val="19"/>
                <w:szCs w:val="19"/>
              </w:rPr>
              <w:t xml:space="preserve">S12</w:t>
            </w:r>
          </w:p>
        </w:tc>
        <w:tc>
          <w:tcPr>
            <w:tcW w:type="dxa" w:w="2824"/>
            <w:tcMar>
              <w:top w:type="dxa" w:w="70"/>
              <w:left w:type="dxa" w:w="110"/>
              <w:bottom w:type="dxa" w:w="70"/>
              <w:right w:type="dxa" w:w="110"/>
            </w:tcMar>
            <w:vAlign w:val="top"/>
          </w:tcPr>
          <w:p>
            <w:pPr>
              <w:spacing w:after="40"/>
            </w:pPr>
            <w:r>
              <w:rPr>
                <w:b w:val="false"/>
                <w:bCs w:val="false"/>
                <w:sz w:val="19"/>
                <w:szCs w:val="19"/>
              </w:rPr>
              <w:t xml:space="preserve">Refused</w:t>
            </w:r>
          </w:p>
        </w:tc>
        <w:tc>
          <w:tcPr>
            <w:tcW w:type="dxa" w:w="5741"/>
            <w:tcMar>
              <w:top w:type="dxa" w:w="70"/>
              <w:left w:type="dxa" w:w="110"/>
              <w:bottom w:type="dxa" w:w="70"/>
              <w:right w:type="dxa" w:w="110"/>
            </w:tcMar>
            <w:vAlign w:val="top"/>
          </w:tcPr>
          <w:p>
            <w:pPr>
              <w:spacing w:after="40"/>
            </w:pPr>
            <w:r>
              <w:rPr>
                <w:b w:val="false"/>
                <w:bCs w:val="false"/>
                <w:sz w:val="19"/>
                <w:szCs w:val="19"/>
              </w:rPr>
              <w:t xml:space="preserve">Drop state: the organisation declined or withdrew.</w:t>
            </w:r>
          </w:p>
        </w:tc>
      </w:tr>
      <w:tr>
        <w:trPr>
          <w:cantSplit/>
        </w:trPr>
        <w:tc>
          <w:tcPr>
            <w:tcW w:type="dxa" w:w="847"/>
            <w:shd w:fill="F8FAFB" w:color="auto" w:val="clear"/>
            <w:tcMar>
              <w:top w:type="dxa" w:w="70"/>
              <w:left w:type="dxa" w:w="110"/>
              <w:bottom w:type="dxa" w:w="70"/>
              <w:right w:type="dxa" w:w="110"/>
            </w:tcMar>
            <w:vAlign w:val="top"/>
          </w:tcPr>
          <w:p>
            <w:pPr>
              <w:spacing w:after="40"/>
            </w:pPr>
            <w:r>
              <w:rPr>
                <w:b w:val="false"/>
                <w:bCs w:val="false"/>
                <w:sz w:val="19"/>
                <w:szCs w:val="19"/>
              </w:rPr>
              <w:t xml:space="preserve">S13</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Nonresponse</w:t>
            </w:r>
          </w:p>
        </w:tc>
        <w:tc>
          <w:tcPr>
            <w:tcW w:type="dxa" w:w="5741"/>
            <w:shd w:fill="F8FAFB" w:color="auto" w:val="clear"/>
            <w:tcMar>
              <w:top w:type="dxa" w:w="70"/>
              <w:left w:type="dxa" w:w="110"/>
              <w:bottom w:type="dxa" w:w="70"/>
              <w:right w:type="dxa" w:w="110"/>
            </w:tcMar>
            <w:vAlign w:val="top"/>
          </w:tcPr>
          <w:p>
            <w:pPr>
              <w:spacing w:after="40"/>
            </w:pPr>
            <w:r>
              <w:rPr>
                <w:b w:val="false"/>
                <w:bCs w:val="false"/>
                <w:sz w:val="19"/>
                <w:szCs w:val="19"/>
              </w:rPr>
              <w:t xml:space="preserve">Drop state: no response after every approved reminder was sent.</w:t>
            </w:r>
          </w:p>
        </w:tc>
      </w:tr>
      <w:tr>
        <w:trPr>
          <w:cantSplit/>
        </w:trPr>
        <w:tc>
          <w:tcPr>
            <w:tcW w:type="dxa" w:w="847"/>
            <w:tcMar>
              <w:top w:type="dxa" w:w="70"/>
              <w:left w:type="dxa" w:w="110"/>
              <w:bottom w:type="dxa" w:w="70"/>
              <w:right w:type="dxa" w:w="110"/>
            </w:tcMar>
            <w:vAlign w:val="top"/>
          </w:tcPr>
          <w:p>
            <w:pPr>
              <w:spacing w:after="40"/>
            </w:pPr>
            <w:r>
              <w:rPr>
                <w:b w:val="false"/>
                <w:bCs w:val="false"/>
                <w:sz w:val="19"/>
                <w:szCs w:val="19"/>
              </w:rPr>
              <w:t xml:space="preserve">S14</w:t>
            </w:r>
          </w:p>
        </w:tc>
        <w:tc>
          <w:tcPr>
            <w:tcW w:type="dxa" w:w="2824"/>
            <w:tcMar>
              <w:top w:type="dxa" w:w="70"/>
              <w:left w:type="dxa" w:w="110"/>
              <w:bottom w:type="dxa" w:w="70"/>
              <w:right w:type="dxa" w:w="110"/>
            </w:tcMar>
            <w:vAlign w:val="top"/>
          </w:tcPr>
          <w:p>
            <w:pPr>
              <w:spacing w:after="40"/>
            </w:pPr>
            <w:r>
              <w:rPr>
                <w:b w:val="false"/>
                <w:bCs w:val="false"/>
                <w:sz w:val="19"/>
                <w:szCs w:val="19"/>
              </w:rPr>
              <w:t xml:space="preserve">Ineligible</w:t>
            </w:r>
          </w:p>
        </w:tc>
        <w:tc>
          <w:tcPr>
            <w:tcW w:type="dxa" w:w="5741"/>
            <w:tcMar>
              <w:top w:type="dxa" w:w="70"/>
              <w:left w:type="dxa" w:w="110"/>
              <w:bottom w:type="dxa" w:w="70"/>
              <w:right w:type="dxa" w:w="110"/>
            </w:tcMar>
            <w:vAlign w:val="top"/>
          </w:tcPr>
          <w:p>
            <w:pPr>
              <w:spacing w:after="40"/>
            </w:pPr>
            <w:r>
              <w:rPr>
                <w:b w:val="false"/>
                <w:bCs w:val="false"/>
                <w:sz w:val="19"/>
                <w:szCs w:val="19"/>
              </w:rPr>
              <w:t xml:space="preserve">Drop state: the organisation or respondent does not qualify.</w:t>
            </w:r>
          </w:p>
        </w:tc>
      </w:tr>
      <w:tr>
        <w:trPr>
          <w:cantSplit/>
        </w:trPr>
        <w:tc>
          <w:tcPr>
            <w:tcW w:type="dxa" w:w="847"/>
            <w:shd w:fill="F8FAFB" w:color="auto" w:val="clear"/>
            <w:tcMar>
              <w:top w:type="dxa" w:w="70"/>
              <w:left w:type="dxa" w:w="110"/>
              <w:bottom w:type="dxa" w:w="70"/>
              <w:right w:type="dxa" w:w="110"/>
            </w:tcMar>
            <w:vAlign w:val="top"/>
          </w:tcPr>
          <w:p>
            <w:pPr>
              <w:spacing w:after="40"/>
            </w:pPr>
            <w:r>
              <w:rPr>
                <w:b w:val="false"/>
                <w:bCs w:val="false"/>
                <w:sz w:val="19"/>
                <w:szCs w:val="19"/>
              </w:rPr>
              <w:t xml:space="preserve">S15</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Duplicate / inactive</w:t>
            </w:r>
          </w:p>
        </w:tc>
        <w:tc>
          <w:tcPr>
            <w:tcW w:type="dxa" w:w="5741"/>
            <w:shd w:fill="F8FAFB" w:color="auto" w:val="clear"/>
            <w:tcMar>
              <w:top w:type="dxa" w:w="70"/>
              <w:left w:type="dxa" w:w="110"/>
              <w:bottom w:type="dxa" w:w="70"/>
              <w:right w:type="dxa" w:w="110"/>
            </w:tcMar>
            <w:vAlign w:val="top"/>
          </w:tcPr>
          <w:p>
            <w:pPr>
              <w:spacing w:after="40"/>
            </w:pPr>
            <w:r>
              <w:rPr>
                <w:b w:val="false"/>
                <w:bCs w:val="false"/>
                <w:sz w:val="19"/>
                <w:szCs w:val="19"/>
              </w:rPr>
              <w:t xml:space="preserve">Drop state: duplicate record or organisation no longer operating.</w:t>
            </w:r>
          </w:p>
        </w:tc>
      </w:tr>
      <w:tr>
        <w:trPr>
          <w:cantSplit/>
        </w:trPr>
        <w:tc>
          <w:tcPr>
            <w:tcW w:type="dxa" w:w="847"/>
            <w:tcMar>
              <w:top w:type="dxa" w:w="70"/>
              <w:left w:type="dxa" w:w="110"/>
              <w:bottom w:type="dxa" w:w="70"/>
              <w:right w:type="dxa" w:w="110"/>
            </w:tcMar>
            <w:vAlign w:val="top"/>
          </w:tcPr>
          <w:p>
            <w:pPr>
              <w:spacing w:after="40"/>
            </w:pPr>
            <w:r>
              <w:rPr>
                <w:b w:val="false"/>
                <w:bCs w:val="false"/>
                <w:sz w:val="19"/>
                <w:szCs w:val="19"/>
              </w:rPr>
              <w:t xml:space="preserve">S16</w:t>
            </w:r>
          </w:p>
        </w:tc>
        <w:tc>
          <w:tcPr>
            <w:tcW w:type="dxa" w:w="2824"/>
            <w:tcMar>
              <w:top w:type="dxa" w:w="70"/>
              <w:left w:type="dxa" w:w="110"/>
              <w:bottom w:type="dxa" w:w="70"/>
              <w:right w:type="dxa" w:w="110"/>
            </w:tcMar>
            <w:vAlign w:val="top"/>
          </w:tcPr>
          <w:p>
            <w:pPr>
              <w:spacing w:after="40"/>
            </w:pPr>
            <w:r>
              <w:rPr>
                <w:b w:val="false"/>
                <w:bCs w:val="false"/>
                <w:sz w:val="19"/>
                <w:szCs w:val="19"/>
              </w:rPr>
              <w:t xml:space="preserve">Reserve eligible for activation</w:t>
            </w:r>
          </w:p>
        </w:tc>
        <w:tc>
          <w:tcPr>
            <w:tcW w:type="dxa" w:w="5741"/>
            <w:tcMar>
              <w:top w:type="dxa" w:w="70"/>
              <w:left w:type="dxa" w:w="110"/>
              <w:bottom w:type="dxa" w:w="70"/>
              <w:right w:type="dxa" w:w="110"/>
            </w:tcMar>
            <w:vAlign w:val="top"/>
          </w:tcPr>
          <w:p>
            <w:pPr>
              <w:spacing w:after="40"/>
            </w:pPr>
            <w:r>
              <w:rPr>
                <w:b w:val="false"/>
                <w:bCs w:val="false"/>
                <w:sz w:val="19"/>
                <w:szCs w:val="19"/>
              </w:rPr>
              <w:t xml:space="preserve">The matched Reserve may now be activated to replace this case.</w:t>
            </w:r>
          </w:p>
        </w:tc>
      </w:tr>
    </w:tbl>
    <w:p>
      <w:pPr>
        <w:spacing w:after="120"/>
      </w:pPr>
    </w:p>
    <w:p>
      <w:pPr>
        <w:pStyle w:val="Heading2"/>
      </w:pPr>
      <w:r>
        <w:t xml:space="preserve">3.5 Invitations</w:t>
      </w:r>
    </w:p>
    <w:p>
      <w:pPr>
        <w:pStyle w:val="ListParagraph"/>
        <w:numPr>
          <w:ilvl w:val="0"/>
          <w:numId w:val="2"/>
        </w:numPr>
        <w:spacing w:after="60" w:line="276"/>
      </w:pPr>
      <w:r>
        <w:t xml:space="preserve">Each invitation is a random personal link plus an 8-character manual code, valid for </w:t>
      </w:r>
      <w:r>
        <w:rPr>
          <w:b/>
          <w:bCs/>
        </w:rPr>
        <w:t xml:space="preserve">14 days</w:t>
      </w:r>
      <w:r>
        <w:t xml:space="preserve">.</w:t>
      </w:r>
    </w:p>
    <w:p>
      <w:pPr>
        <w:pStyle w:val="ListParagraph"/>
        <w:numPr>
          <w:ilvl w:val="0"/>
          <w:numId w:val="2"/>
        </w:numPr>
        <w:spacing w:after="60" w:line="276"/>
      </w:pPr>
      <w:r>
        <w:t xml:space="preserve">Only a scrambled fingerprint is stored, so the link is shown once to the person issuing it and never again.</w:t>
      </w:r>
    </w:p>
    <w:p>
      <w:pPr>
        <w:pStyle w:val="ListParagraph"/>
        <w:numPr>
          <w:ilvl w:val="0"/>
          <w:numId w:val="2"/>
        </w:numPr>
        <w:spacing w:after="60" w:line="276"/>
      </w:pPr>
      <w:r>
        <w:t xml:space="preserve">Issuing a new invitation for a case immediately stops every earlier link for that case that has not yet been submitted. </w:t>
      </w:r>
      <w:r>
        <w:rPr>
          <w:b/>
          <w:bCs/>
        </w:rPr>
        <w:t xml:space="preserve">Revoke</w:t>
      </w:r>
      <w:r>
        <w:t xml:space="preserve"> stops a link without replacing it.</w:t>
      </w:r>
    </w:p>
    <w:p>
      <w:pPr>
        <w:pStyle w:val="ListParagraph"/>
        <w:numPr>
          <w:ilvl w:val="0"/>
          <w:numId w:val="2"/>
        </w:numPr>
        <w:spacing w:after="60" w:line="276"/>
      </w:pPr>
      <w:r>
        <w:t xml:space="preserve">The invitation screen writes the invitation for WhatsApp, SMS and email, each with the link, expiry, manual code and study contact details. </w:t>
      </w:r>
      <w:r>
        <w:rPr>
          <w:b/>
          <w:bCs/>
        </w:rPr>
        <w:t xml:space="preserve">Send via WhatsApp</w:t>
      </w:r>
      <w:r>
        <w:t xml:space="preserve"> and </w:t>
      </w:r>
      <w:r>
        <w:rPr>
          <w:b/>
          <w:bCs/>
        </w:rPr>
        <w:t xml:space="preserve">Send by SMS</w:t>
      </w:r>
      <w:r>
        <w:t xml:space="preserve"> open the respondent's own chat or messages app, </w:t>
      </w:r>
      <w:r>
        <w:rPr>
          <w:b/>
          <w:bCs/>
        </w:rPr>
        <w:t xml:space="preserve">Email from study address</w:t>
      </w:r>
      <w:r>
        <w:t xml:space="preserve"> emails it from abffst.research@gmail.com, and </w:t>
      </w:r>
      <w:r>
        <w:rPr>
          <w:b/>
          <w:bCs/>
        </w:rPr>
        <w:t xml:space="preserve">Copy message</w:t>
      </w:r>
      <w:r>
        <w:t xml:space="preserve"> covers any other channel.</w:t>
      </w:r>
    </w:p>
    <w:p>
      <w:pPr>
        <w:pStyle w:val="ListParagraph"/>
        <w:numPr>
          <w:ilvl w:val="0"/>
          <w:numId w:val="2"/>
        </w:numPr>
        <w:spacing w:after="60" w:line="276"/>
      </w:pPr>
      <w:r>
        <w:t xml:space="preserve">A locked Reserve can never be invited.</w:t>
      </w:r>
    </w:p>
    <w:p>
      <w:pPr>
        <w:spacing w:after="60"/>
      </w:pPr>
    </w:p>
    <w:p>
      <w:pPr>
        <w:pStyle w:val="Heading2"/>
      </w:pPr>
      <w:r>
        <w:t xml:space="preserve">3.6 Eligibility and consent (the gates)</w:t>
      </w:r>
    </w:p>
    <w:p>
      <w:pPr>
        <w:spacing w:after="120" w:line="288"/>
      </w:pPr>
      <w:r>
        <w:t xml:space="preserve">Before the questionnaire can open, the portal requires both a </w:t>
      </w:r>
      <w:r>
        <w:rPr>
          <w:b/>
          <w:bCs/>
        </w:rPr>
        <w:t xml:space="preserve">passed eligibility check</w:t>
      </w:r>
      <w:r>
        <w:t xml:space="preserve"> (the person holds a senior, knowledgeable role) and </w:t>
      </w:r>
      <w:r>
        <w:rPr>
          <w:b/>
          <w:bCs/>
        </w:rPr>
        <w:t xml:space="preserve">given participation consent</w:t>
      </w:r>
      <w:r>
        <w:t xml:space="preserve"> recorded against the Participant Information Sheet version shown. These checks are enforced on the server, so they cannot be bypassed by skipping a screen. Booking a researcher call also requires consent. Someone who is not eligible is thanked and no answers are recorded.</w:t>
      </w:r>
    </w:p>
    <w:p>
      <w:pPr>
        <w:pStyle w:val="Heading2"/>
      </w:pPr>
      <w:r>
        <w:t xml:space="preserve">3.7 PROIT — pre-interview profiling, with AI research</w:t>
      </w:r>
    </w:p>
    <w:p>
      <w:pPr>
        <w:spacing w:after="120" w:line="288"/>
      </w:pPr>
      <w:r>
        <w:t xml:space="preserve">For the questionnaire and the KIIs alike, an AI searches public sources for the organisation and the respondent's published professional role and proposes background facts, each with a source and a quote. A researcher accepts, edits or rejects every one, and a second person locks the profile. During and after the interview, the </w:t>
      </w:r>
      <w:r>
        <w:rPr>
          <w:b/>
          <w:bCs/>
        </w:rPr>
        <w:t xml:space="preserve">Interview sheet</w:t>
      </w:r>
      <w:r>
        <w:t xml:space="preserve"> records whether the respondent confirmed, corrected or could not confirm each fact, and a coordinator reconciles the corrected ones. The case does not count as complete (QA accept; KII coding complete) until the profile is reconciled or a deviation is recorded. When it is, the portal sends the finished profile to KoboToolbox (the PROIT Interview Profile form), so the facts, the respondent's answers and the reconciled values are held there beside the interview itself. Only public, professional and organisational facts are ever recorded: the server removes anything private and any source the search did not actually return.</w:t>
      </w:r>
    </w:p>
    <w:p>
      <w:pPr>
        <w:spacing w:after="120" w:line="288"/>
      </w:pPr>
      <w:r>
        <w:t xml:space="preserve">Researchers may record publicly available background facts about an organisation before contact, each with a source, date, confidence and authority tier, and a second researcher locks the profile. The respondent then confirms or corrects those facts instead of answering from zero, and can skip the step. The documentary value, the respondent's answer and the reconciled value are kept separately. PROIT never pre-fills, skips or infers any frozen scale item.</w:t>
      </w:r>
    </w:p>
    <w:p>
      <w:pPr>
        <w:pStyle w:val="Heading2"/>
      </w:pPr>
      <w:r>
        <w:t xml:space="preserve">3.8 KoboToolbox integration</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3765"/>
        <w:gridCol w:w="3012"/>
        <w:gridCol w:w="2635"/>
      </w:tblGrid>
      <w:tr>
        <w:trPr>
          <w:tblHeader/>
        </w:trPr>
        <w:tc>
          <w:tcPr>
            <w:tcW w:type="dxa" w:w="3765"/>
            <w:shd w:fill="1B3350" w:color="auto" w:val="clear"/>
            <w:tcMar>
              <w:top w:type="dxa" w:w="70"/>
              <w:left w:type="dxa" w:w="110"/>
              <w:bottom w:type="dxa" w:w="70"/>
              <w:right w:type="dxa" w:w="110"/>
            </w:tcMar>
            <w:vAlign w:val="top"/>
          </w:tcPr>
          <w:p>
            <w:pPr>
              <w:spacing w:after="40"/>
            </w:pPr>
            <w:r>
              <w:rPr>
                <w:b/>
                <w:bCs/>
                <w:color w:val="FFFFFF"/>
                <w:sz w:val="19"/>
                <w:szCs w:val="19"/>
              </w:rPr>
              <w:t xml:space="preserve">Form</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Linked to</w:t>
            </w:r>
          </w:p>
        </w:tc>
        <w:tc>
          <w:tcPr>
            <w:tcW w:type="dxa" w:w="2635"/>
            <w:shd w:fill="1B3350" w:color="auto" w:val="clear"/>
            <w:tcMar>
              <w:top w:type="dxa" w:w="70"/>
              <w:left w:type="dxa" w:w="110"/>
              <w:bottom w:type="dxa" w:w="70"/>
              <w:right w:type="dxa" w:w="110"/>
            </w:tcMar>
            <w:vAlign w:val="top"/>
          </w:tcPr>
          <w:p>
            <w:pPr>
              <w:spacing w:after="40"/>
            </w:pPr>
            <w:r>
              <w:rPr>
                <w:b/>
                <w:bCs/>
                <w:color w:val="FFFFFF"/>
                <w:sz w:val="19"/>
                <w:szCs w:val="19"/>
              </w:rPr>
              <w:t xml:space="preserve">Used by</w:t>
            </w:r>
          </w:p>
        </w:tc>
      </w:tr>
      <w:tr>
        <w:trPr>
          <w:cantSplit/>
        </w:trPr>
        <w:tc>
          <w:tcPr>
            <w:tcW w:type="dxa" w:w="3765"/>
            <w:tcMar>
              <w:top w:type="dxa" w:w="70"/>
              <w:left w:type="dxa" w:w="110"/>
              <w:bottom w:type="dxa" w:w="70"/>
              <w:right w:type="dxa" w:w="110"/>
            </w:tcMar>
            <w:vAlign w:val="top"/>
          </w:tcPr>
          <w:p>
            <w:pPr>
              <w:spacing w:after="40"/>
            </w:pPr>
            <w:r>
              <w:rPr>
                <w:b w:val="false"/>
                <w:bCs w:val="false"/>
                <w:sz w:val="19"/>
                <w:szCs w:val="19"/>
              </w:rPr>
              <w:t xml:space="preserve">Main Study Questionnaire</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Sample ID (hidden field set by the portal)</w:t>
            </w:r>
          </w:p>
        </w:tc>
        <w:tc>
          <w:tcPr>
            <w:tcW w:type="dxa" w:w="2635"/>
            <w:tcMar>
              <w:top w:type="dxa" w:w="70"/>
              <w:left w:type="dxa" w:w="110"/>
              <w:bottom w:type="dxa" w:w="70"/>
              <w:right w:type="dxa" w:w="110"/>
            </w:tcMar>
            <w:vAlign w:val="top"/>
          </w:tcPr>
          <w:p>
            <w:pPr>
              <w:spacing w:after="40"/>
            </w:pPr>
            <w:r>
              <w:rPr>
                <w:b w:val="false"/>
                <w:bCs w:val="false"/>
                <w:sz w:val="19"/>
                <w:szCs w:val="19"/>
              </w:rPr>
              <w:t xml:space="preserve">Respondents; phone/WhatsApp/face-to-face RAs</w:t>
            </w:r>
          </w:p>
        </w:tc>
      </w:tr>
      <w:tr>
        <w:trPr>
          <w:cantSplit/>
        </w:trPr>
        <w:tc>
          <w:tcPr>
            <w:tcW w:type="dxa" w:w="3765"/>
            <w:shd w:fill="F8FAFB" w:color="auto" w:val="clear"/>
            <w:tcMar>
              <w:top w:type="dxa" w:w="70"/>
              <w:left w:type="dxa" w:w="110"/>
              <w:bottom w:type="dxa" w:w="70"/>
              <w:right w:type="dxa" w:w="110"/>
            </w:tcMar>
            <w:vAlign w:val="top"/>
          </w:tcPr>
          <w:p>
            <w:pPr>
              <w:spacing w:after="40"/>
            </w:pPr>
            <w:r>
              <w:rPr>
                <w:b w:val="false"/>
                <w:bCs w:val="false"/>
                <w:sz w:val="19"/>
                <w:szCs w:val="19"/>
              </w:rPr>
              <w:t xml:space="preserve">Main Study KII Guide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KII ID</w:t>
            </w:r>
          </w:p>
        </w:tc>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KII RA</w:t>
            </w:r>
          </w:p>
        </w:tc>
      </w:tr>
      <w:tr>
        <w:trPr>
          <w:cantSplit/>
        </w:trPr>
        <w:tc>
          <w:tcPr>
            <w:tcW w:type="dxa" w:w="3765"/>
            <w:tcMar>
              <w:top w:type="dxa" w:w="70"/>
              <w:left w:type="dxa" w:w="110"/>
              <w:bottom w:type="dxa" w:w="70"/>
              <w:right w:type="dxa" w:w="110"/>
            </w:tcMar>
            <w:vAlign w:val="top"/>
          </w:tcPr>
          <w:p>
            <w:pPr>
              <w:spacing w:after="40"/>
            </w:pPr>
            <w:r>
              <w:rPr>
                <w:b w:val="false"/>
                <w:bCs w:val="false"/>
                <w:sz w:val="19"/>
                <w:szCs w:val="19"/>
              </w:rPr>
              <w:t xml:space="preserve">Document, Digital Platform &amp; Media Analysis Tool</w:t>
            </w:r>
          </w:p>
        </w:tc>
        <w:tc>
          <w:tcPr>
            <w:tcW w:type="dxa" w:w="3012"/>
            <w:tcMar>
              <w:top w:type="dxa" w:w="70"/>
              <w:left w:type="dxa" w:w="110"/>
              <w:bottom w:type="dxa" w:w="70"/>
              <w:right w:type="dxa" w:w="110"/>
            </w:tcMar>
            <w:vAlign w:val="top"/>
          </w:tcPr>
          <w:p>
            <w:pPr>
              <w:spacing w:after="40"/>
            </w:pPr>
            <w:r>
              <w:rPr>
                <w:b w:val="false"/>
                <w:bCs w:val="false"/>
                <w:sz w:val="19"/>
                <w:szCs w:val="19"/>
              </w:rPr>
              <w:t xml:space="preserve">DOC ID</w:t>
            </w:r>
          </w:p>
        </w:tc>
        <w:tc>
          <w:tcPr>
            <w:tcW w:type="dxa" w:w="2635"/>
            <w:tcMar>
              <w:top w:type="dxa" w:w="70"/>
              <w:left w:type="dxa" w:w="110"/>
              <w:bottom w:type="dxa" w:w="70"/>
              <w:right w:type="dxa" w:w="110"/>
            </w:tcMar>
            <w:vAlign w:val="top"/>
          </w:tcPr>
          <w:p>
            <w:pPr>
              <w:spacing w:after="40"/>
            </w:pPr>
            <w:r>
              <w:rPr>
                <w:b w:val="false"/>
                <w:bCs w:val="false"/>
                <w:sz w:val="19"/>
                <w:szCs w:val="19"/>
              </w:rPr>
              <w:t xml:space="preserve">Documentary RA</w:t>
            </w:r>
          </w:p>
        </w:tc>
      </w:tr>
    </w:tbl>
    <w:p>
      <w:pPr>
        <w:spacing w:after="120"/>
      </w:pPr>
    </w:p>
    <w:p>
      <w:pPr>
        <w:pStyle w:val="ListParagraph"/>
        <w:numPr>
          <w:ilvl w:val="0"/>
          <w:numId w:val="2"/>
        </w:numPr>
        <w:spacing w:after="60" w:line="276"/>
      </w:pPr>
      <w:r>
        <w:t xml:space="preserve">When a respondent starts the questionnaire, the portal opens the KoboToolbox web form with the Master ID, Sample ID, administration mode, role category and a </w:t>
      </w:r>
      <w:r>
        <w:rPr>
          <w:b/>
          <w:bCs/>
        </w:rPr>
        <w:t xml:space="preserve">signed</w:t>
      </w:r>
      <w:r>
        <w:t xml:space="preserve"> reference to the invitation. No KoboToolbox account is needed.</w:t>
      </w:r>
    </w:p>
    <w:p>
      <w:pPr>
        <w:pStyle w:val="ListParagraph"/>
        <w:numPr>
          <w:ilvl w:val="0"/>
          <w:numId w:val="2"/>
        </w:numPr>
        <w:spacing w:after="60" w:line="276"/>
      </w:pPr>
      <w:r>
        <w:t xml:space="preserve">When a form is submitted, KoboToolbox notifies the portal within seconds, and the portal also checks KoboToolbox every 15 minutes by day and hourly overnight, so nothing is missed. </w:t>
      </w:r>
      <w:r>
        <w:rPr>
          <w:b/>
          <w:bCs/>
        </w:rPr>
        <w:t xml:space="preserve">Sync now</w:t>
      </w:r>
      <w:r>
        <w:t xml:space="preserve"> on the QA Queue runs a check immediately.</w:t>
      </w:r>
    </w:p>
    <w:p>
      <w:pPr>
        <w:pStyle w:val="ListParagraph"/>
        <w:numPr>
          <w:ilvl w:val="0"/>
          <w:numId w:val="2"/>
        </w:numPr>
        <w:spacing w:after="60" w:line="276"/>
      </w:pPr>
      <w:r>
        <w:t xml:space="preserve">Each submission is matched to its case. A submission that does not carry the portal's signature (for example someone using the public form link directly) or that names an unknown Sample ID is </w:t>
      </w:r>
      <w:r>
        <w:rPr>
          <w:b/>
          <w:bCs/>
        </w:rPr>
        <w:t xml:space="preserve">set aside and audited</w:t>
      </w:r>
      <w:r>
        <w:t xml:space="preserve">, never guessed.</w:t>
      </w:r>
    </w:p>
    <w:p>
      <w:pPr>
        <w:pStyle w:val="ListParagraph"/>
        <w:numPr>
          <w:ilvl w:val="0"/>
          <w:numId w:val="2"/>
        </w:numPr>
        <w:spacing w:after="60" w:line="276"/>
      </w:pPr>
      <w:r>
        <w:t xml:space="preserve">If a submission is edited in KoboToolbox, the portal notices the change and returns it to QA review. Edits never create duplicates.</w:t>
      </w:r>
    </w:p>
    <w:p>
      <w:pPr>
        <w:pStyle w:val="ListParagraph"/>
        <w:numPr>
          <w:ilvl w:val="0"/>
          <w:numId w:val="2"/>
        </w:numPr>
        <w:spacing w:after="60" w:line="276"/>
      </w:pPr>
      <w:r>
        <w:t xml:space="preserve">The KII Guide and the Document Analysis Tool are synchronised the same way: the portal keeps its own copy of every submission of all three forms and shows on </w:t>
      </w:r>
      <w:r>
        <w:rPr>
          <w:b/>
          <w:bCs/>
        </w:rPr>
        <w:t xml:space="preserve">Form PDFs</w:t>
      </w:r>
      <w:r>
        <w:t xml:space="preserve"> whether it matches KoboToolbox. A completed KII Guide marks that interview's coding COMPLETE; a document coding deleted in KoboToolbox unlocks the document.</w:t>
      </w:r>
    </w:p>
    <w:p>
      <w:pPr>
        <w:pStyle w:val="ListParagraph"/>
        <w:numPr>
          <w:ilvl w:val="0"/>
          <w:numId w:val="2"/>
        </w:numPr>
        <w:spacing w:after="60" w:line="276"/>
      </w:pPr>
      <w:r>
        <w:t xml:space="preserve">Full answers are stored privately on the server, never in a web-accessible folder, and are included in backups.</w:t>
      </w:r>
    </w:p>
    <w:p>
      <w:pPr>
        <w:pStyle w:val="ListParagraph"/>
        <w:numPr>
          <w:ilvl w:val="0"/>
          <w:numId w:val="2"/>
        </w:numPr>
        <w:spacing w:after="60" w:line="276"/>
      </w:pPr>
      <w:r>
        <w:t xml:space="preserve">Completed forms can be downloaded as readable PDFs, emailed, and (PI only) exported in full for analysis. The portal keeps its own synchronised copy of all three KoboToolbox forms, and shows whether it matches KoboToolbox.</w:t>
      </w:r>
    </w:p>
    <w:p>
      <w:pPr>
        <w:spacing w:after="60"/>
      </w:pPr>
    </w:p>
    <w:p>
      <w:pPr>
        <w:pStyle w:val="Heading2"/>
      </w:pPr>
      <w:r>
        <w:t xml:space="preserve">3.9 Quality assurance</w:t>
      </w:r>
    </w:p>
    <w:p>
      <w:pPr>
        <w:spacing w:after="120" w:line="288"/>
      </w:pPr>
      <w:r>
        <w:t xml:space="preserve">Every questionnaire is checked automatically when it arrives, then decided by a person. Nothing reaches </w:t>
      </w:r>
      <w:r>
        <w:rPr>
          <w:b/>
          <w:bCs/>
        </w:rPr>
        <w:t xml:space="preserve">QA passed</w:t>
      </w:r>
      <w:r>
        <w:t xml:space="preserve"> without a human </w:t>
      </w:r>
      <w:r>
        <w:rPr>
          <w:b/>
          <w:bCs/>
        </w:rPr>
        <w:t xml:space="preserve">Accept</w:t>
      </w:r>
      <w:r>
        <w:t xml:space="preserve"> and a note.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4894"/>
        <w:gridCol w:w="1694"/>
      </w:tblGrid>
      <w:tr>
        <w:trPr>
          <w:tblHeader/>
        </w:trPr>
        <w:tc>
          <w:tcPr>
            <w:tcW w:type="dxa" w:w="2824"/>
            <w:shd w:fill="1B3350" w:color="auto" w:val="clear"/>
            <w:tcMar>
              <w:top w:type="dxa" w:w="70"/>
              <w:left w:type="dxa" w:w="110"/>
              <w:bottom w:type="dxa" w:w="70"/>
              <w:right w:type="dxa" w:w="110"/>
            </w:tcMar>
            <w:vAlign w:val="top"/>
          </w:tcPr>
          <w:p>
            <w:pPr>
              <w:spacing w:after="40"/>
            </w:pPr>
            <w:r>
              <w:rPr>
                <w:b/>
                <w:bCs/>
                <w:color w:val="FFFFFF"/>
                <w:sz w:val="19"/>
                <w:szCs w:val="19"/>
              </w:rPr>
              <w:t xml:space="preserve">Rule</w:t>
            </w:r>
          </w:p>
        </w:tc>
        <w:tc>
          <w:tcPr>
            <w:tcW w:type="dxa" w:w="4894"/>
            <w:shd w:fill="1B3350" w:color="auto" w:val="clear"/>
            <w:tcMar>
              <w:top w:type="dxa" w:w="70"/>
              <w:left w:type="dxa" w:w="110"/>
              <w:bottom w:type="dxa" w:w="70"/>
              <w:right w:type="dxa" w:w="110"/>
            </w:tcMar>
            <w:vAlign w:val="top"/>
          </w:tcPr>
          <w:p>
            <w:pPr>
              <w:spacing w:after="40"/>
            </w:pPr>
            <w:r>
              <w:rPr>
                <w:b/>
                <w:bCs/>
                <w:color w:val="FFFFFF"/>
                <w:sz w:val="19"/>
                <w:szCs w:val="19"/>
              </w:rPr>
              <w:t xml:space="preserve">Setting (approved 15 Sep 2026)</w:t>
            </w:r>
          </w:p>
        </w:tc>
        <w:tc>
          <w:tcPr>
            <w:tcW w:type="dxa" w:w="1694"/>
            <w:shd w:fill="1B3350" w:color="auto" w:val="clear"/>
            <w:tcMar>
              <w:top w:type="dxa" w:w="70"/>
              <w:left w:type="dxa" w:w="110"/>
              <w:bottom w:type="dxa" w:w="70"/>
              <w:right w:type="dxa" w:w="110"/>
            </w:tcMar>
            <w:vAlign w:val="top"/>
          </w:tcPr>
          <w:p>
            <w:pPr>
              <w:spacing w:after="40"/>
            </w:pPr>
            <w:r>
              <w:rPr>
                <w:b/>
                <w:bCs/>
                <w:color w:val="FFFFFF"/>
                <w:sz w:val="19"/>
                <w:szCs w:val="19"/>
              </w:rPr>
              <w:t xml:space="preserve">Type</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Required answers present</w:t>
            </w:r>
          </w:p>
        </w:tc>
        <w:tc>
          <w:tcPr>
            <w:tcW w:type="dxa" w:w="4894"/>
            <w:tcMar>
              <w:top w:type="dxa" w:w="70"/>
              <w:left w:type="dxa" w:w="110"/>
              <w:bottom w:type="dxa" w:w="70"/>
              <w:right w:type="dxa" w:w="110"/>
            </w:tcMar>
            <w:vAlign w:val="top"/>
          </w:tcPr>
          <w:p>
            <w:pPr>
              <w:spacing w:after="40"/>
            </w:pPr>
            <w:r>
              <w:rPr>
                <w:b w:val="false"/>
                <w:bCs w:val="false"/>
                <w:sz w:val="19"/>
                <w:szCs w:val="19"/>
              </w:rPr>
              <w:t xml:space="preserve">65 required fields from the live questionnaire</w:t>
            </w:r>
          </w:p>
        </w:tc>
        <w:tc>
          <w:tcPr>
            <w:tcW w:type="dxa" w:w="1694"/>
            <w:tcMar>
              <w:top w:type="dxa" w:w="70"/>
              <w:left w:type="dxa" w:w="110"/>
              <w:bottom w:type="dxa" w:w="70"/>
              <w:right w:type="dxa" w:w="110"/>
            </w:tcMar>
            <w:vAlign w:val="top"/>
          </w:tcPr>
          <w:p>
            <w:pPr>
              <w:spacing w:after="40"/>
            </w:pPr>
            <w:r>
              <w:rPr>
                <w:b w:val="false"/>
                <w:bCs w:val="false"/>
                <w:sz w:val="19"/>
                <w:szCs w:val="19"/>
              </w:rPr>
              <w:t xml:space="preserve">Hard stop</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Minimum plausible duration</w:t>
            </w:r>
          </w:p>
        </w:tc>
        <w:tc>
          <w:tcPr>
            <w:tcW w:type="dxa" w:w="4894"/>
            <w:shd w:fill="F8FAFB" w:color="auto" w:val="clear"/>
            <w:tcMar>
              <w:top w:type="dxa" w:w="70"/>
              <w:left w:type="dxa" w:w="110"/>
              <w:bottom w:type="dxa" w:w="70"/>
              <w:right w:type="dxa" w:w="110"/>
            </w:tcMar>
            <w:vAlign w:val="top"/>
          </w:tcPr>
          <w:p>
            <w:pPr>
              <w:spacing w:after="40"/>
            </w:pPr>
            <w:r>
              <w:rPr>
                <w:b w:val="false"/>
                <w:bCs w:val="false"/>
                <w:sz w:val="19"/>
                <w:szCs w:val="19"/>
              </w:rPr>
              <w:t xml:space="preserve">5 minutes</w:t>
            </w:r>
          </w:p>
        </w:tc>
        <w:tc>
          <w:tcPr>
            <w:tcW w:type="dxa" w:w="1694"/>
            <w:shd w:fill="F8FAFB" w:color="auto" w:val="clear"/>
            <w:tcMar>
              <w:top w:type="dxa" w:w="70"/>
              <w:left w:type="dxa" w:w="110"/>
              <w:bottom w:type="dxa" w:w="70"/>
              <w:right w:type="dxa" w:w="110"/>
            </w:tcMar>
            <w:vAlign w:val="top"/>
          </w:tcPr>
          <w:p>
            <w:pPr>
              <w:spacing w:after="40"/>
            </w:pPr>
            <w:r>
              <w:rPr>
                <w:b w:val="false"/>
                <w:bCs w:val="false"/>
                <w:sz w:val="19"/>
                <w:szCs w:val="19"/>
              </w:rPr>
              <w:t xml:space="preserve">Soft flag</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Maximum plausible duration</w:t>
            </w:r>
          </w:p>
        </w:tc>
        <w:tc>
          <w:tcPr>
            <w:tcW w:type="dxa" w:w="4894"/>
            <w:tcMar>
              <w:top w:type="dxa" w:w="70"/>
              <w:left w:type="dxa" w:w="110"/>
              <w:bottom w:type="dxa" w:w="70"/>
              <w:right w:type="dxa" w:w="110"/>
            </w:tcMar>
            <w:vAlign w:val="top"/>
          </w:tcPr>
          <w:p>
            <w:pPr>
              <w:spacing w:after="40"/>
            </w:pPr>
            <w:r>
              <w:rPr>
                <w:b w:val="false"/>
                <w:bCs w:val="false"/>
                <w:sz w:val="19"/>
                <w:szCs w:val="19"/>
              </w:rPr>
              <w:t xml:space="preserve">90 minutes</w:t>
            </w:r>
          </w:p>
        </w:tc>
        <w:tc>
          <w:tcPr>
            <w:tcW w:type="dxa" w:w="1694"/>
            <w:tcMar>
              <w:top w:type="dxa" w:w="70"/>
              <w:left w:type="dxa" w:w="110"/>
              <w:bottom w:type="dxa" w:w="70"/>
              <w:right w:type="dxa" w:w="110"/>
            </w:tcMar>
            <w:vAlign w:val="top"/>
          </w:tcPr>
          <w:p>
            <w:pPr>
              <w:spacing w:after="40"/>
            </w:pPr>
            <w:r>
              <w:rPr>
                <w:b w:val="false"/>
                <w:bCs w:val="false"/>
                <w:sz w:val="19"/>
                <w:szCs w:val="19"/>
              </w:rPr>
              <w:t xml:space="preserve">Soft flag</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Duplicate organisation</w:t>
            </w:r>
          </w:p>
        </w:tc>
        <w:tc>
          <w:tcPr>
            <w:tcW w:type="dxa" w:w="4894"/>
            <w:shd w:fill="F8FAFB" w:color="auto" w:val="clear"/>
            <w:tcMar>
              <w:top w:type="dxa" w:w="70"/>
              <w:left w:type="dxa" w:w="110"/>
              <w:bottom w:type="dxa" w:w="70"/>
              <w:right w:type="dxa" w:w="110"/>
            </w:tcMar>
            <w:vAlign w:val="top"/>
          </w:tcPr>
          <w:p>
            <w:pPr>
              <w:spacing w:after="40"/>
            </w:pPr>
            <w:r>
              <w:rPr>
                <w:b w:val="false"/>
                <w:bCs w:val="false"/>
                <w:sz w:val="19"/>
                <w:szCs w:val="19"/>
              </w:rPr>
              <w:t xml:space="preserve">Another submission for the same organisation within 24 hours</w:t>
            </w:r>
          </w:p>
        </w:tc>
        <w:tc>
          <w:tcPr>
            <w:tcW w:type="dxa" w:w="1694"/>
            <w:shd w:fill="F8FAFB" w:color="auto" w:val="clear"/>
            <w:tcMar>
              <w:top w:type="dxa" w:w="70"/>
              <w:left w:type="dxa" w:w="110"/>
              <w:bottom w:type="dxa" w:w="70"/>
              <w:right w:type="dxa" w:w="110"/>
            </w:tcMar>
            <w:vAlign w:val="top"/>
          </w:tcPr>
          <w:p>
            <w:pPr>
              <w:spacing w:after="40"/>
            </w:pPr>
            <w:r>
              <w:rPr>
                <w:b w:val="false"/>
                <w:bCs w:val="false"/>
                <w:sz w:val="19"/>
                <w:szCs w:val="19"/>
              </w:rPr>
              <w:t xml:space="preserve">Soft flag</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Administration mode balance</w:t>
            </w:r>
          </w:p>
        </w:tc>
        <w:tc>
          <w:tcPr>
            <w:tcW w:type="dxa" w:w="4894"/>
            <w:tcMar>
              <w:top w:type="dxa" w:w="70"/>
              <w:left w:type="dxa" w:w="110"/>
              <w:bottom w:type="dxa" w:w="70"/>
              <w:right w:type="dxa" w:w="110"/>
            </w:tcMar>
            <w:vAlign w:val="top"/>
          </w:tcPr>
          <w:p>
            <w:pPr>
              <w:spacing w:after="40"/>
            </w:pPr>
            <w:r>
              <w:rPr>
                <w:b w:val="false"/>
                <w:bCs w:val="false"/>
                <w:sz w:val="19"/>
                <w:szCs w:val="19"/>
              </w:rPr>
              <w:t xml:space="preserve">Alert when one mode exceeds 70% (shown in Reports)</w:t>
            </w:r>
          </w:p>
        </w:tc>
        <w:tc>
          <w:tcPr>
            <w:tcW w:type="dxa" w:w="1694"/>
            <w:tcMar>
              <w:top w:type="dxa" w:w="70"/>
              <w:left w:type="dxa" w:w="110"/>
              <w:bottom w:type="dxa" w:w="70"/>
              <w:right w:type="dxa" w:w="110"/>
            </w:tcMar>
            <w:vAlign w:val="top"/>
          </w:tcPr>
          <w:p>
            <w:pPr>
              <w:spacing w:after="40"/>
            </w:pPr>
            <w:r>
              <w:rPr>
                <w:b w:val="false"/>
                <w:bCs w:val="false"/>
                <w:sz w:val="19"/>
                <w:szCs w:val="19"/>
              </w:rPr>
              <w:t xml:space="preserve">Monitoring</w:t>
            </w:r>
          </w:p>
        </w:tc>
      </w:tr>
    </w:tbl>
    <w:p>
      <w:pPr>
        <w:spacing w:after="120"/>
      </w:pPr>
    </w:p>
    <w:p>
      <w:pPr>
        <w:spacing w:after="120" w:line="288"/>
      </w:pPr>
      <w:r>
        <w:t xml:space="preserve">Each triggered rule opens a </w:t>
      </w:r>
      <w:r>
        <w:rPr>
          <w:b/>
          <w:bCs/>
        </w:rPr>
        <w:t xml:space="preserve">QA exception</w:t>
      </w:r>
      <w:r>
        <w:t xml:space="preserve"> that someone is assigned to, works and closes with a note. A </w:t>
      </w:r>
      <w:r>
        <w:rPr>
          <w:b/>
          <w:bCs/>
        </w:rPr>
        <w:t xml:space="preserve">Re-query</w:t>
      </w:r>
      <w:r>
        <w:t xml:space="preserve"> moves the case to S09; an </w:t>
      </w:r>
      <w:r>
        <w:rPr>
          <w:b/>
          <w:bCs/>
        </w:rPr>
        <w:t xml:space="preserve">Accept</w:t>
      </w:r>
      <w:r>
        <w:t xml:space="preserve"> to S10.</w:t>
      </w:r>
    </w:p>
    <w:p>
      <w:pPr>
        <w:pStyle w:val="Heading2"/>
      </w:pPr>
      <w:r>
        <w:t xml:space="preserve">3.10 Reminders and nonresponse</w:t>
      </w:r>
    </w:p>
    <w:p>
      <w:pPr>
        <w:spacing w:after="120" w:line="288"/>
      </w:pPr>
      <w:r>
        <w:t xml:space="preserve">For invited cases with no submission, the approved </w:t>
      </w:r>
      <w:r>
        <w:rPr>
          <w:b/>
          <w:bCs/>
        </w:rPr>
        <w:t xml:space="preserve">Day 2 reminder</w:t>
      </w:r>
      <w:r>
        <w:t xml:space="preserve"> and </w:t>
      </w:r>
      <w:r>
        <w:rPr>
          <w:b/>
          <w:bCs/>
        </w:rPr>
        <w:t xml:space="preserve">Day 7 final routine attempt</w:t>
      </w:r>
      <w:r>
        <w:t xml:space="preserve"> fall due and appear on </w:t>
      </w:r>
      <w:r>
        <w:rPr>
          <w:b/>
          <w:bCs/>
        </w:rPr>
        <w:t xml:space="preserve">Follow-ups</w:t>
      </w:r>
      <w:r>
        <w:t xml:space="preserve">, with the message and a one-tap WhatsApp link. A person sends each one and marks it sent. A case can become </w:t>
      </w:r>
      <w:r>
        <w:rPr>
          <w:b/>
          <w:bCs/>
        </w:rPr>
        <w:t xml:space="preserve">S13 Nonresponse</w:t>
      </w:r>
      <w:r>
        <w:t xml:space="preserve"> only after every reminder has actually been recorded as sent; until then it is never treated as exhausted. Once SMS or WhatsApp is set up through Twilio, the portal sends due reminders itself every morning at 08:00 (WhatsApp when its approved template is set up, otherwise SMS, to mobiles only) and records them as sent; a reminder Twilio refuses or cannot deliver goes back to Follow-ups for a person and is never re-sent automatically.</w:t>
      </w:r>
    </w:p>
    <w:p>
      <w:pPr>
        <w:pStyle w:val="Heading2"/>
      </w:pPr>
      <w:r>
        <w:t xml:space="preserve">3.11 Withdrawal</w:t>
      </w:r>
    </w:p>
    <w:p>
      <w:pPr>
        <w:spacing w:after="120" w:line="288"/>
      </w:pPr>
      <w:r>
        <w:t xml:space="preserve">A single </w:t>
      </w:r>
      <w:r>
        <w:rPr>
          <w:b/>
          <w:bCs/>
        </w:rPr>
        <w:t xml:space="preserve">Record withdrawal</w:t>
      </w:r>
      <w:r>
        <w:t xml:space="preserve"> action records the WITHDRAWN consent, revokes the invitation, stops reminders, moves the case to S12 where allowed, erases the phone, WhatsApp, email and gatekeeper contact, and audits the action. Answers already submitted are kept for the audit trail but never analysed (PI decision, 15 September 2026): they are left out of the analysis export and marked as withdrawn in the operational export and the PI's KoboToolbox downloads.</w:t>
      </w:r>
    </w:p>
    <w:p>
      <w:pPr>
        <w:pStyle w:val="Heading2"/>
      </w:pPr>
      <w:r>
        <w:t xml:space="preserve">3.12 The KII and documentary strands</w:t>
      </w:r>
    </w:p>
    <w:p>
      <w:pPr>
        <w:pStyle w:val="ListParagraph"/>
        <w:numPr>
          <w:ilvl w:val="0"/>
          <w:numId w:val="2"/>
        </w:numPr>
        <w:spacing w:after="60" w:line="276"/>
      </w:pPr>
      <w:r>
        <w:rPr>
          <w:b/>
          <w:bCs/>
        </w:rPr>
        <w:t xml:space="preserve">KII records</w:t>
      </w:r>
      <w:r>
        <w:t xml:space="preserve"> move PROSPECT → INVITED → SCHEDULED → COMPLETED (or DECLINED / NO_SHOW); COMPLETED is also reachable directly from INVITED for a self-administered interview, which has no call to schedule. Participation consent and recording consent are captured separately; a recorded interview cannot be completed without recording consent. Once participation consent is recorded, </w:t>
      </w:r>
      <w:r>
        <w:rPr>
          <w:b/>
          <w:bCs/>
        </w:rPr>
        <w:t xml:space="preserve">Continue this interview</w:t>
      </w:r>
      <w:r>
        <w:t xml:space="preserve"> opens the KoboToolbox KII Guide with the KII ID filled in; the link is withheld until then and never carries the participant's name. Transcript and coding progress are tracked on the record. An informant can also be sent their own personal link (</w:t>
      </w:r>
      <w:r>
        <w:rPr>
          <w:b/>
          <w:bCs/>
        </w:rPr>
        <w:t xml:space="preserve">Invite</w:t>
      </w:r>
      <w:r>
        <w:t xml:space="preserve">, on the record) to complete the interview unsupervised, in their own time, the same way a Main-400 respondent already can — it shows its own short information sheet, needs only participation consent (nobody records an unsupervised session), and lands them in the same KII Guide with the KII ID filled in.</w:t>
      </w:r>
    </w:p>
    <w:p>
      <w:pPr>
        <w:pStyle w:val="ListParagraph"/>
        <w:numPr>
          <w:ilvl w:val="0"/>
          <w:numId w:val="2"/>
        </w:numPr>
        <w:spacing w:after="60" w:line="276"/>
      </w:pPr>
      <w:r>
        <w:rPr>
          <w:b/>
          <w:bCs/>
        </w:rPr>
        <w:t xml:space="preserve">Document records</w:t>
      </w:r>
      <w:r>
        <w:t xml:space="preserve"> need an authenticity assessment (Verified or Disputed) before they can be Included; an interpretive memo records reasoning. A document is best created by uploading it (</w:t>
      </w:r>
      <w:r>
        <w:rPr>
          <w:b/>
          <w:bCs/>
        </w:rPr>
        <w:t xml:space="preserve">Quick add</w:t>
      </w:r>
      <w:r>
        <w:t xml:space="preserve">): the AI reads the file, fills in the record's details and drafts the coding form, and a person reviews it. The source file is attached to the record (and can be removed if the wrong one was uploaded). Coding happens in the KoboToolbox Document Analysis Tool: </w:t>
      </w:r>
      <w:r>
        <w:rPr>
          <w:b/>
          <w:bCs/>
        </w:rPr>
        <w:t xml:space="preserve">Code this document</w:t>
      </w:r>
      <w:r>
        <w:t xml:space="preserve"> opens it with the DOC ID filled in, and </w:t>
      </w:r>
      <w:r>
        <w:rPr>
          <w:b/>
          <w:bCs/>
        </w:rPr>
        <w:t xml:space="preserve">Auto-fill</w:t>
      </w:r>
      <w:r>
        <w:t xml:space="preserve"> has AI draft the whole form from the source file for a Documentary RA to review, edit and submit. A PDF over 100 pages is coded by page range (for example one chapter) or read whole in parts and combined into one draft. The AI never submits on its own, and every draft is audited.</w:t>
      </w:r>
    </w:p>
    <w:p>
      <w:pPr>
        <w:spacing w:after="60"/>
      </w:pPr>
    </w:p>
    <w:p>
      <w:pPr>
        <w:pStyle w:val="Heading2"/>
      </w:pPr>
      <w:r>
        <w:t xml:space="preserve">3.13 Monitoring, reports and exports</w:t>
      </w:r>
    </w:p>
    <w:p>
      <w:pPr>
        <w:pStyle w:val="ListParagraph"/>
        <w:numPr>
          <w:ilvl w:val="0"/>
          <w:numId w:val="2"/>
        </w:numPr>
        <w:spacing w:after="60" w:line="276"/>
      </w:pPr>
      <w:r>
        <w:rPr>
          <w:b/>
          <w:bCs/>
        </w:rPr>
        <w:t xml:space="preserve">Dashboards</w:t>
      </w:r>
      <w:r>
        <w:t xml:space="preserve"> give live counts: Executive, Sampling, Contact, QA, KII/Documents, Cost.</w:t>
      </w:r>
    </w:p>
    <w:p>
      <w:pPr>
        <w:pStyle w:val="ListParagraph"/>
        <w:numPr>
          <w:ilvl w:val="0"/>
          <w:numId w:val="2"/>
        </w:numPr>
        <w:spacing w:after="60" w:line="276"/>
      </w:pPr>
      <w:r>
        <w:rPr>
          <w:b/>
          <w:bCs/>
        </w:rPr>
        <w:t xml:space="preserve">Reports</w:t>
      </w:r>
      <w:r>
        <w:t xml:space="preserve"> give analytics with charts and table views over 7, 30, 90 days or all time.</w:t>
      </w:r>
    </w:p>
    <w:p>
      <w:pPr>
        <w:pStyle w:val="ListParagraph"/>
        <w:numPr>
          <w:ilvl w:val="0"/>
          <w:numId w:val="2"/>
        </w:numPr>
        <w:spacing w:after="60" w:line="276"/>
      </w:pPr>
      <w:r>
        <w:rPr>
          <w:b/>
          <w:bCs/>
        </w:rPr>
        <w:t xml:space="preserve">Exports</w:t>
      </w:r>
      <w:r>
        <w:t xml:space="preserve">: a de-identified analysis CSV, a full operational CSV (PI only), for each KoboToolbox form a complete Excel workbook and a ZIP of PDFs (PI only), and analysis packs that open directly in SmartPLS 4 (questionnaire) and ATLAS.ti (interviews and documents) (PI only).</w:t>
      </w:r>
    </w:p>
    <w:p>
      <w:pPr>
        <w:spacing w:after="60"/>
      </w:pPr>
    </w:p>
    <w:p>
      <w:pPr>
        <w:pStyle w:val="Heading2"/>
      </w:pPr>
      <w:r>
        <w:t xml:space="preserve">3.14 Security and privacy controls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635"/>
        <w:gridCol w:w="6777"/>
      </w:tblGrid>
      <w:tr>
        <w:trPr>
          <w:tblHeader/>
        </w:trPr>
        <w:tc>
          <w:tcPr>
            <w:tcW w:type="dxa" w:w="2635"/>
            <w:shd w:fill="1B3350" w:color="auto" w:val="clear"/>
            <w:tcMar>
              <w:top w:type="dxa" w:w="70"/>
              <w:left w:type="dxa" w:w="110"/>
              <w:bottom w:type="dxa" w:w="70"/>
              <w:right w:type="dxa" w:w="110"/>
            </w:tcMar>
            <w:vAlign w:val="top"/>
          </w:tcPr>
          <w:p>
            <w:pPr>
              <w:spacing w:after="40"/>
            </w:pPr>
            <w:r>
              <w:rPr>
                <w:b/>
                <w:bCs/>
                <w:color w:val="FFFFFF"/>
                <w:sz w:val="19"/>
                <w:szCs w:val="19"/>
              </w:rPr>
              <w:t xml:space="preserve">Control</w:t>
            </w:r>
          </w:p>
        </w:tc>
        <w:tc>
          <w:tcPr>
            <w:tcW w:type="dxa" w:w="6777"/>
            <w:shd w:fill="1B3350" w:color="auto" w:val="clear"/>
            <w:tcMar>
              <w:top w:type="dxa" w:w="70"/>
              <w:left w:type="dxa" w:w="110"/>
              <w:bottom w:type="dxa" w:w="70"/>
              <w:right w:type="dxa" w:w="110"/>
            </w:tcMar>
            <w:vAlign w:val="top"/>
          </w:tcPr>
          <w:p>
            <w:pPr>
              <w:spacing w:after="40"/>
            </w:pPr>
            <w:r>
              <w:rPr>
                <w:b/>
                <w:bCs/>
                <w:color w:val="FFFFFF"/>
                <w:sz w:val="19"/>
                <w:szCs w:val="19"/>
              </w:rPr>
              <w:t xml:space="preserve">How it works</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Role-based access</w:t>
            </w:r>
          </w:p>
        </w:tc>
        <w:tc>
          <w:tcPr>
            <w:tcW w:type="dxa" w:w="6777"/>
            <w:tcMar>
              <w:top w:type="dxa" w:w="70"/>
              <w:left w:type="dxa" w:w="110"/>
              <w:bottom w:type="dxa" w:w="70"/>
              <w:right w:type="dxa" w:w="110"/>
            </w:tcMar>
            <w:vAlign w:val="top"/>
          </w:tcPr>
          <w:p>
            <w:pPr>
              <w:spacing w:after="40"/>
            </w:pPr>
            <w:r>
              <w:rPr>
                <w:b w:val="false"/>
                <w:bCs w:val="false"/>
                <w:sz w:val="19"/>
                <w:szCs w:val="19"/>
              </w:rPr>
              <w:t xml:space="preserve">Each account has one of eight roles. The server checks the role on every request; the menu shows only permitted screens. Contact RAs see only their assigned cases.</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Secure sign-in</w:t>
            </w:r>
          </w:p>
        </w:tc>
        <w:tc>
          <w:tcPr>
            <w:tcW w:type="dxa" w:w="6777"/>
            <w:shd w:fill="F8FAFB" w:color="auto" w:val="clear"/>
            <w:tcMar>
              <w:top w:type="dxa" w:w="70"/>
              <w:left w:type="dxa" w:w="110"/>
              <w:bottom w:type="dxa" w:w="70"/>
              <w:right w:type="dxa" w:w="110"/>
            </w:tcMar>
            <w:vAlign w:val="top"/>
          </w:tcPr>
          <w:p>
            <w:pPr>
              <w:spacing w:after="40"/>
            </w:pPr>
            <w:r>
              <w:rPr>
                <w:b w:val="false"/>
                <w:bCs w:val="false"/>
                <w:sz w:val="19"/>
                <w:szCs w:val="19"/>
              </w:rPr>
              <w:t xml:space="preserve">Encrypted connection (HTTPS). Session tokens are kept in secure browser cookies that page scripts cannot read. Sign-in attempts are rate-limited.</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Personal links</w:t>
            </w:r>
          </w:p>
        </w:tc>
        <w:tc>
          <w:tcPr>
            <w:tcW w:type="dxa" w:w="6777"/>
            <w:tcMar>
              <w:top w:type="dxa" w:w="70"/>
              <w:left w:type="dxa" w:w="110"/>
              <w:bottom w:type="dxa" w:w="70"/>
              <w:right w:type="dxa" w:w="110"/>
            </w:tcMar>
            <w:vAlign w:val="top"/>
          </w:tcPr>
          <w:p>
            <w:pPr>
              <w:spacing w:after="40"/>
            </w:pPr>
            <w:r>
              <w:rPr>
                <w:b w:val="false"/>
                <w:bCs w:val="false"/>
                <w:sz w:val="19"/>
                <w:szCs w:val="19"/>
              </w:rPr>
              <w:t xml:space="preserve">Random, expiring, stored only as fingerprints; superseded or revoked links stop working.</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Signed questionnaire links</w:t>
            </w:r>
          </w:p>
        </w:tc>
        <w:tc>
          <w:tcPr>
            <w:tcW w:type="dxa" w:w="6777"/>
            <w:shd w:fill="F8FAFB" w:color="auto" w:val="clear"/>
            <w:tcMar>
              <w:top w:type="dxa" w:w="70"/>
              <w:left w:type="dxa" w:w="110"/>
              <w:bottom w:type="dxa" w:w="70"/>
              <w:right w:type="dxa" w:w="110"/>
            </w:tcMar>
            <w:vAlign w:val="top"/>
          </w:tcPr>
          <w:p>
            <w:pPr>
              <w:spacing w:after="40"/>
            </w:pPr>
            <w:r>
              <w:rPr>
                <w:b w:val="false"/>
                <w:bCs w:val="false"/>
                <w:sz w:val="19"/>
                <w:szCs w:val="19"/>
              </w:rPr>
              <w:t xml:space="preserve">Only submissions launched from the portal are matched to a case.</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Private answers</w:t>
            </w:r>
          </w:p>
        </w:tc>
        <w:tc>
          <w:tcPr>
            <w:tcW w:type="dxa" w:w="6777"/>
            <w:tcMar>
              <w:top w:type="dxa" w:w="70"/>
              <w:left w:type="dxa" w:w="110"/>
              <w:bottom w:type="dxa" w:w="70"/>
              <w:right w:type="dxa" w:w="110"/>
            </w:tcMar>
            <w:vAlign w:val="top"/>
          </w:tcPr>
          <w:p>
            <w:pPr>
              <w:spacing w:after="40"/>
            </w:pPr>
            <w:r>
              <w:rPr>
                <w:b w:val="false"/>
                <w:bCs w:val="false"/>
                <w:sz w:val="19"/>
                <w:szCs w:val="19"/>
              </w:rPr>
              <w:t xml:space="preserve">KoboToolbox answers are stored outside anything the web server publishes.</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Separation of identity and answers</w:t>
            </w:r>
          </w:p>
        </w:tc>
        <w:tc>
          <w:tcPr>
            <w:tcW w:type="dxa" w:w="6777"/>
            <w:shd w:fill="F8FAFB" w:color="auto" w:val="clear"/>
            <w:tcMar>
              <w:top w:type="dxa" w:w="70"/>
              <w:left w:type="dxa" w:w="110"/>
              <w:bottom w:type="dxa" w:w="70"/>
              <w:right w:type="dxa" w:w="110"/>
            </w:tcMar>
            <w:vAlign w:val="top"/>
          </w:tcPr>
          <w:p>
            <w:pPr>
              <w:spacing w:after="40"/>
            </w:pPr>
            <w:r>
              <w:rPr>
                <w:b w:val="false"/>
                <w:bCs w:val="false"/>
                <w:sz w:val="19"/>
                <w:szCs w:val="19"/>
              </w:rPr>
              <w:t xml:space="preserve">Dashboards, Reports and the analysis export never contain names or contact details.</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Audit trail</w:t>
            </w:r>
          </w:p>
        </w:tc>
        <w:tc>
          <w:tcPr>
            <w:tcW w:type="dxa" w:w="6777"/>
            <w:tcMar>
              <w:top w:type="dxa" w:w="70"/>
              <w:left w:type="dxa" w:w="110"/>
              <w:bottom w:type="dxa" w:w="70"/>
              <w:right w:type="dxa" w:w="110"/>
            </w:tcMar>
            <w:vAlign w:val="top"/>
          </w:tcPr>
          <w:p>
            <w:pPr>
              <w:spacing w:after="40"/>
            </w:pPr>
            <w:r>
              <w:rPr>
                <w:b w:val="false"/>
                <w:bCs w:val="false"/>
                <w:sz w:val="19"/>
                <w:szCs w:val="19"/>
              </w:rPr>
              <w:t xml:space="preserve">Every sensitive action — consent, invitations, status changes, reserve activation, QA decisions, exports, emails, withdrawals — is recorded with the user and time.</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Backups</w:t>
            </w:r>
          </w:p>
        </w:tc>
        <w:tc>
          <w:tcPr>
            <w:tcW w:type="dxa" w:w="6777"/>
            <w:shd w:fill="F8FAFB" w:color="auto" w:val="clear"/>
            <w:tcMar>
              <w:top w:type="dxa" w:w="70"/>
              <w:left w:type="dxa" w:w="110"/>
              <w:bottom w:type="dxa" w:w="70"/>
              <w:right w:type="dxa" w:w="110"/>
            </w:tcMar>
            <w:vAlign w:val="top"/>
          </w:tcPr>
          <w:p>
            <w:pPr>
              <w:spacing w:after="40"/>
            </w:pPr>
            <w:r>
              <w:rPr>
                <w:b w:val="false"/>
                <w:bCs w:val="false"/>
                <w:sz w:val="19"/>
                <w:szCs w:val="19"/>
              </w:rPr>
              <w:t xml:space="preserve">Every 4 hours on the server; encrypted offsite copy to Google Drive once enabled.</w:t>
            </w:r>
          </w:p>
        </w:tc>
      </w:tr>
    </w:tbl>
    <w:p>
      <w:pPr>
        <w:spacing w:after="120"/>
      </w:pPr>
    </w:p>
    <w:p>
      <w:pPr>
        <w:pStyle w:val="Heading2"/>
      </w:pPr>
      <w:r>
        <w:t xml:space="preserve">3.15 Verifying the study is genuine</w:t>
      </w:r>
    </w:p>
    <w:p>
      <w:pPr>
        <w:spacing w:after="120" w:line="288"/>
      </w:pPr>
      <w:r>
        <w:t xml:space="preserve">On the Participant Information step, a respondent sees a short </w:t>
      </w:r>
      <w:r>
        <w:rPr>
          <w:b/>
          <w:bCs/>
        </w:rPr>
        <w:t xml:space="preserve">How to verify this is a genuine study</w:t>
      </w:r>
      <w:r>
        <w:t xml:space="preserve"> section with links to open the PI's official approval letters, if any are published. It is hidden entirely — not shown empty — until the PI publishes at least one document, and a published document can be unpublished but never silently deleted once a respondent could have seen it (see 6.14).</w:t>
      </w:r>
    </w:p>
    <w:p>
      <w:pPr>
        <w:pStyle w:val="Heading1"/>
        <w:pageBreakBefore/>
      </w:pPr>
      <w:r>
        <w:t xml:space="preserve">4. Getting started</w:t>
      </w:r>
    </w:p>
    <w:p>
      <w:pPr>
        <w:pStyle w:val="Heading2"/>
      </w:pPr>
      <w:r>
        <w:t xml:space="preserve">Signing in</w:t>
      </w:r>
    </w:p>
    <w:p>
      <w:pPr>
        <w:pStyle w:val="ListParagraph"/>
        <w:numPr>
          <w:ilvl w:val="0"/>
          <w:numId w:val="3"/>
        </w:numPr>
        <w:spacing w:after="80" w:line="276"/>
      </w:pPr>
      <w:r>
        <w:t xml:space="preserve">Open </w:t>
      </w:r>
      <w:r>
        <w:rPr>
          <w:b/>
          <w:bCs/>
        </w:rPr>
        <w:t xml:space="preserve">https://research.agribizframework.com/admin/login</w:t>
      </w:r>
      <w:r>
        <w:t xml:space="preserve"> in any modern browser (Chrome, Edge, Firefox or Safari), on a computer, tablet or phone.</w:t>
      </w:r>
    </w:p>
    <w:p>
      <w:pPr>
        <w:pStyle w:val="ListParagraph"/>
        <w:numPr>
          <w:ilvl w:val="0"/>
          <w:numId w:val="3"/>
        </w:numPr>
        <w:spacing w:after="80" w:line="276"/>
      </w:pPr>
      <w:r>
        <w:t xml:space="preserve">Type your </w:t>
      </w:r>
      <w:r>
        <w:rPr>
          <w:b/>
          <w:bCs/>
        </w:rPr>
        <w:t xml:space="preserve">Username</w:t>
      </w:r>
      <w:r>
        <w:t xml:space="preserve"> and </w:t>
      </w:r>
      <w:r>
        <w:rPr>
          <w:b/>
          <w:bCs/>
        </w:rPr>
        <w:t xml:space="preserve">Password</w:t>
      </w:r>
      <w:r>
        <w:t xml:space="preserve">, then select </w:t>
      </w:r>
      <w:r>
        <w:rPr>
          <w:b/>
          <w:bCs/>
        </w:rPr>
        <w:t xml:space="preserve">Sign in</w:t>
      </w:r>
      <w:r>
        <w:t xml:space="preserve">.</w:t>
      </w:r>
    </w:p>
    <w:p>
      <w:pPr>
        <w:keepNext/>
        <w:spacing w:after="40" w:before="80"/>
        <w:jc w:val="center"/>
      </w:pPr>
      <w:r>
        <w:drawing>
          <wp:inline distT="0" distB="0" distL="0" distR="0">
            <wp:extent cx="5334000" cy="2333625"/>
            <wp:effectExtent t="0" r="0" b="0" l="0"/>
            <wp:docPr id="1" name="adm_login.jpg" descr="The sign-in screen for all internal staff." title="The sign-in screen for all internal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33625"/>
                    </a:xfrm>
                    <a:prstGeom prst="rect">
                      <a:avLst/>
                    </a:prstGeom>
                  </pic:spPr>
                </pic:pic>
              </a:graphicData>
            </a:graphic>
          </wp:inline>
        </w:drawing>
      </w:r>
    </w:p>
    <w:p>
      <w:pPr>
        <w:spacing w:after="180"/>
        <w:jc w:val="center"/>
      </w:pPr>
      <w:r>
        <w:rPr>
          <w:b/>
          <w:bCs/>
          <w:color w:val="5B6670"/>
          <w:sz w:val="17"/>
          <w:szCs w:val="17"/>
        </w:rPr>
        <w:t xml:space="preserve">Figure 1. </w:t>
      </w:r>
      <w:r>
        <w:rPr>
          <w:i/>
          <w:iCs/>
          <w:color w:val="5B6670"/>
          <w:sz w:val="17"/>
          <w:szCs w:val="17"/>
        </w:rPr>
        <w:t xml:space="preserve">The sign-in screen for all internal staff.</w:t>
      </w:r>
    </w:p>
    <w:p>
      <w:pPr>
        <w:pStyle w:val="ListParagraph"/>
        <w:numPr>
          <w:ilvl w:val="0"/>
          <w:numId w:val="3"/>
        </w:numPr>
        <w:spacing w:after="80" w:line="276"/>
      </w:pPr>
      <w:r>
        <w:t xml:space="preserve">You arrive on your start screen: </w:t>
      </w:r>
      <w:r>
        <w:rPr>
          <w:b/>
          <w:bCs/>
        </w:rPr>
        <w:t xml:space="preserve">your role's start screen</w:t>
      </w:r>
      <w:r>
        <w:t xml:space="preserve">. The bar across the top lists only the screens your role (for example Contact RA) can open.</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Accounts</w:t>
            </w:r>
          </w:p>
          <w:p>
            <w:pPr>
              <w:spacing w:after="40" w:line="264"/>
            </w:pPr>
            <w:r>
              <w:rPr>
                <w:sz w:val="19"/>
                <w:szCs w:val="19"/>
              </w:rPr>
              <w:t xml:space="preserve">There is no self-registration. The PI / System Admin creates every account and sets its role. Ask the PI if you need an account, a different role, or a password reset.</w:t>
            </w:r>
          </w:p>
        </w:tc>
      </w:tr>
    </w:tbl>
    <w:p>
      <w:pPr>
        <w:pStyle w:val="Heading2"/>
      </w:pPr>
      <w:r>
        <w:t xml:space="preserve">Finding your way around</w:t>
      </w:r>
    </w:p>
    <w:p>
      <w:pPr>
        <w:pStyle w:val="ListParagraph"/>
        <w:numPr>
          <w:ilvl w:val="0"/>
          <w:numId w:val="2"/>
        </w:numPr>
        <w:spacing w:after="60" w:line="276"/>
      </w:pPr>
      <w:r>
        <w:t xml:space="preserve">The </w:t>
      </w:r>
      <w:r>
        <w:rPr>
          <w:b/>
          <w:bCs/>
        </w:rPr>
        <w:t xml:space="preserve">top bar</w:t>
      </w:r>
      <w:r>
        <w:t xml:space="preserve"> shows your username and role, and the screens you can use. It is not a full menu with some items greyed out: anything absent is simply not part of your role.</w:t>
      </w:r>
    </w:p>
    <w:p>
      <w:pPr>
        <w:pStyle w:val="ListParagraph"/>
        <w:numPr>
          <w:ilvl w:val="0"/>
          <w:numId w:val="2"/>
        </w:numPr>
        <w:spacing w:after="60" w:line="276"/>
      </w:pPr>
      <w:r>
        <w:t xml:space="preserve">Most screens have a </w:t>
      </w:r>
      <w:r>
        <w:rPr>
          <w:b/>
          <w:bCs/>
        </w:rPr>
        <w:t xml:space="preserve">← Back to …</w:t>
      </w:r>
      <w:r>
        <w:t xml:space="preserve"> link at the top that returns you to the screen you came from.</w:t>
      </w:r>
    </w:p>
    <w:p>
      <w:pPr>
        <w:pStyle w:val="ListParagraph"/>
        <w:numPr>
          <w:ilvl w:val="0"/>
          <w:numId w:val="2"/>
        </w:numPr>
        <w:spacing w:after="60" w:line="276"/>
      </w:pPr>
      <w:r>
        <w:t xml:space="preserve">Registers show </w:t>
      </w:r>
      <w:r>
        <w:rPr>
          <w:b/>
          <w:bCs/>
        </w:rPr>
        <w:t xml:space="preserve">20 rows per page</w:t>
      </w:r>
      <w:r>
        <w:t xml:space="preserve"> to begin with. At the foot of the list, </w:t>
      </w:r>
      <w:r>
        <w:rPr>
          <w:b/>
          <w:bCs/>
        </w:rPr>
        <w:t xml:space="preserve">Show</w:t>
      </w:r>
      <w:r>
        <w:t xml:space="preserve"> lets you choose 10, 20, 50, 100 or 200 rows per page (the portal remembers your choice), and the page numbers, </w:t>
      </w:r>
      <w:r>
        <w:rPr>
          <w:b/>
          <w:bCs/>
        </w:rPr>
        <w:t xml:space="preserve">Previous</w:t>
      </w:r>
      <w:r>
        <w:t xml:space="preserve">, </w:t>
      </w:r>
      <w:r>
        <w:rPr>
          <w:b/>
          <w:bCs/>
        </w:rPr>
        <w:t xml:space="preserve">Next</w:t>
      </w:r>
      <w:r>
        <w:t xml:space="preserve"> and the double arrows take you to any page. The </w:t>
      </w:r>
      <w:r>
        <w:rPr>
          <w:b/>
          <w:bCs/>
        </w:rPr>
        <w:t xml:space="preserve">Search</w:t>
      </w:r>
      <w:r>
        <w:t xml:space="preserve"> box above the list narrows it.</w:t>
      </w:r>
    </w:p>
    <w:p>
      <w:pPr>
        <w:pStyle w:val="ListParagraph"/>
        <w:numPr>
          <w:ilvl w:val="0"/>
          <w:numId w:val="2"/>
        </w:numPr>
        <w:spacing w:after="60" w:line="276"/>
      </w:pPr>
      <w:r>
        <w:rPr>
          <w:b/>
          <w:bCs/>
        </w:rPr>
        <w:t xml:space="preserve">Change password</w:t>
      </w:r>
      <w:r>
        <w:t xml:space="preserve"> (top right) lets you set a new password at any time. Choose a long password you do not use anywhere else.</w:t>
      </w:r>
    </w:p>
    <w:p>
      <w:pPr>
        <w:pStyle w:val="ListParagraph"/>
        <w:numPr>
          <w:ilvl w:val="0"/>
          <w:numId w:val="2"/>
        </w:numPr>
        <w:spacing w:after="60" w:line="276"/>
      </w:pPr>
      <w:r>
        <w:rPr>
          <w:b/>
          <w:bCs/>
        </w:rPr>
        <w:t xml:space="preserve">Sign out</w:t>
      </w:r>
      <w:r>
        <w:t xml:space="preserve"> (top right) ends your session. Always sign out on a shared or public computer.</w:t>
      </w:r>
    </w:p>
    <w:p>
      <w:pPr>
        <w:pStyle w:val="ListParagraph"/>
        <w:numPr>
          <w:ilvl w:val="0"/>
          <w:numId w:val="2"/>
        </w:numPr>
        <w:spacing w:after="60" w:line="276"/>
      </w:pPr>
      <w:r>
        <w:t xml:space="preserve">If you are inactive for a while you may be asked to sign in again. This protects research data on unattended devices.</w:t>
      </w:r>
    </w:p>
    <w:p>
      <w:pPr>
        <w:spacing w:after="60"/>
      </w:pPr>
    </w:p>
    <w:p>
      <w:pPr>
        <w:keepNext/>
        <w:spacing w:after="40" w:before="80"/>
        <w:jc w:val="center"/>
      </w:pPr>
      <w:r>
        <w:drawing>
          <wp:inline distT="0" distB="0" distL="0" distR="0">
            <wp:extent cx="5715000" cy="1876425"/>
            <wp:effectExtent t="0" r="0" b="0" l="0"/>
            <wp:docPr id="1" name="adm_not_your_role.jpg" descr="Opening a screen outside your role (for example from an old bookmark) shows this card instead of the screen." title="Opening a screen outside your role (for example from an old bookmark) shows this card instead of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76425"/>
                    </a:xfrm>
                    <a:prstGeom prst="rect">
                      <a:avLst/>
                    </a:prstGeom>
                  </pic:spPr>
                </pic:pic>
              </a:graphicData>
            </a:graphic>
          </wp:inline>
        </w:drawing>
      </w:r>
    </w:p>
    <w:p>
      <w:pPr>
        <w:spacing w:after="180"/>
        <w:jc w:val="center"/>
      </w:pPr>
      <w:r>
        <w:rPr>
          <w:b/>
          <w:bCs/>
          <w:color w:val="5B6670"/>
          <w:sz w:val="17"/>
          <w:szCs w:val="17"/>
        </w:rPr>
        <w:t xml:space="preserve">Figure 2. </w:t>
      </w:r>
      <w:r>
        <w:rPr>
          <w:i/>
          <w:iCs/>
          <w:color w:val="5B6670"/>
          <w:sz w:val="17"/>
          <w:szCs w:val="17"/>
        </w:rPr>
        <w:t xml:space="preserve">Opening a screen outside your role (for example from an old bookmark) shows this card instead of the screen.</w:t>
      </w:r>
    </w:p>
    <w:p>
      <w:pPr>
        <w:pStyle w:val="Heading2"/>
      </w:pPr>
      <w:r>
        <w:t xml:space="preserve">Changing your password</w:t>
      </w:r>
    </w:p>
    <w:p>
      <w:pPr>
        <w:pStyle w:val="ListParagraph"/>
        <w:numPr>
          <w:ilvl w:val="0"/>
          <w:numId w:val="4"/>
        </w:numPr>
        <w:spacing w:after="80" w:line="276"/>
      </w:pPr>
      <w:r>
        <w:t xml:space="preserve">Select </w:t>
      </w:r>
      <w:r>
        <w:rPr>
          <w:b/>
          <w:bCs/>
        </w:rPr>
        <w:t xml:space="preserve">Change password</w:t>
      </w:r>
      <w:r>
        <w:t xml:space="preserve"> in the top right corner.</w:t>
      </w:r>
    </w:p>
    <w:p>
      <w:pPr>
        <w:pStyle w:val="ListParagraph"/>
        <w:numPr>
          <w:ilvl w:val="0"/>
          <w:numId w:val="4"/>
        </w:numPr>
        <w:spacing w:after="80" w:line="276"/>
      </w:pPr>
      <w:r>
        <w:t xml:space="preserve">Enter your </w:t>
      </w:r>
      <w:r>
        <w:rPr>
          <w:b/>
          <w:bCs/>
        </w:rPr>
        <w:t xml:space="preserve">Current password</w:t>
      </w:r>
      <w:r>
        <w:t xml:space="preserve">, then the </w:t>
      </w:r>
      <w:r>
        <w:rPr>
          <w:b/>
          <w:bCs/>
        </w:rPr>
        <w:t xml:space="preserve">New password</w:t>
      </w:r>
      <w:r>
        <w:t xml:space="preserve"> twice, and select </w:t>
      </w:r>
      <w:r>
        <w:rPr>
          <w:b/>
          <w:bCs/>
        </w:rPr>
        <w:t xml:space="preserve">Change password</w:t>
      </w:r>
      <w:r>
        <w:t xml:space="preserve">.</w:t>
      </w:r>
    </w:p>
    <w:p>
      <w:pPr>
        <w:keepNext/>
        <w:spacing w:after="40" w:before="80"/>
        <w:jc w:val="center"/>
      </w:pPr>
      <w:r>
        <w:drawing>
          <wp:inline distT="0" distB="0" distL="0" distR="0">
            <wp:extent cx="5334000" cy="2171700"/>
            <wp:effectExtent t="0" r="0" b="0" l="0"/>
            <wp:docPr id="1" name="adm_account.jpg" descr="Change Password screen." title="Change Passwor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71700"/>
                    </a:xfrm>
                    <a:prstGeom prst="rect">
                      <a:avLst/>
                    </a:prstGeom>
                  </pic:spPr>
                </pic:pic>
              </a:graphicData>
            </a:graphic>
          </wp:inline>
        </w:drawing>
      </w:r>
    </w:p>
    <w:p>
      <w:pPr>
        <w:spacing w:after="180"/>
        <w:jc w:val="center"/>
      </w:pPr>
      <w:r>
        <w:rPr>
          <w:b/>
          <w:bCs/>
          <w:color w:val="5B6670"/>
          <w:sz w:val="17"/>
          <w:szCs w:val="17"/>
        </w:rPr>
        <w:t xml:space="preserve">Figure 3. </w:t>
      </w:r>
      <w:r>
        <w:rPr>
          <w:i/>
          <w:iCs/>
          <w:color w:val="5B6670"/>
          <w:sz w:val="17"/>
          <w:szCs w:val="17"/>
        </w:rPr>
        <w:t xml:space="preserve">Change Password screen.</w:t>
      </w:r>
    </w:p>
    <w:p>
      <w:pPr>
        <w:pStyle w:val="ListParagraph"/>
        <w:numPr>
          <w:ilvl w:val="0"/>
          <w:numId w:val="4"/>
        </w:numPr>
        <w:spacing w:after="80" w:line="276"/>
      </w:pPr>
      <w:r>
        <w:t xml:space="preserve">Use the new password next time you sign in. If you have forgotten your password, ask the PI to reset it.</w:t>
      </w:r>
    </w:p>
    <w:p>
      <w:pPr>
        <w:spacing w:after="80"/>
      </w:pPr>
    </w:p>
    <w:p>
      <w:pPr>
        <w:pStyle w:val="Heading1"/>
        <w:pageBreakBefore/>
      </w:pPr>
      <w:r>
        <w:t xml:space="preserve">5. Roles and permissions</w:t>
      </w:r>
    </w:p>
    <w:p>
      <w:pPr>
        <w:spacing w:after="120" w:line="288"/>
      </w:pPr>
      <w:r>
        <w:t xml:space="preserve">Every account has exactly one role. The role decides which screens appear and what can be changed. The three research-assistant roles for QA, KII and documents are deliberately separate: someone who needs to work across them should be given the Field Coordinator role, not a second account.</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071"/>
        <w:gridCol w:w="5271"/>
        <w:gridCol w:w="2070"/>
      </w:tblGrid>
      <w:tr>
        <w:trPr>
          <w:tblHeader/>
        </w:trPr>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Role</w:t>
            </w:r>
          </w:p>
        </w:tc>
        <w:tc>
          <w:tcPr>
            <w:tcW w:type="dxa" w:w="5271"/>
            <w:shd w:fill="1B3350" w:color="auto" w:val="clear"/>
            <w:tcMar>
              <w:top w:type="dxa" w:w="70"/>
              <w:left w:type="dxa" w:w="110"/>
              <w:bottom w:type="dxa" w:w="70"/>
              <w:right w:type="dxa" w:w="110"/>
            </w:tcMar>
            <w:vAlign w:val="top"/>
          </w:tcPr>
          <w:p>
            <w:pPr>
              <w:spacing w:after="40"/>
            </w:pPr>
            <w:r>
              <w:rPr>
                <w:b/>
                <w:bCs/>
                <w:color w:val="FFFFFF"/>
                <w:sz w:val="19"/>
                <w:szCs w:val="19"/>
              </w:rPr>
              <w:t xml:space="preserve">Screens</w:t>
            </w:r>
          </w:p>
        </w:tc>
        <w:tc>
          <w:tcPr>
            <w:tcW w:type="dxa" w:w="2070"/>
            <w:shd w:fill="1B3350" w:color="auto" w:val="clear"/>
            <w:tcMar>
              <w:top w:type="dxa" w:w="70"/>
              <w:left w:type="dxa" w:w="110"/>
              <w:bottom w:type="dxa" w:w="70"/>
              <w:right w:type="dxa" w:w="110"/>
            </w:tcMar>
            <w:vAlign w:val="top"/>
          </w:tcPr>
          <w:p>
            <w:pPr>
              <w:spacing w:after="40"/>
            </w:pPr>
            <w:r>
              <w:rPr>
                <w:b/>
                <w:bCs/>
                <w:color w:val="FFFFFF"/>
                <w:sz w:val="19"/>
                <w:szCs w:val="19"/>
              </w:rPr>
              <w:t xml:space="preserve">Starts on</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PI / System Admin</w:t>
            </w:r>
          </w:p>
        </w:tc>
        <w:tc>
          <w:tcPr>
            <w:tcW w:type="dxa" w:w="5271"/>
            <w:tcMar>
              <w:top w:type="dxa" w:w="70"/>
              <w:left w:type="dxa" w:w="110"/>
              <w:bottom w:type="dxa" w:w="70"/>
              <w:right w:type="dxa" w:w="110"/>
            </w:tcMar>
            <w:vAlign w:val="top"/>
          </w:tcPr>
          <w:p>
            <w:pPr>
              <w:spacing w:after="40"/>
            </w:pPr>
            <w:r>
              <w:rPr>
                <w:b w:val="false"/>
                <w:bCs w:val="false"/>
                <w:sz w:val="19"/>
                <w:szCs w:val="19"/>
              </w:rPr>
              <w:t xml:space="preserve">All 21 screens, including the Audit Log, Research Clearance and every export</w:t>
            </w:r>
          </w:p>
        </w:tc>
        <w:tc>
          <w:tcPr>
            <w:tcW w:type="dxa" w:w="2070"/>
            <w:tcMar>
              <w:top w:type="dxa" w:w="70"/>
              <w:left w:type="dxa" w:w="110"/>
              <w:bottom w:type="dxa" w:w="70"/>
              <w:right w:type="dxa" w:w="110"/>
            </w:tcMar>
            <w:vAlign w:val="top"/>
          </w:tcPr>
          <w:p>
            <w:pPr>
              <w:spacing w:after="40"/>
            </w:pPr>
            <w:r>
              <w:rPr>
                <w:b w:val="false"/>
                <w:bCs w:val="false"/>
                <w:sz w:val="19"/>
                <w:szCs w:val="19"/>
              </w:rPr>
              <w:t xml:space="preserve">Executive Dashboard</w:t>
            </w:r>
          </w:p>
        </w:tc>
      </w:tr>
      <w:tr>
        <w:trPr>
          <w:cantSplit/>
        </w:trPr>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Field / Digital Coordinator</w:t>
            </w:r>
          </w:p>
        </w:tc>
        <w:tc>
          <w:tcPr>
            <w:tcW w:type="dxa" w:w="5271"/>
            <w:shd w:fill="F8FAFB" w:color="auto" w:val="clear"/>
            <w:tcMar>
              <w:top w:type="dxa" w:w="70"/>
              <w:left w:type="dxa" w:w="110"/>
              <w:bottom w:type="dxa" w:w="70"/>
              <w:right w:type="dxa" w:w="110"/>
            </w:tcMar>
            <w:vAlign w:val="top"/>
          </w:tcPr>
          <w:p>
            <w:pPr>
              <w:spacing w:after="40"/>
            </w:pPr>
            <w:r>
              <w:rPr>
                <w:b w:val="false"/>
                <w:bCs w:val="false"/>
                <w:sz w:val="19"/>
                <w:szCs w:val="19"/>
              </w:rPr>
              <w:t xml:space="preserve">19 screens — everything except the Audit Log and Research Clearance. No full operational export and no KoboToolbox data download</w:t>
            </w:r>
          </w:p>
        </w:tc>
        <w:tc>
          <w:tcPr>
            <w:tcW w:type="dxa" w:w="2070"/>
            <w:shd w:fill="F8FAFB" w:color="auto" w:val="clear"/>
            <w:tcMar>
              <w:top w:type="dxa" w:w="70"/>
              <w:left w:type="dxa" w:w="110"/>
              <w:bottom w:type="dxa" w:w="70"/>
              <w:right w:type="dxa" w:w="110"/>
            </w:tcMar>
            <w:vAlign w:val="top"/>
          </w:tcPr>
          <w:p>
            <w:pPr>
              <w:spacing w:after="40"/>
            </w:pPr>
            <w:r>
              <w:rPr>
                <w:b w:val="false"/>
                <w:bCs w:val="false"/>
                <w:sz w:val="19"/>
                <w:szCs w:val="19"/>
              </w:rPr>
              <w:t xml:space="preserve">Executive Dashboard</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Contact RA</w:t>
            </w:r>
          </w:p>
        </w:tc>
        <w:tc>
          <w:tcPr>
            <w:tcW w:type="dxa" w:w="5271"/>
            <w:tcMar>
              <w:top w:type="dxa" w:w="70"/>
              <w:left w:type="dxa" w:w="110"/>
              <w:bottom w:type="dxa" w:w="70"/>
              <w:right w:type="dxa" w:w="110"/>
            </w:tcMar>
            <w:vAlign w:val="top"/>
          </w:tcPr>
          <w:p>
            <w:pPr>
              <w:spacing w:after="40"/>
            </w:pPr>
            <w:r>
              <w:rPr>
                <w:b w:val="false"/>
                <w:bCs w:val="false"/>
                <w:sz w:val="19"/>
                <w:szCs w:val="19"/>
              </w:rPr>
              <w:t xml:space="preserve">Main-400 Register, Appointments, Follow-ups, Communications — only the cases assigned to you</w:t>
            </w:r>
          </w:p>
        </w:tc>
        <w:tc>
          <w:tcPr>
            <w:tcW w:type="dxa" w:w="2070"/>
            <w:tcMar>
              <w:top w:type="dxa" w:w="70"/>
              <w:left w:type="dxa" w:w="110"/>
              <w:bottom w:type="dxa" w:w="70"/>
              <w:right w:type="dxa" w:w="110"/>
            </w:tcMar>
            <w:vAlign w:val="top"/>
          </w:tcPr>
          <w:p>
            <w:pPr>
              <w:spacing w:after="40"/>
            </w:pPr>
            <w:r>
              <w:rPr>
                <w:b w:val="false"/>
                <w:bCs w:val="false"/>
                <w:sz w:val="19"/>
                <w:szCs w:val="19"/>
              </w:rPr>
              <w:t xml:space="preserve">Main-400 Register</w:t>
            </w:r>
          </w:p>
        </w:tc>
      </w:tr>
      <w:tr>
        <w:trPr>
          <w:cantSplit/>
        </w:trPr>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QUAN/Kobo QA RA</w:t>
            </w:r>
          </w:p>
        </w:tc>
        <w:tc>
          <w:tcPr>
            <w:tcW w:type="dxa" w:w="5271"/>
            <w:shd w:fill="F8FAFB" w:color="auto" w:val="clear"/>
            <w:tcMar>
              <w:top w:type="dxa" w:w="70"/>
              <w:left w:type="dxa" w:w="110"/>
              <w:bottom w:type="dxa" w:w="70"/>
              <w:right w:type="dxa" w:w="110"/>
            </w:tcMar>
            <w:vAlign w:val="top"/>
          </w:tcPr>
          <w:p>
            <w:pPr>
              <w:spacing w:after="40"/>
            </w:pPr>
            <w:r>
              <w:rPr>
                <w:b w:val="false"/>
                <w:bCs w:val="false"/>
                <w:sz w:val="19"/>
                <w:szCs w:val="19"/>
              </w:rPr>
              <w:t xml:space="preserve">QA Dashboard, Form PDFs (questionnaire), QA Queue, QA Exceptions</w:t>
            </w:r>
          </w:p>
        </w:tc>
        <w:tc>
          <w:tcPr>
            <w:tcW w:type="dxa" w:w="2070"/>
            <w:shd w:fill="F8FAFB" w:color="auto" w:val="clear"/>
            <w:tcMar>
              <w:top w:type="dxa" w:w="70"/>
              <w:left w:type="dxa" w:w="110"/>
              <w:bottom w:type="dxa" w:w="70"/>
              <w:right w:type="dxa" w:w="110"/>
            </w:tcMar>
            <w:vAlign w:val="top"/>
          </w:tcPr>
          <w:p>
            <w:pPr>
              <w:spacing w:after="40"/>
            </w:pPr>
            <w:r>
              <w:rPr>
                <w:b w:val="false"/>
                <w:bCs w:val="false"/>
                <w:sz w:val="19"/>
                <w:szCs w:val="19"/>
              </w:rPr>
              <w:t xml:space="preserve">QA Dashboard</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KII RA</w:t>
            </w:r>
          </w:p>
        </w:tc>
        <w:tc>
          <w:tcPr>
            <w:tcW w:type="dxa" w:w="5271"/>
            <w:tcMar>
              <w:top w:type="dxa" w:w="70"/>
              <w:left w:type="dxa" w:w="110"/>
              <w:bottom w:type="dxa" w:w="70"/>
              <w:right w:type="dxa" w:w="110"/>
            </w:tcMar>
            <w:vAlign w:val="top"/>
          </w:tcPr>
          <w:p>
            <w:pPr>
              <w:spacing w:after="40"/>
            </w:pPr>
            <w:r>
              <w:rPr>
                <w:b w:val="false"/>
                <w:bCs w:val="false"/>
                <w:sz w:val="19"/>
                <w:szCs w:val="19"/>
              </w:rPr>
              <w:t xml:space="preserve">KII/Doc Dashboard, Form PDFs (KII Guide), KII Register, Communications (KII records)</w:t>
            </w:r>
          </w:p>
        </w:tc>
        <w:tc>
          <w:tcPr>
            <w:tcW w:type="dxa" w:w="2070"/>
            <w:tcMar>
              <w:top w:type="dxa" w:w="70"/>
              <w:left w:type="dxa" w:w="110"/>
              <w:bottom w:type="dxa" w:w="70"/>
              <w:right w:type="dxa" w:w="110"/>
            </w:tcMar>
            <w:vAlign w:val="top"/>
          </w:tcPr>
          <w:p>
            <w:pPr>
              <w:spacing w:after="40"/>
            </w:pPr>
            <w:r>
              <w:rPr>
                <w:b w:val="false"/>
                <w:bCs w:val="false"/>
                <w:sz w:val="19"/>
                <w:szCs w:val="19"/>
              </w:rPr>
              <w:t xml:space="preserve">KII/Doc Dashboard</w:t>
            </w:r>
          </w:p>
        </w:tc>
      </w:tr>
      <w:tr>
        <w:trPr>
          <w:cantSplit/>
        </w:trPr>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Documentary RA</w:t>
            </w:r>
          </w:p>
        </w:tc>
        <w:tc>
          <w:tcPr>
            <w:tcW w:type="dxa" w:w="5271"/>
            <w:shd w:fill="F8FAFB" w:color="auto" w:val="clear"/>
            <w:tcMar>
              <w:top w:type="dxa" w:w="70"/>
              <w:left w:type="dxa" w:w="110"/>
              <w:bottom w:type="dxa" w:w="70"/>
              <w:right w:type="dxa" w:w="110"/>
            </w:tcMar>
            <w:vAlign w:val="top"/>
          </w:tcPr>
          <w:p>
            <w:pPr>
              <w:spacing w:after="40"/>
            </w:pPr>
            <w:r>
              <w:rPr>
                <w:b w:val="false"/>
                <w:bCs w:val="false"/>
                <w:sz w:val="19"/>
                <w:szCs w:val="19"/>
              </w:rPr>
              <w:t xml:space="preserve">KII/Doc Dashboard, Form PDFs (Document Analysis Tool), Documents</w:t>
            </w:r>
          </w:p>
        </w:tc>
        <w:tc>
          <w:tcPr>
            <w:tcW w:type="dxa" w:w="2070"/>
            <w:shd w:fill="F8FAFB" w:color="auto" w:val="clear"/>
            <w:tcMar>
              <w:top w:type="dxa" w:w="70"/>
              <w:left w:type="dxa" w:w="110"/>
              <w:bottom w:type="dxa" w:w="70"/>
              <w:right w:type="dxa" w:w="110"/>
            </w:tcMar>
            <w:vAlign w:val="top"/>
          </w:tcPr>
          <w:p>
            <w:pPr>
              <w:spacing w:after="40"/>
            </w:pPr>
            <w:r>
              <w:rPr>
                <w:b w:val="false"/>
                <w:bCs w:val="false"/>
                <w:sz w:val="19"/>
                <w:szCs w:val="19"/>
              </w:rPr>
              <w:t xml:space="preserve">KII/Doc Dashboard</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Data Analyst</w:t>
            </w:r>
          </w:p>
        </w:tc>
        <w:tc>
          <w:tcPr>
            <w:tcW w:type="dxa" w:w="5271"/>
            <w:tcMar>
              <w:top w:type="dxa" w:w="70"/>
              <w:left w:type="dxa" w:w="110"/>
              <w:bottom w:type="dxa" w:w="70"/>
              <w:right w:type="dxa" w:w="110"/>
            </w:tcMar>
            <w:vAlign w:val="top"/>
          </w:tcPr>
          <w:p>
            <w:pPr>
              <w:spacing w:after="40"/>
            </w:pPr>
            <w:r>
              <w:rPr>
                <w:b w:val="false"/>
                <w:bCs w:val="false"/>
                <w:sz w:val="19"/>
                <w:szCs w:val="19"/>
              </w:rPr>
              <w:t xml:space="preserve">Executive, Sampling, Reports, Contact and KII/Doc dashboards, Cost, Export (de-identified only). Read-only</w:t>
            </w:r>
          </w:p>
        </w:tc>
        <w:tc>
          <w:tcPr>
            <w:tcW w:type="dxa" w:w="2070"/>
            <w:tcMar>
              <w:top w:type="dxa" w:w="70"/>
              <w:left w:type="dxa" w:w="110"/>
              <w:bottom w:type="dxa" w:w="70"/>
              <w:right w:type="dxa" w:w="110"/>
            </w:tcMar>
            <w:vAlign w:val="top"/>
          </w:tcPr>
          <w:p>
            <w:pPr>
              <w:spacing w:after="40"/>
            </w:pPr>
            <w:r>
              <w:rPr>
                <w:b w:val="false"/>
                <w:bCs w:val="false"/>
                <w:sz w:val="19"/>
                <w:szCs w:val="19"/>
              </w:rPr>
              <w:t xml:space="preserve">Executive Dashboard</w:t>
            </w:r>
          </w:p>
        </w:tc>
      </w:tr>
      <w:tr>
        <w:trPr>
          <w:cantSplit/>
        </w:trPr>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Supervisor (read-only)</w:t>
            </w:r>
          </w:p>
        </w:tc>
        <w:tc>
          <w:tcPr>
            <w:tcW w:type="dxa" w:w="5271"/>
            <w:shd w:fill="F8FAFB" w:color="auto" w:val="clear"/>
            <w:tcMar>
              <w:top w:type="dxa" w:w="70"/>
              <w:left w:type="dxa" w:w="110"/>
              <w:bottom w:type="dxa" w:w="70"/>
              <w:right w:type="dxa" w:w="110"/>
            </w:tcMar>
            <w:vAlign w:val="top"/>
          </w:tcPr>
          <w:p>
            <w:pPr>
              <w:spacing w:after="40"/>
            </w:pPr>
            <w:r>
              <w:rPr>
                <w:b w:val="false"/>
                <w:bCs w:val="false"/>
                <w:sz w:val="19"/>
                <w:szCs w:val="19"/>
              </w:rPr>
              <w:t xml:space="preserve">18 screens — everything except the Audit Log, Export and Research Clearance. Read-only</w:t>
            </w:r>
          </w:p>
        </w:tc>
        <w:tc>
          <w:tcPr>
            <w:tcW w:type="dxa" w:w="2070"/>
            <w:shd w:fill="F8FAFB" w:color="auto" w:val="clear"/>
            <w:tcMar>
              <w:top w:type="dxa" w:w="70"/>
              <w:left w:type="dxa" w:w="110"/>
              <w:bottom w:type="dxa" w:w="70"/>
              <w:right w:type="dxa" w:w="110"/>
            </w:tcMar>
            <w:vAlign w:val="top"/>
          </w:tcPr>
          <w:p>
            <w:pPr>
              <w:spacing w:after="40"/>
            </w:pPr>
            <w:r>
              <w:rPr>
                <w:b w:val="false"/>
                <w:bCs w:val="false"/>
                <w:sz w:val="19"/>
                <w:szCs w:val="19"/>
              </w:rPr>
              <w:t xml:space="preserve">Executive Dashboard</w:t>
            </w:r>
          </w:p>
        </w:tc>
      </w:tr>
    </w:tbl>
    <w:p>
      <w:pPr>
        <w:spacing w:after="120"/>
      </w:pPr>
    </w:p>
    <w:p>
      <w:pPr>
        <w:pStyle w:val="Heading2"/>
      </w:pPr>
      <w:r>
        <w:t xml:space="preserve">5.1 Who can do what</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259"/>
        <w:gridCol w:w="659"/>
        <w:gridCol w:w="659"/>
        <w:gridCol w:w="941"/>
        <w:gridCol w:w="1035"/>
        <w:gridCol w:w="941"/>
        <w:gridCol w:w="941"/>
        <w:gridCol w:w="941"/>
        <w:gridCol w:w="1036"/>
      </w:tblGrid>
      <w:tr>
        <w:trPr>
          <w:tblHeader/>
        </w:trPr>
        <w:tc>
          <w:tcPr>
            <w:tcW w:type="dxa" w:w="2259"/>
            <w:shd w:fill="1B3350" w:color="auto" w:val="clear"/>
            <w:tcMar>
              <w:top w:type="dxa" w:w="70"/>
              <w:left w:type="dxa" w:w="110"/>
              <w:bottom w:type="dxa" w:w="70"/>
              <w:right w:type="dxa" w:w="110"/>
            </w:tcMar>
            <w:vAlign w:val="top"/>
          </w:tcPr>
          <w:p>
            <w:pPr>
              <w:spacing w:after="40"/>
            </w:pPr>
            <w:r>
              <w:rPr>
                <w:b/>
                <w:bCs/>
                <w:color w:val="FFFFFF"/>
                <w:sz w:val="19"/>
                <w:szCs w:val="19"/>
              </w:rPr>
              <w:t xml:space="preserve">Action</w:t>
            </w:r>
          </w:p>
        </w:tc>
        <w:tc>
          <w:tcPr>
            <w:tcW w:type="dxa" w:w="659"/>
            <w:shd w:fill="1B3350" w:color="auto" w:val="clear"/>
            <w:tcMar>
              <w:top w:type="dxa" w:w="70"/>
              <w:left w:type="dxa" w:w="110"/>
              <w:bottom w:type="dxa" w:w="70"/>
              <w:right w:type="dxa" w:w="110"/>
            </w:tcMar>
            <w:vAlign w:val="top"/>
          </w:tcPr>
          <w:p>
            <w:pPr>
              <w:spacing w:after="40"/>
            </w:pPr>
            <w:r>
              <w:rPr>
                <w:b/>
                <w:bCs/>
                <w:color w:val="FFFFFF"/>
                <w:sz w:val="19"/>
                <w:szCs w:val="19"/>
              </w:rPr>
              <w:t xml:space="preserve">PI</w:t>
            </w:r>
          </w:p>
        </w:tc>
        <w:tc>
          <w:tcPr>
            <w:tcW w:type="dxa" w:w="659"/>
            <w:shd w:fill="1B3350" w:color="auto" w:val="clear"/>
            <w:tcMar>
              <w:top w:type="dxa" w:w="70"/>
              <w:left w:type="dxa" w:w="110"/>
              <w:bottom w:type="dxa" w:w="70"/>
              <w:right w:type="dxa" w:w="110"/>
            </w:tcMar>
            <w:vAlign w:val="top"/>
          </w:tcPr>
          <w:p>
            <w:pPr>
              <w:spacing w:after="40"/>
            </w:pPr>
            <w:r>
              <w:rPr>
                <w:b/>
                <w:bCs/>
                <w:color w:val="FFFFFF"/>
                <w:sz w:val="19"/>
                <w:szCs w:val="19"/>
              </w:rPr>
              <w:t xml:space="preserve">FC</w:t>
            </w:r>
          </w:p>
        </w:tc>
        <w:tc>
          <w:tcPr>
            <w:tcW w:type="dxa" w:w="941"/>
            <w:shd w:fill="1B3350" w:color="auto" w:val="clear"/>
            <w:tcMar>
              <w:top w:type="dxa" w:w="70"/>
              <w:left w:type="dxa" w:w="110"/>
              <w:bottom w:type="dxa" w:w="70"/>
              <w:right w:type="dxa" w:w="110"/>
            </w:tcMar>
            <w:vAlign w:val="top"/>
          </w:tcPr>
          <w:p>
            <w:pPr>
              <w:spacing w:after="40"/>
            </w:pPr>
            <w:r>
              <w:rPr>
                <w:b/>
                <w:bCs/>
                <w:color w:val="FFFFFF"/>
                <w:sz w:val="19"/>
                <w:szCs w:val="19"/>
              </w:rPr>
              <w:t xml:space="preserve">Contact RA</w:t>
            </w:r>
          </w:p>
        </w:tc>
        <w:tc>
          <w:tcPr>
            <w:tcW w:type="dxa" w:w="1035"/>
            <w:shd w:fill="1B3350" w:color="auto" w:val="clear"/>
            <w:tcMar>
              <w:top w:type="dxa" w:w="70"/>
              <w:left w:type="dxa" w:w="110"/>
              <w:bottom w:type="dxa" w:w="70"/>
              <w:right w:type="dxa" w:w="110"/>
            </w:tcMar>
            <w:vAlign w:val="top"/>
          </w:tcPr>
          <w:p>
            <w:pPr>
              <w:spacing w:after="40"/>
            </w:pPr>
            <w:r>
              <w:rPr>
                <w:b/>
                <w:bCs/>
                <w:color w:val="FFFFFF"/>
                <w:sz w:val="19"/>
                <w:szCs w:val="19"/>
              </w:rPr>
              <w:t xml:space="preserve">QA RA</w:t>
            </w:r>
          </w:p>
        </w:tc>
        <w:tc>
          <w:tcPr>
            <w:tcW w:type="dxa" w:w="941"/>
            <w:shd w:fill="1B3350" w:color="auto" w:val="clear"/>
            <w:tcMar>
              <w:top w:type="dxa" w:w="70"/>
              <w:left w:type="dxa" w:w="110"/>
              <w:bottom w:type="dxa" w:w="70"/>
              <w:right w:type="dxa" w:w="110"/>
            </w:tcMar>
            <w:vAlign w:val="top"/>
          </w:tcPr>
          <w:p>
            <w:pPr>
              <w:spacing w:after="40"/>
            </w:pPr>
            <w:r>
              <w:rPr>
                <w:b/>
                <w:bCs/>
                <w:color w:val="FFFFFF"/>
                <w:sz w:val="19"/>
                <w:szCs w:val="19"/>
              </w:rPr>
              <w:t xml:space="preserve">KII RA</w:t>
            </w:r>
          </w:p>
        </w:tc>
        <w:tc>
          <w:tcPr>
            <w:tcW w:type="dxa" w:w="941"/>
            <w:shd w:fill="1B3350" w:color="auto" w:val="clear"/>
            <w:tcMar>
              <w:top w:type="dxa" w:w="70"/>
              <w:left w:type="dxa" w:w="110"/>
              <w:bottom w:type="dxa" w:w="70"/>
              <w:right w:type="dxa" w:w="110"/>
            </w:tcMar>
            <w:vAlign w:val="top"/>
          </w:tcPr>
          <w:p>
            <w:pPr>
              <w:spacing w:after="40"/>
            </w:pPr>
            <w:r>
              <w:rPr>
                <w:b/>
                <w:bCs/>
                <w:color w:val="FFFFFF"/>
                <w:sz w:val="19"/>
                <w:szCs w:val="19"/>
              </w:rPr>
              <w:t xml:space="preserve">Doc RA</w:t>
            </w:r>
          </w:p>
        </w:tc>
        <w:tc>
          <w:tcPr>
            <w:tcW w:type="dxa" w:w="941"/>
            <w:shd w:fill="1B3350" w:color="auto" w:val="clear"/>
            <w:tcMar>
              <w:top w:type="dxa" w:w="70"/>
              <w:left w:type="dxa" w:w="110"/>
              <w:bottom w:type="dxa" w:w="70"/>
              <w:right w:type="dxa" w:w="110"/>
            </w:tcMar>
            <w:vAlign w:val="top"/>
          </w:tcPr>
          <w:p>
            <w:pPr>
              <w:spacing w:after="40"/>
            </w:pPr>
            <w:r>
              <w:rPr>
                <w:b/>
                <w:bCs/>
                <w:color w:val="FFFFFF"/>
                <w:sz w:val="19"/>
                <w:szCs w:val="19"/>
              </w:rPr>
              <w:t xml:space="preserve">Analyst</w:t>
            </w:r>
          </w:p>
        </w:tc>
        <w:tc>
          <w:tcPr>
            <w:tcW w:type="dxa" w:w="1036"/>
            <w:shd w:fill="1B3350" w:color="auto" w:val="clear"/>
            <w:tcMar>
              <w:top w:type="dxa" w:w="70"/>
              <w:left w:type="dxa" w:w="110"/>
              <w:bottom w:type="dxa" w:w="70"/>
              <w:right w:type="dxa" w:w="110"/>
            </w:tcMar>
            <w:vAlign w:val="top"/>
          </w:tcPr>
          <w:p>
            <w:pPr>
              <w:spacing w:after="40"/>
            </w:pPr>
            <w:r>
              <w:rPr>
                <w:b/>
                <w:bCs/>
                <w:color w:val="FFFFFF"/>
                <w:sz w:val="19"/>
                <w:szCs w:val="19"/>
              </w:rPr>
              <w:t xml:space="preserve">Supervisor</w:t>
            </w:r>
          </w:p>
        </w:tc>
      </w:tr>
      <w:tr>
        <w:trPr>
          <w:cantSplit/>
        </w:trPr>
        <w:tc>
          <w:tcPr>
            <w:tcW w:type="dxa" w:w="2259"/>
            <w:tcMar>
              <w:top w:type="dxa" w:w="70"/>
              <w:left w:type="dxa" w:w="110"/>
              <w:bottom w:type="dxa" w:w="70"/>
              <w:right w:type="dxa" w:w="110"/>
            </w:tcMar>
            <w:vAlign w:val="top"/>
          </w:tcPr>
          <w:p>
            <w:pPr>
              <w:spacing w:after="40"/>
            </w:pPr>
            <w:r>
              <w:rPr>
                <w:b w:val="false"/>
                <w:bCs w:val="false"/>
                <w:sz w:val="19"/>
                <w:szCs w:val="19"/>
              </w:rPr>
              <w:t xml:space="preserve">View dashboards &amp; Reports</w:t>
            </w:r>
          </w:p>
        </w:tc>
        <w:tc>
          <w:tcPr>
            <w:tcW w:type="dxa" w:w="659"/>
            <w:tcMar>
              <w:top w:type="dxa" w:w="70"/>
              <w:left w:type="dxa" w:w="110"/>
              <w:bottom w:type="dxa" w:w="70"/>
              <w:right w:type="dxa" w:w="110"/>
            </w:tcMar>
            <w:vAlign w:val="top"/>
          </w:tcPr>
          <w:p>
            <w:pPr>
              <w:spacing w:after="40"/>
            </w:pPr>
            <w:r>
              <w:rPr>
                <w:b w:val="false"/>
                <w:bCs w:val="false"/>
                <w:sz w:val="19"/>
                <w:szCs w:val="19"/>
              </w:rPr>
              <w:t xml:space="preserve">✓</w:t>
            </w:r>
          </w:p>
        </w:tc>
        <w:tc>
          <w:tcPr>
            <w:tcW w:type="dxa" w:w="659"/>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1035"/>
            <w:tcMar>
              <w:top w:type="dxa" w:w="70"/>
              <w:left w:type="dxa" w:w="110"/>
              <w:bottom w:type="dxa" w:w="70"/>
              <w:right w:type="dxa" w:w="110"/>
            </w:tcMar>
            <w:vAlign w:val="top"/>
          </w:tcPr>
          <w:p>
            <w:pPr>
              <w:spacing w:after="40"/>
            </w:pPr>
            <w:r>
              <w:rPr>
                <w:b w:val="false"/>
                <w:bCs w:val="false"/>
                <w:sz w:val="19"/>
                <w:szCs w:val="19"/>
              </w:rPr>
              <w:t xml:space="preserve">QA only</w:t>
            </w:r>
          </w:p>
        </w:tc>
        <w:tc>
          <w:tcPr>
            <w:tcW w:type="dxa" w:w="941"/>
            <w:tcMar>
              <w:top w:type="dxa" w:w="70"/>
              <w:left w:type="dxa" w:w="110"/>
              <w:bottom w:type="dxa" w:w="70"/>
              <w:right w:type="dxa" w:w="110"/>
            </w:tcMar>
            <w:vAlign w:val="top"/>
          </w:tcPr>
          <w:p>
            <w:pPr>
              <w:spacing w:after="40"/>
            </w:pPr>
            <w:r>
              <w:rPr>
                <w:b w:val="false"/>
                <w:bCs w:val="false"/>
                <w:sz w:val="19"/>
                <w:szCs w:val="19"/>
              </w:rPr>
              <w:t xml:space="preserve">KII/Doc</w:t>
            </w:r>
          </w:p>
        </w:tc>
        <w:tc>
          <w:tcPr>
            <w:tcW w:type="dxa" w:w="941"/>
            <w:tcMar>
              <w:top w:type="dxa" w:w="70"/>
              <w:left w:type="dxa" w:w="110"/>
              <w:bottom w:type="dxa" w:w="70"/>
              <w:right w:type="dxa" w:w="110"/>
            </w:tcMar>
            <w:vAlign w:val="top"/>
          </w:tcPr>
          <w:p>
            <w:pPr>
              <w:spacing w:after="40"/>
            </w:pPr>
            <w:r>
              <w:rPr>
                <w:b w:val="false"/>
                <w:bCs w:val="false"/>
                <w:sz w:val="19"/>
                <w:szCs w:val="19"/>
              </w:rPr>
              <w:t xml:space="preserve">KII/Doc</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1036"/>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2259"/>
            <w:shd w:fill="F8FAFB" w:color="auto" w:val="clear"/>
            <w:tcMar>
              <w:top w:type="dxa" w:w="70"/>
              <w:left w:type="dxa" w:w="110"/>
              <w:bottom w:type="dxa" w:w="70"/>
              <w:right w:type="dxa" w:w="110"/>
            </w:tcMar>
            <w:vAlign w:val="top"/>
          </w:tcPr>
          <w:p>
            <w:pPr>
              <w:spacing w:after="40"/>
            </w:pPr>
            <w:r>
              <w:rPr>
                <w:b w:val="false"/>
                <w:bCs w:val="false"/>
                <w:sz w:val="19"/>
                <w:szCs w:val="19"/>
              </w:rPr>
              <w:t xml:space="preserve">Register organisations, pair Reserves, assign RAs</w:t>
            </w:r>
          </w:p>
        </w:tc>
        <w:tc>
          <w:tcPr>
            <w:tcW w:type="dxa" w:w="659"/>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659"/>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035"/>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036"/>
            <w:shd w:fill="F8FAFB" w:color="auto" w:val="clear"/>
            <w:tcMar>
              <w:top w:type="dxa" w:w="70"/>
              <w:left w:type="dxa" w:w="110"/>
              <w:bottom w:type="dxa" w:w="70"/>
              <w:right w:type="dxa" w:w="110"/>
            </w:tcMar>
            <w:vAlign w:val="top"/>
          </w:tcPr>
          <w:p>
            <w:pPr>
              <w:spacing w:after="40"/>
            </w:pPr>
            <w:r>
              <w:rPr>
                <w:b w:val="false"/>
                <w:bCs w:val="false"/>
                <w:sz w:val="19"/>
                <w:szCs w:val="19"/>
              </w:rPr>
              <w:t xml:space="preserve">view</w:t>
            </w:r>
          </w:p>
        </w:tc>
      </w:tr>
      <w:tr>
        <w:trPr>
          <w:cantSplit/>
        </w:trPr>
        <w:tc>
          <w:tcPr>
            <w:tcW w:type="dxa" w:w="2259"/>
            <w:tcMar>
              <w:top w:type="dxa" w:w="70"/>
              <w:left w:type="dxa" w:w="110"/>
              <w:bottom w:type="dxa" w:w="70"/>
              <w:right w:type="dxa" w:w="110"/>
            </w:tcMar>
            <w:vAlign w:val="top"/>
          </w:tcPr>
          <w:p>
            <w:pPr>
              <w:spacing w:after="40"/>
            </w:pPr>
            <w:r>
              <w:rPr>
                <w:b w:val="false"/>
                <w:bCs w:val="false"/>
                <w:sz w:val="19"/>
                <w:szCs w:val="19"/>
              </w:rPr>
              <w:t xml:space="preserve">Bulk verification</w:t>
            </w:r>
          </w:p>
        </w:tc>
        <w:tc>
          <w:tcPr>
            <w:tcW w:type="dxa" w:w="659"/>
            <w:tcMar>
              <w:top w:type="dxa" w:w="70"/>
              <w:left w:type="dxa" w:w="110"/>
              <w:bottom w:type="dxa" w:w="70"/>
              <w:right w:type="dxa" w:w="110"/>
            </w:tcMar>
            <w:vAlign w:val="top"/>
          </w:tcPr>
          <w:p>
            <w:pPr>
              <w:spacing w:after="40"/>
            </w:pPr>
            <w:r>
              <w:rPr>
                <w:b w:val="false"/>
                <w:bCs w:val="false"/>
                <w:sz w:val="19"/>
                <w:szCs w:val="19"/>
              </w:rPr>
              <w:t xml:space="preserve">✓</w:t>
            </w:r>
          </w:p>
        </w:tc>
        <w:tc>
          <w:tcPr>
            <w:tcW w:type="dxa" w:w="659"/>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1035"/>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1036"/>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2259"/>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 respondents, invite, log contact</w:t>
            </w:r>
          </w:p>
        </w:tc>
        <w:tc>
          <w:tcPr>
            <w:tcW w:type="dxa" w:w="659"/>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659"/>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own cases</w:t>
            </w:r>
          </w:p>
        </w:tc>
        <w:tc>
          <w:tcPr>
            <w:tcW w:type="dxa" w:w="1035"/>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036"/>
            <w:shd w:fill="F8FAFB" w:color="auto" w:val="clear"/>
            <w:tcMar>
              <w:top w:type="dxa" w:w="70"/>
              <w:left w:type="dxa" w:w="110"/>
              <w:bottom w:type="dxa" w:w="70"/>
              <w:right w:type="dxa" w:w="110"/>
            </w:tcMar>
            <w:vAlign w:val="top"/>
          </w:tcPr>
          <w:p>
            <w:pPr>
              <w:spacing w:after="40"/>
            </w:pPr>
            <w:r>
              <w:rPr>
                <w:b w:val="false"/>
                <w:bCs w:val="false"/>
                <w:sz w:val="19"/>
                <w:szCs w:val="19"/>
              </w:rPr>
              <w:t xml:space="preserve">view</w:t>
            </w:r>
          </w:p>
        </w:tc>
      </w:tr>
      <w:tr>
        <w:trPr>
          <w:cantSplit/>
        </w:trPr>
        <w:tc>
          <w:tcPr>
            <w:tcW w:type="dxa" w:w="2259"/>
            <w:tcMar>
              <w:top w:type="dxa" w:w="70"/>
              <w:left w:type="dxa" w:w="110"/>
              <w:bottom w:type="dxa" w:w="70"/>
              <w:right w:type="dxa" w:w="110"/>
            </w:tcMar>
            <w:vAlign w:val="top"/>
          </w:tcPr>
          <w:p>
            <w:pPr>
              <w:spacing w:after="40"/>
            </w:pPr>
            <w:r>
              <w:rPr>
                <w:b w:val="false"/>
                <w:bCs w:val="false"/>
                <w:sz w:val="19"/>
                <w:szCs w:val="19"/>
              </w:rPr>
              <w:t xml:space="preserve">Send follow-ups</w:t>
            </w:r>
          </w:p>
        </w:tc>
        <w:tc>
          <w:tcPr>
            <w:tcW w:type="dxa" w:w="659"/>
            <w:tcMar>
              <w:top w:type="dxa" w:w="70"/>
              <w:left w:type="dxa" w:w="110"/>
              <w:bottom w:type="dxa" w:w="70"/>
              <w:right w:type="dxa" w:w="110"/>
            </w:tcMar>
            <w:vAlign w:val="top"/>
          </w:tcPr>
          <w:p>
            <w:pPr>
              <w:spacing w:after="40"/>
            </w:pPr>
            <w:r>
              <w:rPr>
                <w:b w:val="false"/>
                <w:bCs w:val="false"/>
                <w:sz w:val="19"/>
                <w:szCs w:val="19"/>
              </w:rPr>
              <w:t xml:space="preserve">✓</w:t>
            </w:r>
          </w:p>
        </w:tc>
        <w:tc>
          <w:tcPr>
            <w:tcW w:type="dxa" w:w="659"/>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own cases</w:t>
            </w:r>
          </w:p>
        </w:tc>
        <w:tc>
          <w:tcPr>
            <w:tcW w:type="dxa" w:w="1035"/>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1036"/>
            <w:tcMar>
              <w:top w:type="dxa" w:w="70"/>
              <w:left w:type="dxa" w:w="110"/>
              <w:bottom w:type="dxa" w:w="70"/>
              <w:right w:type="dxa" w:w="110"/>
            </w:tcMar>
            <w:vAlign w:val="top"/>
          </w:tcPr>
          <w:p>
            <w:pPr>
              <w:spacing w:after="40"/>
            </w:pPr>
            <w:r>
              <w:rPr>
                <w:b w:val="false"/>
                <w:bCs w:val="false"/>
                <w:sz w:val="19"/>
                <w:szCs w:val="19"/>
              </w:rPr>
              <w:t xml:space="preserve">view</w:t>
            </w:r>
          </w:p>
        </w:tc>
      </w:tr>
      <w:tr>
        <w:trPr>
          <w:cantSplit/>
        </w:trPr>
        <w:tc>
          <w:tcPr>
            <w:tcW w:type="dxa" w:w="2259"/>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 withdrawal</w:t>
            </w:r>
          </w:p>
        </w:tc>
        <w:tc>
          <w:tcPr>
            <w:tcW w:type="dxa" w:w="659"/>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659"/>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035"/>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036"/>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2259"/>
            <w:tcMar>
              <w:top w:type="dxa" w:w="70"/>
              <w:left w:type="dxa" w:w="110"/>
              <w:bottom w:type="dxa" w:w="70"/>
              <w:right w:type="dxa" w:w="110"/>
            </w:tcMar>
            <w:vAlign w:val="top"/>
          </w:tcPr>
          <w:p>
            <w:pPr>
              <w:spacing w:after="40"/>
            </w:pPr>
            <w:r>
              <w:rPr>
                <w:b w:val="false"/>
                <w:bCs w:val="false"/>
                <w:sz w:val="19"/>
                <w:szCs w:val="19"/>
              </w:rPr>
              <w:t xml:space="preserve">Activate Reserves</w:t>
            </w:r>
          </w:p>
        </w:tc>
        <w:tc>
          <w:tcPr>
            <w:tcW w:type="dxa" w:w="659"/>
            <w:tcMar>
              <w:top w:type="dxa" w:w="70"/>
              <w:left w:type="dxa" w:w="110"/>
              <w:bottom w:type="dxa" w:w="70"/>
              <w:right w:type="dxa" w:w="110"/>
            </w:tcMar>
            <w:vAlign w:val="top"/>
          </w:tcPr>
          <w:p>
            <w:pPr>
              <w:spacing w:after="40"/>
            </w:pPr>
            <w:r>
              <w:rPr>
                <w:b w:val="false"/>
                <w:bCs w:val="false"/>
                <w:sz w:val="19"/>
                <w:szCs w:val="19"/>
              </w:rPr>
              <w:t xml:space="preserve">✓</w:t>
            </w:r>
          </w:p>
        </w:tc>
        <w:tc>
          <w:tcPr>
            <w:tcW w:type="dxa" w:w="659"/>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1035"/>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1036"/>
            <w:tcMar>
              <w:top w:type="dxa" w:w="70"/>
              <w:left w:type="dxa" w:w="110"/>
              <w:bottom w:type="dxa" w:w="70"/>
              <w:right w:type="dxa" w:w="110"/>
            </w:tcMar>
            <w:vAlign w:val="top"/>
          </w:tcPr>
          <w:p>
            <w:pPr>
              <w:spacing w:after="40"/>
            </w:pPr>
            <w:r>
              <w:rPr>
                <w:b w:val="false"/>
                <w:bCs w:val="false"/>
                <w:sz w:val="19"/>
                <w:szCs w:val="19"/>
              </w:rPr>
              <w:t xml:space="preserve">view</w:t>
            </w:r>
          </w:p>
        </w:tc>
      </w:tr>
      <w:tr>
        <w:trPr>
          <w:cantSplit/>
        </w:trPr>
        <w:tc>
          <w:tcPr>
            <w:tcW w:type="dxa" w:w="2259"/>
            <w:shd w:fill="F8FAFB" w:color="auto" w:val="clear"/>
            <w:tcMar>
              <w:top w:type="dxa" w:w="70"/>
              <w:left w:type="dxa" w:w="110"/>
              <w:bottom w:type="dxa" w:w="70"/>
              <w:right w:type="dxa" w:w="110"/>
            </w:tcMar>
            <w:vAlign w:val="top"/>
          </w:tcPr>
          <w:p>
            <w:pPr>
              <w:spacing w:after="40"/>
            </w:pPr>
            <w:r>
              <w:rPr>
                <w:b w:val="false"/>
                <w:bCs w:val="false"/>
                <w:sz w:val="19"/>
                <w:szCs w:val="19"/>
              </w:rPr>
              <w:t xml:space="preserve">QA decisions &amp; exceptions</w:t>
            </w:r>
          </w:p>
        </w:tc>
        <w:tc>
          <w:tcPr>
            <w:tcW w:type="dxa" w:w="659"/>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659"/>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035"/>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036"/>
            <w:shd w:fill="F8FAFB" w:color="auto" w:val="clear"/>
            <w:tcMar>
              <w:top w:type="dxa" w:w="70"/>
              <w:left w:type="dxa" w:w="110"/>
              <w:bottom w:type="dxa" w:w="70"/>
              <w:right w:type="dxa" w:w="110"/>
            </w:tcMar>
            <w:vAlign w:val="top"/>
          </w:tcPr>
          <w:p>
            <w:pPr>
              <w:spacing w:after="40"/>
            </w:pPr>
            <w:r>
              <w:rPr>
                <w:b w:val="false"/>
                <w:bCs w:val="false"/>
                <w:sz w:val="19"/>
                <w:szCs w:val="19"/>
              </w:rPr>
              <w:t xml:space="preserve">view</w:t>
            </w:r>
          </w:p>
        </w:tc>
      </w:tr>
      <w:tr>
        <w:trPr>
          <w:cantSplit/>
        </w:trPr>
        <w:tc>
          <w:tcPr>
            <w:tcW w:type="dxa" w:w="2259"/>
            <w:tcMar>
              <w:top w:type="dxa" w:w="70"/>
              <w:left w:type="dxa" w:w="110"/>
              <w:bottom w:type="dxa" w:w="70"/>
              <w:right w:type="dxa" w:w="110"/>
            </w:tcMar>
            <w:vAlign w:val="top"/>
          </w:tcPr>
          <w:p>
            <w:pPr>
              <w:spacing w:after="40"/>
            </w:pPr>
            <w:r>
              <w:rPr>
                <w:b w:val="false"/>
                <w:bCs w:val="false"/>
                <w:sz w:val="19"/>
                <w:szCs w:val="19"/>
              </w:rPr>
              <w:t xml:space="preserve">KII records</w:t>
            </w:r>
          </w:p>
        </w:tc>
        <w:tc>
          <w:tcPr>
            <w:tcW w:type="dxa" w:w="659"/>
            <w:tcMar>
              <w:top w:type="dxa" w:w="70"/>
              <w:left w:type="dxa" w:w="110"/>
              <w:bottom w:type="dxa" w:w="70"/>
              <w:right w:type="dxa" w:w="110"/>
            </w:tcMar>
            <w:vAlign w:val="top"/>
          </w:tcPr>
          <w:p>
            <w:pPr>
              <w:spacing w:after="40"/>
            </w:pPr>
            <w:r>
              <w:rPr>
                <w:b w:val="false"/>
                <w:bCs w:val="false"/>
                <w:sz w:val="19"/>
                <w:szCs w:val="19"/>
              </w:rPr>
              <w:t xml:space="preserve">✓</w:t>
            </w:r>
          </w:p>
        </w:tc>
        <w:tc>
          <w:tcPr>
            <w:tcW w:type="dxa" w:w="659"/>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1035"/>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1036"/>
            <w:tcMar>
              <w:top w:type="dxa" w:w="70"/>
              <w:left w:type="dxa" w:w="110"/>
              <w:bottom w:type="dxa" w:w="70"/>
              <w:right w:type="dxa" w:w="110"/>
            </w:tcMar>
            <w:vAlign w:val="top"/>
          </w:tcPr>
          <w:p>
            <w:pPr>
              <w:spacing w:after="40"/>
            </w:pPr>
            <w:r>
              <w:rPr>
                <w:b w:val="false"/>
                <w:bCs w:val="false"/>
                <w:sz w:val="19"/>
                <w:szCs w:val="19"/>
              </w:rPr>
              <w:t xml:space="preserve">view</w:t>
            </w:r>
          </w:p>
        </w:tc>
      </w:tr>
      <w:tr>
        <w:trPr>
          <w:cantSplit/>
        </w:trPr>
        <w:tc>
          <w:tcPr>
            <w:tcW w:type="dxa" w:w="2259"/>
            <w:shd w:fill="F8FAFB" w:color="auto" w:val="clear"/>
            <w:tcMar>
              <w:top w:type="dxa" w:w="70"/>
              <w:left w:type="dxa" w:w="110"/>
              <w:bottom w:type="dxa" w:w="70"/>
              <w:right w:type="dxa" w:w="110"/>
            </w:tcMar>
            <w:vAlign w:val="top"/>
          </w:tcPr>
          <w:p>
            <w:pPr>
              <w:spacing w:after="40"/>
            </w:pPr>
            <w:r>
              <w:rPr>
                <w:b w:val="false"/>
                <w:bCs w:val="false"/>
                <w:sz w:val="19"/>
                <w:szCs w:val="19"/>
              </w:rPr>
              <w:t xml:space="preserve">Document records</w:t>
            </w:r>
          </w:p>
        </w:tc>
        <w:tc>
          <w:tcPr>
            <w:tcW w:type="dxa" w:w="659"/>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659"/>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035"/>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036"/>
            <w:shd w:fill="F8FAFB" w:color="auto" w:val="clear"/>
            <w:tcMar>
              <w:top w:type="dxa" w:w="70"/>
              <w:left w:type="dxa" w:w="110"/>
              <w:bottom w:type="dxa" w:w="70"/>
              <w:right w:type="dxa" w:w="110"/>
            </w:tcMar>
            <w:vAlign w:val="top"/>
          </w:tcPr>
          <w:p>
            <w:pPr>
              <w:spacing w:after="40"/>
            </w:pPr>
            <w:r>
              <w:rPr>
                <w:b w:val="false"/>
                <w:bCs w:val="false"/>
                <w:sz w:val="19"/>
                <w:szCs w:val="19"/>
              </w:rPr>
              <w:t xml:space="preserve">view</w:t>
            </w:r>
          </w:p>
        </w:tc>
      </w:tr>
      <w:tr>
        <w:trPr>
          <w:cantSplit/>
        </w:trPr>
        <w:tc>
          <w:tcPr>
            <w:tcW w:type="dxa" w:w="2259"/>
            <w:tcMar>
              <w:top w:type="dxa" w:w="70"/>
              <w:left w:type="dxa" w:w="110"/>
              <w:bottom w:type="dxa" w:w="70"/>
              <w:right w:type="dxa" w:w="110"/>
            </w:tcMar>
            <w:vAlign w:val="top"/>
          </w:tcPr>
          <w:p>
            <w:pPr>
              <w:spacing w:after="40"/>
            </w:pPr>
            <w:r>
              <w:rPr>
                <w:b w:val="false"/>
                <w:bCs w:val="false"/>
                <w:sz w:val="19"/>
                <w:szCs w:val="19"/>
              </w:rPr>
              <w:t xml:space="preserve">Form PDFs (own form)</w:t>
            </w:r>
          </w:p>
        </w:tc>
        <w:tc>
          <w:tcPr>
            <w:tcW w:type="dxa" w:w="659"/>
            <w:tcMar>
              <w:top w:type="dxa" w:w="70"/>
              <w:left w:type="dxa" w:w="110"/>
              <w:bottom w:type="dxa" w:w="70"/>
              <w:right w:type="dxa" w:w="110"/>
            </w:tcMar>
            <w:vAlign w:val="top"/>
          </w:tcPr>
          <w:p>
            <w:pPr>
              <w:spacing w:after="40"/>
            </w:pPr>
            <w:r>
              <w:rPr>
                <w:b w:val="false"/>
                <w:bCs w:val="false"/>
                <w:sz w:val="19"/>
                <w:szCs w:val="19"/>
              </w:rPr>
              <w:t xml:space="preserve">all</w:t>
            </w:r>
          </w:p>
        </w:tc>
        <w:tc>
          <w:tcPr>
            <w:tcW w:type="dxa" w:w="659"/>
            <w:tcMar>
              <w:top w:type="dxa" w:w="70"/>
              <w:left w:type="dxa" w:w="110"/>
              <w:bottom w:type="dxa" w:w="70"/>
              <w:right w:type="dxa" w:w="110"/>
            </w:tcMar>
            <w:vAlign w:val="top"/>
          </w:tcPr>
          <w:p>
            <w:pPr>
              <w:spacing w:after="40"/>
            </w:pPr>
            <w:r>
              <w:rPr>
                <w:b w:val="false"/>
                <w:bCs w:val="false"/>
                <w:sz w:val="19"/>
                <w:szCs w:val="19"/>
              </w:rPr>
              <w:t xml:space="preserve">all</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1035"/>
            <w:tcMar>
              <w:top w:type="dxa" w:w="70"/>
              <w:left w:type="dxa" w:w="110"/>
              <w:bottom w:type="dxa" w:w="70"/>
              <w:right w:type="dxa" w:w="110"/>
            </w:tcMar>
            <w:vAlign w:val="top"/>
          </w:tcPr>
          <w:p>
            <w:pPr>
              <w:spacing w:after="40"/>
            </w:pPr>
            <w:r>
              <w:rPr>
                <w:b w:val="false"/>
                <w:bCs w:val="false"/>
                <w:sz w:val="19"/>
                <w:szCs w:val="19"/>
              </w:rPr>
              <w:t xml:space="preserve">Questionnaire</w:t>
            </w:r>
          </w:p>
        </w:tc>
        <w:tc>
          <w:tcPr>
            <w:tcW w:type="dxa" w:w="941"/>
            <w:tcMar>
              <w:top w:type="dxa" w:w="70"/>
              <w:left w:type="dxa" w:w="110"/>
              <w:bottom w:type="dxa" w:w="70"/>
              <w:right w:type="dxa" w:w="110"/>
            </w:tcMar>
            <w:vAlign w:val="top"/>
          </w:tcPr>
          <w:p>
            <w:pPr>
              <w:spacing w:after="40"/>
            </w:pPr>
            <w:r>
              <w:rPr>
                <w:b w:val="false"/>
                <w:bCs w:val="false"/>
                <w:sz w:val="19"/>
                <w:szCs w:val="19"/>
              </w:rPr>
              <w:t xml:space="preserve">KII Guide</w:t>
            </w:r>
          </w:p>
        </w:tc>
        <w:tc>
          <w:tcPr>
            <w:tcW w:type="dxa" w:w="941"/>
            <w:tcMar>
              <w:top w:type="dxa" w:w="70"/>
              <w:left w:type="dxa" w:w="110"/>
              <w:bottom w:type="dxa" w:w="70"/>
              <w:right w:type="dxa" w:w="110"/>
            </w:tcMar>
            <w:vAlign w:val="top"/>
          </w:tcPr>
          <w:p>
            <w:pPr>
              <w:spacing w:after="40"/>
            </w:pPr>
            <w:r>
              <w:rPr>
                <w:b w:val="false"/>
                <w:bCs w:val="false"/>
                <w:sz w:val="19"/>
                <w:szCs w:val="19"/>
              </w:rPr>
              <w:t xml:space="preserve">Doc Tool</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1036"/>
            <w:tcMar>
              <w:top w:type="dxa" w:w="70"/>
              <w:left w:type="dxa" w:w="110"/>
              <w:bottom w:type="dxa" w:w="70"/>
              <w:right w:type="dxa" w:w="110"/>
            </w:tcMar>
            <w:vAlign w:val="top"/>
          </w:tcPr>
          <w:p>
            <w:pPr>
              <w:spacing w:after="40"/>
            </w:pPr>
            <w:r>
              <w:rPr>
                <w:b w:val="false"/>
                <w:bCs w:val="false"/>
                <w:sz w:val="19"/>
                <w:szCs w:val="19"/>
              </w:rPr>
              <w:t xml:space="preserve">view all</w:t>
            </w:r>
          </w:p>
        </w:tc>
      </w:tr>
      <w:tr>
        <w:trPr>
          <w:cantSplit/>
        </w:trPr>
        <w:tc>
          <w:tcPr>
            <w:tcW w:type="dxa" w:w="2259"/>
            <w:shd w:fill="F8FAFB" w:color="auto" w:val="clear"/>
            <w:tcMar>
              <w:top w:type="dxa" w:w="70"/>
              <w:left w:type="dxa" w:w="110"/>
              <w:bottom w:type="dxa" w:w="70"/>
              <w:right w:type="dxa" w:w="110"/>
            </w:tcMar>
            <w:vAlign w:val="top"/>
          </w:tcPr>
          <w:p>
            <w:pPr>
              <w:spacing w:after="40"/>
            </w:pPr>
            <w:r>
              <w:rPr>
                <w:b w:val="false"/>
                <w:bCs w:val="false"/>
                <w:sz w:val="19"/>
                <w:szCs w:val="19"/>
              </w:rPr>
              <w:t xml:space="preserve">Log costs</w:t>
            </w:r>
          </w:p>
        </w:tc>
        <w:tc>
          <w:tcPr>
            <w:tcW w:type="dxa" w:w="659"/>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659"/>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035"/>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view</w:t>
            </w:r>
          </w:p>
        </w:tc>
        <w:tc>
          <w:tcPr>
            <w:tcW w:type="dxa" w:w="1036"/>
            <w:shd w:fill="F8FAFB" w:color="auto" w:val="clear"/>
            <w:tcMar>
              <w:top w:type="dxa" w:w="70"/>
              <w:left w:type="dxa" w:w="110"/>
              <w:bottom w:type="dxa" w:w="70"/>
              <w:right w:type="dxa" w:w="110"/>
            </w:tcMar>
            <w:vAlign w:val="top"/>
          </w:tcPr>
          <w:p>
            <w:pPr>
              <w:spacing w:after="40"/>
            </w:pPr>
            <w:r>
              <w:rPr>
                <w:b w:val="false"/>
                <w:bCs w:val="false"/>
                <w:sz w:val="19"/>
                <w:szCs w:val="19"/>
              </w:rPr>
              <w:t xml:space="preserve">view</w:t>
            </w:r>
          </w:p>
        </w:tc>
      </w:tr>
      <w:tr>
        <w:trPr>
          <w:cantSplit/>
        </w:trPr>
        <w:tc>
          <w:tcPr>
            <w:tcW w:type="dxa" w:w="2259"/>
            <w:tcMar>
              <w:top w:type="dxa" w:w="70"/>
              <w:left w:type="dxa" w:w="110"/>
              <w:bottom w:type="dxa" w:w="70"/>
              <w:right w:type="dxa" w:w="110"/>
            </w:tcMar>
            <w:vAlign w:val="top"/>
          </w:tcPr>
          <w:p>
            <w:pPr>
              <w:spacing w:after="40"/>
            </w:pPr>
            <w:r>
              <w:rPr>
                <w:b w:val="false"/>
                <w:bCs w:val="false"/>
                <w:sz w:val="19"/>
                <w:szCs w:val="19"/>
              </w:rPr>
              <w:t xml:space="preserve">Analysis export</w:t>
            </w:r>
          </w:p>
        </w:tc>
        <w:tc>
          <w:tcPr>
            <w:tcW w:type="dxa" w:w="659"/>
            <w:tcMar>
              <w:top w:type="dxa" w:w="70"/>
              <w:left w:type="dxa" w:w="110"/>
              <w:bottom w:type="dxa" w:w="70"/>
              <w:right w:type="dxa" w:w="110"/>
            </w:tcMar>
            <w:vAlign w:val="top"/>
          </w:tcPr>
          <w:p>
            <w:pPr>
              <w:spacing w:after="40"/>
            </w:pPr>
            <w:r>
              <w:rPr>
                <w:b w:val="false"/>
                <w:bCs w:val="false"/>
                <w:sz w:val="19"/>
                <w:szCs w:val="19"/>
              </w:rPr>
              <w:t xml:space="preserve">✓</w:t>
            </w:r>
          </w:p>
        </w:tc>
        <w:tc>
          <w:tcPr>
            <w:tcW w:type="dxa" w:w="659"/>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1035"/>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1036"/>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2259"/>
            <w:shd w:fill="F8FAFB" w:color="auto" w:val="clear"/>
            <w:tcMar>
              <w:top w:type="dxa" w:w="70"/>
              <w:left w:type="dxa" w:w="110"/>
              <w:bottom w:type="dxa" w:w="70"/>
              <w:right w:type="dxa" w:w="110"/>
            </w:tcMar>
            <w:vAlign w:val="top"/>
          </w:tcPr>
          <w:p>
            <w:pPr>
              <w:spacing w:after="40"/>
            </w:pPr>
            <w:r>
              <w:rPr>
                <w:b w:val="false"/>
                <w:bCs w:val="false"/>
                <w:sz w:val="19"/>
                <w:szCs w:val="19"/>
              </w:rPr>
              <w:t xml:space="preserve">Operational export, KoboToolbox data, Audit Log</w:t>
            </w:r>
          </w:p>
        </w:tc>
        <w:tc>
          <w:tcPr>
            <w:tcW w:type="dxa" w:w="659"/>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659"/>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035"/>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036"/>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2259"/>
            <w:tcMar>
              <w:top w:type="dxa" w:w="70"/>
              <w:left w:type="dxa" w:w="110"/>
              <w:bottom w:type="dxa" w:w="70"/>
              <w:right w:type="dxa" w:w="110"/>
            </w:tcMar>
            <w:vAlign w:val="top"/>
          </w:tcPr>
          <w:p>
            <w:pPr>
              <w:spacing w:after="40"/>
            </w:pPr>
            <w:r>
              <w:rPr>
                <w:b w:val="false"/>
                <w:bCs w:val="false"/>
                <w:sz w:val="19"/>
                <w:szCs w:val="19"/>
              </w:rPr>
              <w:t xml:space="preserve">Publish Research Clearance documents</w:t>
            </w:r>
          </w:p>
        </w:tc>
        <w:tc>
          <w:tcPr>
            <w:tcW w:type="dxa" w:w="659"/>
            <w:tcMar>
              <w:top w:type="dxa" w:w="70"/>
              <w:left w:type="dxa" w:w="110"/>
              <w:bottom w:type="dxa" w:w="70"/>
              <w:right w:type="dxa" w:w="110"/>
            </w:tcMar>
            <w:vAlign w:val="top"/>
          </w:tcPr>
          <w:p>
            <w:pPr>
              <w:spacing w:after="40"/>
            </w:pPr>
            <w:r>
              <w:rPr>
                <w:b w:val="false"/>
                <w:bCs w:val="false"/>
                <w:sz w:val="19"/>
                <w:szCs w:val="19"/>
              </w:rPr>
              <w:t xml:space="preserve">✓</w:t>
            </w:r>
          </w:p>
        </w:tc>
        <w:tc>
          <w:tcPr>
            <w:tcW w:type="dxa" w:w="659"/>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1035"/>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941"/>
            <w:tcMar>
              <w:top w:type="dxa" w:w="70"/>
              <w:left w:type="dxa" w:w="110"/>
              <w:bottom w:type="dxa" w:w="70"/>
              <w:right w:type="dxa" w:w="110"/>
            </w:tcMar>
            <w:vAlign w:val="top"/>
          </w:tcPr>
          <w:p>
            <w:pPr>
              <w:spacing w:after="40"/>
            </w:pPr>
            <w:r>
              <w:rPr>
                <w:b w:val="false"/>
                <w:bCs w:val="false"/>
                <w:sz w:val="19"/>
                <w:szCs w:val="19"/>
              </w:rPr>
              <w:t xml:space="preserve">—</w:t>
            </w:r>
          </w:p>
        </w:tc>
        <w:tc>
          <w:tcPr>
            <w:tcW w:type="dxa" w:w="1036"/>
            <w:tcMar>
              <w:top w:type="dxa" w:w="70"/>
              <w:left w:type="dxa" w:w="110"/>
              <w:bottom w:type="dxa" w:w="70"/>
              <w:right w:type="dxa" w:w="110"/>
            </w:tcMar>
            <w:vAlign w:val="top"/>
          </w:tcPr>
          <w:p>
            <w:pPr>
              <w:spacing w:after="40"/>
            </w:pPr>
            <w:r>
              <w:rPr>
                <w:b w:val="false"/>
                <w:bCs w:val="false"/>
                <w:sz w:val="19"/>
                <w:szCs w:val="19"/>
              </w:rPr>
              <w:t xml:space="preserve">—</w:t>
            </w:r>
          </w:p>
        </w:tc>
      </w:tr>
    </w:tbl>
    <w:p>
      <w:pPr>
        <w:spacing w:after="120"/>
      </w:pPr>
    </w:p>
    <w:p>
      <w:pPr>
        <w:pStyle w:val="Heading1"/>
        <w:pageBreakBefore/>
      </w:pPr>
      <w:r>
        <w:t xml:space="preserve">6. Screen reference</w:t>
      </w:r>
    </w:p>
    <w:p>
      <w:pPr>
        <w:spacing w:after="120" w:line="288"/>
      </w:pPr>
      <w:r>
        <w:t xml:space="preserve">Every screen in the Research Operations Centre, in menu order.</w:t>
      </w:r>
    </w:p>
    <w:p>
      <w:pPr>
        <w:pStyle w:val="Heading2"/>
      </w:pPr>
      <w:r>
        <w:t xml:space="preserve">6.1 Executive, Sampling and Contact dashboards</w:t>
      </w:r>
    </w:p>
    <w:p>
      <w:pPr>
        <w:spacing w:after="120" w:line="288"/>
      </w:pPr>
      <w:r>
        <w:t xml:space="preserve">Dashboards are for monitoring; nothing on them changes data. Figures refresh whenever the screen is opened.</w:t>
      </w:r>
    </w:p>
    <w:p>
      <w:pPr>
        <w:keepNext/>
        <w:spacing w:after="40" w:before="80"/>
        <w:jc w:val="center"/>
      </w:pPr>
      <w:r>
        <w:drawing>
          <wp:inline distT="0" distB="0" distL="0" distR="0">
            <wp:extent cx="5715000" cy="3571875"/>
            <wp:effectExtent t="0" r="0" b="0" l="0"/>
            <wp:docPr id="1" name="adm_exec_dashboard.jpg" descr="Executive Dashboard: completions against the 400 / 60 / 50–75 targets, days to data lock, spend, and the lowest-filled strata." title="Executive Dashboard: completions against the 400 / 60 / 50–75 targets, days to data lock, spend, and the lowest-filled str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180"/>
        <w:jc w:val="center"/>
      </w:pPr>
      <w:r>
        <w:rPr>
          <w:b/>
          <w:bCs/>
          <w:color w:val="5B6670"/>
          <w:sz w:val="17"/>
          <w:szCs w:val="17"/>
        </w:rPr>
        <w:t xml:space="preserve">Figure 4. </w:t>
      </w:r>
      <w:r>
        <w:rPr>
          <w:i/>
          <w:iCs/>
          <w:color w:val="5B6670"/>
          <w:sz w:val="17"/>
          <w:szCs w:val="17"/>
        </w:rPr>
        <w:t xml:space="preserve">Executive Dashboard: completions against the 400 / 60 / 50–75 targets, days to data lock, spend, and the lowest-filled strata.</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694"/>
        <w:gridCol w:w="4706"/>
        <w:gridCol w:w="3012"/>
      </w:tblGrid>
      <w:tr>
        <w:trPr>
          <w:tblHeader/>
        </w:trPr>
        <w:tc>
          <w:tcPr>
            <w:tcW w:type="dxa" w:w="1694"/>
            <w:shd w:fill="1B3350" w:color="auto" w:val="clear"/>
            <w:tcMar>
              <w:top w:type="dxa" w:w="70"/>
              <w:left w:type="dxa" w:w="110"/>
              <w:bottom w:type="dxa" w:w="70"/>
              <w:right w:type="dxa" w:w="110"/>
            </w:tcMar>
            <w:vAlign w:val="top"/>
          </w:tcPr>
          <w:p>
            <w:pPr>
              <w:spacing w:after="40"/>
            </w:pPr>
            <w:r>
              <w:rPr>
                <w:b/>
                <w:bCs/>
                <w:color w:val="FFFFFF"/>
                <w:sz w:val="19"/>
                <w:szCs w:val="19"/>
              </w:rPr>
              <w:t xml:space="preserve">Dashboard</w:t>
            </w:r>
          </w:p>
        </w:tc>
        <w:tc>
          <w:tcPr>
            <w:tcW w:type="dxa" w:w="4706"/>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tells you</w:t>
            </w:r>
          </w:p>
        </w:tc>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Use it to</w:t>
            </w:r>
          </w:p>
        </w:tc>
      </w:tr>
      <w:tr>
        <w:trPr>
          <w:cantSplit/>
        </w:trPr>
        <w:tc>
          <w:tcPr>
            <w:tcW w:type="dxa" w:w="1694"/>
            <w:tcMar>
              <w:top w:type="dxa" w:w="70"/>
              <w:left w:type="dxa" w:w="110"/>
              <w:bottom w:type="dxa" w:w="70"/>
              <w:right w:type="dxa" w:w="110"/>
            </w:tcMar>
            <w:vAlign w:val="top"/>
          </w:tcPr>
          <w:p>
            <w:pPr>
              <w:spacing w:after="40"/>
            </w:pPr>
            <w:r>
              <w:rPr>
                <w:b w:val="false"/>
                <w:bCs w:val="false"/>
                <w:sz w:val="19"/>
                <w:szCs w:val="19"/>
              </w:rPr>
              <w:t xml:space="preserve">Executive</w:t>
            </w:r>
          </w:p>
        </w:tc>
        <w:tc>
          <w:tcPr>
            <w:tcW w:type="dxa" w:w="4706"/>
            <w:tcMar>
              <w:top w:type="dxa" w:w="70"/>
              <w:left w:type="dxa" w:w="110"/>
              <w:bottom w:type="dxa" w:w="70"/>
              <w:right w:type="dxa" w:w="110"/>
            </w:tcMar>
            <w:vAlign w:val="top"/>
          </w:tcPr>
          <w:p>
            <w:pPr>
              <w:spacing w:after="40"/>
            </w:pPr>
            <w:r>
              <w:rPr>
                <w:b w:val="false"/>
                <w:bCs w:val="false"/>
                <w:sz w:val="19"/>
                <w:szCs w:val="19"/>
              </w:rPr>
              <w:t xml:space="preserve">QUAN completed out of 400, KII completed out of 60, documents coded against 50–75, days to the 30 November 2026 data lock, spend to date, lowest-filled strata.</w:t>
            </w:r>
          </w:p>
        </w:tc>
        <w:tc>
          <w:tcPr>
            <w:tcW w:type="dxa" w:w="3012"/>
            <w:tcMar>
              <w:top w:type="dxa" w:w="70"/>
              <w:left w:type="dxa" w:w="110"/>
              <w:bottom w:type="dxa" w:w="70"/>
              <w:right w:type="dxa" w:w="110"/>
            </w:tcMar>
            <w:vAlign w:val="top"/>
          </w:tcPr>
          <w:p>
            <w:pPr>
              <w:spacing w:after="40"/>
            </w:pPr>
            <w:r>
              <w:rPr>
                <w:b w:val="false"/>
                <w:bCs w:val="false"/>
                <w:sz w:val="19"/>
                <w:szCs w:val="19"/>
              </w:rPr>
              <w:t xml:space="preserve">See overall progress and where fieldwork attention is most needed.</w:t>
            </w:r>
          </w:p>
        </w:tc>
      </w:tr>
      <w:tr>
        <w:trPr>
          <w:cantSplit/>
        </w:trPr>
        <w:tc>
          <w:tcPr>
            <w:tcW w:type="dxa" w:w="1694"/>
            <w:shd w:fill="F8FAFB" w:color="auto" w:val="clear"/>
            <w:tcMar>
              <w:top w:type="dxa" w:w="70"/>
              <w:left w:type="dxa" w:w="110"/>
              <w:bottom w:type="dxa" w:w="70"/>
              <w:right w:type="dxa" w:w="110"/>
            </w:tcMar>
            <w:vAlign w:val="top"/>
          </w:tcPr>
          <w:p>
            <w:pPr>
              <w:spacing w:after="40"/>
            </w:pPr>
            <w:r>
              <w:rPr>
                <w:b w:val="false"/>
                <w:bCs w:val="false"/>
                <w:sz w:val="19"/>
                <w:szCs w:val="19"/>
              </w:rPr>
              <w:t xml:space="preserve">Sampling</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Main cases by province, verified/total by stratum, Reserve activations by reason.</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Check the design stays balanced across strata.</w:t>
            </w:r>
          </w:p>
        </w:tc>
      </w:tr>
      <w:tr>
        <w:trPr>
          <w:cantSplit/>
        </w:trPr>
        <w:tc>
          <w:tcPr>
            <w:tcW w:type="dxa" w:w="1694"/>
            <w:tcMar>
              <w:top w:type="dxa" w:w="70"/>
              <w:left w:type="dxa" w:w="110"/>
              <w:bottom w:type="dxa" w:w="70"/>
              <w:right w:type="dxa" w:w="110"/>
            </w:tcMar>
            <w:vAlign w:val="top"/>
          </w:tcPr>
          <w:p>
            <w:pPr>
              <w:spacing w:after="40"/>
            </w:pPr>
            <w:r>
              <w:rPr>
                <w:b w:val="false"/>
                <w:bCs w:val="false"/>
                <w:sz w:val="19"/>
                <w:szCs w:val="19"/>
              </w:rPr>
              <w:t xml:space="preserve">Contact</w:t>
            </w:r>
          </w:p>
        </w:tc>
        <w:tc>
          <w:tcPr>
            <w:tcW w:type="dxa" w:w="4706"/>
            <w:tcMar>
              <w:top w:type="dxa" w:w="70"/>
              <w:left w:type="dxa" w:w="110"/>
              <w:bottom w:type="dxa" w:w="70"/>
              <w:right w:type="dxa" w:w="110"/>
            </w:tcMar>
            <w:vAlign w:val="top"/>
          </w:tcPr>
          <w:p>
            <w:pPr>
              <w:spacing w:after="40"/>
            </w:pPr>
            <w:r>
              <w:rPr>
                <w:b w:val="false"/>
                <w:bCs w:val="false"/>
                <w:sz w:val="19"/>
                <w:szCs w:val="19"/>
              </w:rPr>
              <w:t xml:space="preserve">Organisations verified, eligible respondents identified, invitations sent and opened, upcoming appointments, refusals, unreachable cases.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Track outreach and spot stalled contact.</w:t>
            </w:r>
          </w:p>
        </w:tc>
      </w:tr>
      <w:tr>
        <w:trPr>
          <w:cantSplit/>
        </w:trPr>
        <w:tc>
          <w:tcPr>
            <w:tcW w:type="dxa" w:w="1694"/>
            <w:shd w:fill="F8FAFB" w:color="auto" w:val="clear"/>
            <w:tcMar>
              <w:top w:type="dxa" w:w="70"/>
              <w:left w:type="dxa" w:w="110"/>
              <w:bottom w:type="dxa" w:w="70"/>
              <w:right w:type="dxa" w:w="110"/>
            </w:tcMar>
            <w:vAlign w:val="top"/>
          </w:tcPr>
          <w:p>
            <w:pPr>
              <w:spacing w:after="40"/>
            </w:pPr>
            <w:r>
              <w:rPr>
                <w:b w:val="false"/>
                <w:bCs w:val="false"/>
                <w:sz w:val="19"/>
                <w:szCs w:val="19"/>
              </w:rPr>
              <w:t xml:space="preserve">QA Dashboard</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Submissions today and in total, the open QA queue, decisions recorded, completions by administration mode.</w:t>
            </w:r>
          </w:p>
        </w:tc>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Keep the QA backlog under control.</w:t>
            </w:r>
          </w:p>
        </w:tc>
      </w:tr>
      <w:tr>
        <w:trPr>
          <w:cantSplit/>
        </w:trPr>
        <w:tc>
          <w:tcPr>
            <w:tcW w:type="dxa" w:w="1694"/>
            <w:tcMar>
              <w:top w:type="dxa" w:w="70"/>
              <w:left w:type="dxa" w:w="110"/>
              <w:bottom w:type="dxa" w:w="70"/>
              <w:right w:type="dxa" w:w="110"/>
            </w:tcMar>
            <w:vAlign w:val="top"/>
          </w:tcPr>
          <w:p>
            <w:pPr>
              <w:spacing w:after="40"/>
            </w:pPr>
            <w:r>
              <w:rPr>
                <w:b w:val="false"/>
                <w:bCs w:val="false"/>
                <w:sz w:val="19"/>
                <w:szCs w:val="19"/>
              </w:rPr>
              <w:t xml:space="preserve">KII/Doc Dashboard</w:t>
            </w:r>
          </w:p>
        </w:tc>
        <w:tc>
          <w:tcPr>
            <w:tcW w:type="dxa" w:w="4706"/>
            <w:tcMar>
              <w:top w:type="dxa" w:w="70"/>
              <w:left w:type="dxa" w:w="110"/>
              <w:bottom w:type="dxa" w:w="70"/>
              <w:right w:type="dxa" w:w="110"/>
            </w:tcMar>
            <w:vAlign w:val="top"/>
          </w:tcPr>
          <w:p>
            <w:pPr>
              <w:spacing w:after="40"/>
            </w:pPr>
            <w:r>
              <w:rPr>
                <w:b w:val="false"/>
                <w:bCs w:val="false"/>
                <w:sz w:val="19"/>
                <w:szCs w:val="19"/>
              </w:rPr>
              <w:t xml:space="preserve">KII completed against 60; KIIs by status; documents by type and QA status.</w:t>
            </w:r>
          </w:p>
        </w:tc>
        <w:tc>
          <w:tcPr>
            <w:tcW w:type="dxa" w:w="3012"/>
            <w:tcMar>
              <w:top w:type="dxa" w:w="70"/>
              <w:left w:type="dxa" w:w="110"/>
              <w:bottom w:type="dxa" w:w="70"/>
              <w:right w:type="dxa" w:w="110"/>
            </w:tcMar>
            <w:vAlign w:val="top"/>
          </w:tcPr>
          <w:p>
            <w:pPr>
              <w:spacing w:after="40"/>
            </w:pPr>
            <w:r>
              <w:rPr>
                <w:b w:val="false"/>
                <w:bCs w:val="false"/>
                <w:sz w:val="19"/>
                <w:szCs w:val="19"/>
              </w:rPr>
              <w:t xml:space="preserve">Track the qualitative and documentary strands.</w:t>
            </w:r>
          </w:p>
        </w:tc>
      </w:tr>
    </w:tbl>
    <w:p>
      <w:pPr>
        <w:spacing w:after="12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Targets versus records</w:t>
            </w:r>
          </w:p>
          <w:p>
            <w:pPr>
              <w:spacing w:after="40" w:line="264"/>
            </w:pPr>
            <w:r>
              <w:rPr>
                <w:sz w:val="19"/>
                <w:szCs w:val="19"/>
              </w:rPr>
              <w:t xml:space="preserve">The registers hold more records than the targets (for example 90 KII records for 60 completed interviews). The surplus is reserve depth for non-response, not extra work.</w:t>
            </w:r>
          </w:p>
        </w:tc>
      </w:tr>
    </w:tbl>
    <w:p>
      <w:pPr>
        <w:keepNext/>
        <w:spacing w:after="40" w:before="80"/>
        <w:jc w:val="center"/>
      </w:pPr>
      <w:r>
        <w:drawing>
          <wp:inline distT="0" distB="0" distL="0" distR="0">
            <wp:extent cx="5715000" cy="3571875"/>
            <wp:effectExtent t="0" r="0" b="0" l="0"/>
            <wp:docPr id="1" name="adm_sampling_dashboard.jpg" descr="Sampling Dashboard." title="Sampl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180"/>
        <w:jc w:val="center"/>
      </w:pPr>
      <w:r>
        <w:rPr>
          <w:b/>
          <w:bCs/>
          <w:color w:val="5B6670"/>
          <w:sz w:val="17"/>
          <w:szCs w:val="17"/>
        </w:rPr>
        <w:t xml:space="preserve">Figure 5. </w:t>
      </w:r>
      <w:r>
        <w:rPr>
          <w:i/>
          <w:iCs/>
          <w:color w:val="5B6670"/>
          <w:sz w:val="17"/>
          <w:szCs w:val="17"/>
        </w:rPr>
        <w:t xml:space="preserve">Sampling Dashboard.</w:t>
      </w:r>
    </w:p>
    <w:p>
      <w:pPr>
        <w:keepNext/>
        <w:spacing w:after="40" w:before="80"/>
        <w:jc w:val="center"/>
      </w:pPr>
      <w:r>
        <w:drawing>
          <wp:inline distT="0" distB="0" distL="0" distR="0">
            <wp:extent cx="5715000" cy="2324100"/>
            <wp:effectExtent t="0" r="0" b="0" l="0"/>
            <wp:docPr id="1" name="adm_contact_dashboard.jpg" descr="Contact Dashboard." title="Conta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324100"/>
                    </a:xfrm>
                    <a:prstGeom prst="rect">
                      <a:avLst/>
                    </a:prstGeom>
                  </pic:spPr>
                </pic:pic>
              </a:graphicData>
            </a:graphic>
          </wp:inline>
        </w:drawing>
      </w:r>
    </w:p>
    <w:p>
      <w:pPr>
        <w:spacing w:after="180"/>
        <w:jc w:val="center"/>
      </w:pPr>
      <w:r>
        <w:rPr>
          <w:b/>
          <w:bCs/>
          <w:color w:val="5B6670"/>
          <w:sz w:val="17"/>
          <w:szCs w:val="17"/>
        </w:rPr>
        <w:t xml:space="preserve">Figure 6. </w:t>
      </w:r>
      <w:r>
        <w:rPr>
          <w:i/>
          <w:iCs/>
          <w:color w:val="5B6670"/>
          <w:sz w:val="17"/>
          <w:szCs w:val="17"/>
        </w:rPr>
        <w:t xml:space="preserve">Contact Dashboard.</w:t>
      </w:r>
    </w:p>
    <w:p>
      <w:pPr>
        <w:pStyle w:val="Heading2"/>
      </w:pPr>
      <w:r>
        <w:t xml:space="preserve">6.2 Reports</w:t>
      </w:r>
    </w:p>
    <w:p>
      <w:pPr>
        <w:spacing w:after="120" w:line="288"/>
      </w:pPr>
      <w:r>
        <w:t xml:space="preserve">Fieldwork analytics for the PI, Field Coordinator, Analyst and Supervisor. See procedure 7.2.</w:t>
      </w:r>
    </w:p>
    <w:p>
      <w:pPr>
        <w:keepNext/>
        <w:spacing w:after="40" w:before="80"/>
        <w:jc w:val="center"/>
      </w:pPr>
      <w:r>
        <w:drawing>
          <wp:inline distT="0" distB="0" distL="0" distR="0">
            <wp:extent cx="5715000" cy="3952875"/>
            <wp:effectExtent t="0" r="0" b="0" l="0"/>
            <wp:docPr id="1" name="adm_reports_workflow.jpg" descr="Where Main cases are in the workflow." title="Where Main cases are in th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952875"/>
                    </a:xfrm>
                    <a:prstGeom prst="rect">
                      <a:avLst/>
                    </a:prstGeom>
                  </pic:spPr>
                </pic:pic>
              </a:graphicData>
            </a:graphic>
          </wp:inline>
        </w:drawing>
      </w:r>
    </w:p>
    <w:p>
      <w:pPr>
        <w:spacing w:after="180"/>
        <w:jc w:val="center"/>
      </w:pPr>
      <w:r>
        <w:rPr>
          <w:b/>
          <w:bCs/>
          <w:color w:val="5B6670"/>
          <w:sz w:val="17"/>
          <w:szCs w:val="17"/>
        </w:rPr>
        <w:t xml:space="preserve">Figure 7. </w:t>
      </w:r>
      <w:r>
        <w:rPr>
          <w:i/>
          <w:iCs/>
          <w:color w:val="5B6670"/>
          <w:sz w:val="17"/>
          <w:szCs w:val="17"/>
        </w:rPr>
        <w:t xml:space="preserve">Where Main cases are in the workflow.</w:t>
      </w:r>
    </w:p>
    <w:p>
      <w:pPr>
        <w:pStyle w:val="Heading2"/>
      </w:pPr>
      <w:r>
        <w:t xml:space="preserve">6.3 QA Dashboard</w:t>
      </w:r>
    </w:p>
    <w:p>
      <w:pPr>
        <w:keepNext/>
        <w:spacing w:after="40" w:before="80"/>
        <w:jc w:val="center"/>
      </w:pPr>
      <w:r>
        <w:drawing>
          <wp:inline distT="0" distB="0" distL="0" distR="0">
            <wp:extent cx="5715000" cy="2505075"/>
            <wp:effectExtent t="0" r="0" b="0" l="0"/>
            <wp:docPr id="1" name="qa_dashboard.jpg" descr="QA Dashboard with Refresh and Open QA queue." title="QA Dashboard with Refresh and Open QA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505075"/>
                    </a:xfrm>
                    <a:prstGeom prst="rect">
                      <a:avLst/>
                    </a:prstGeom>
                  </pic:spPr>
                </pic:pic>
              </a:graphicData>
            </a:graphic>
          </wp:inline>
        </w:drawing>
      </w:r>
    </w:p>
    <w:p>
      <w:pPr>
        <w:spacing w:after="180"/>
        <w:jc w:val="center"/>
      </w:pPr>
      <w:r>
        <w:rPr>
          <w:b/>
          <w:bCs/>
          <w:color w:val="5B6670"/>
          <w:sz w:val="17"/>
          <w:szCs w:val="17"/>
        </w:rPr>
        <w:t xml:space="preserve">Figure 8. </w:t>
      </w:r>
      <w:r>
        <w:rPr>
          <w:i/>
          <w:iCs/>
          <w:color w:val="5B6670"/>
          <w:sz w:val="17"/>
          <w:szCs w:val="17"/>
        </w:rPr>
        <w:t xml:space="preserve">QA Dashboard with Refresh and Open QA queue.</w:t>
      </w:r>
    </w:p>
    <w:p>
      <w:pPr>
        <w:pStyle w:val="Heading2"/>
      </w:pPr>
      <w:r>
        <w:t xml:space="preserve">6.4 KII/Doc Dashboard</w:t>
      </w:r>
    </w:p>
    <w:p>
      <w:pPr>
        <w:keepNext/>
        <w:spacing w:after="40" w:before="80"/>
        <w:jc w:val="center"/>
      </w:pPr>
      <w:r>
        <w:drawing>
          <wp:inline distT="0" distB="0" distL="0" distR="0">
            <wp:extent cx="5715000" cy="3571875"/>
            <wp:effectExtent t="0" r="0" b="0" l="0"/>
            <wp:docPr id="1" name="kii_dashboard.jpg" descr="KII / Document Dashboard." title="KII / Docum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180"/>
        <w:jc w:val="center"/>
      </w:pPr>
      <w:r>
        <w:rPr>
          <w:b/>
          <w:bCs/>
          <w:color w:val="5B6670"/>
          <w:sz w:val="17"/>
          <w:szCs w:val="17"/>
        </w:rPr>
        <w:t xml:space="preserve">Figure 9. </w:t>
      </w:r>
      <w:r>
        <w:rPr>
          <w:i/>
          <w:iCs/>
          <w:color w:val="5B6670"/>
          <w:sz w:val="17"/>
          <w:szCs w:val="17"/>
        </w:rPr>
        <w:t xml:space="preserve">KII / Document Dashboard.</w:t>
      </w:r>
    </w:p>
    <w:p>
      <w:pPr>
        <w:pStyle w:val="Heading2"/>
      </w:pPr>
      <w:r>
        <w:t xml:space="preserve">6.5 Main-400 Register</w:t>
      </w:r>
    </w:p>
    <w:p>
      <w:pPr>
        <w:spacing w:after="120" w:line="288"/>
      </w:pPr>
      <w:r>
        <w:t xml:space="preserve">Every Main case (or, with </w:t>
      </w:r>
      <w:r>
        <w:rPr>
          <w:b/>
          <w:bCs/>
        </w:rPr>
        <w:t xml:space="preserve">Sample type → Reserve</w:t>
      </w:r>
      <w:r>
        <w:t xml:space="preserve">, every Reserve), with Sample ID, Master ID, organisation and status. Search by Sample ID, Master ID or name. </w:t>
      </w:r>
      <w:r>
        <w:rPr>
          <w:b/>
          <w:bCs/>
        </w:rPr>
        <w:t xml:space="preserve">View</w:t>
      </w:r>
      <w:r>
        <w:t xml:space="preserve"> opens the case page. The PI and Field Coordinator also see </w:t>
      </w:r>
      <w:r>
        <w:rPr>
          <w:b/>
          <w:bCs/>
        </w:rPr>
        <w:t xml:space="preserve">Register organisation</w:t>
      </w:r>
      <w:r>
        <w:t xml:space="preserve">, the bulk verification and reassignment tools, </w:t>
      </w:r>
      <w:r>
        <w:rPr>
          <w:b/>
          <w:bCs/>
        </w:rPr>
        <w:t xml:space="preserve">Find contact details with AI</w:t>
      </w:r>
      <w:r>
        <w:t xml:space="preserve"> for cases with no contact details (7.28) and </w:t>
      </w:r>
      <w:r>
        <w:rPr>
          <w:b/>
          <w:bCs/>
        </w:rPr>
        <w:t xml:space="preserve">Email invitations</w:t>
      </w:r>
      <w:r>
        <w:t xml:space="preserve"> (7.29). The PI, Field Coordinator and Contact RAs see </w:t>
      </w:r>
      <w:r>
        <w:rPr>
          <w:b/>
          <w:bCs/>
        </w:rPr>
        <w:t xml:space="preserve">WhatsApp invitations</w:t>
      </w:r>
      <w:r>
        <w:t xml:space="preserve">, the send queue (7.30); a Contact RA sees only their own cases there.</w:t>
      </w:r>
    </w:p>
    <w:p>
      <w:pPr>
        <w:keepNext/>
        <w:spacing w:after="40" w:before="80"/>
        <w:jc w:val="center"/>
      </w:pPr>
      <w:r>
        <w:drawing>
          <wp:inline distT="0" distB="0" distL="0" distR="0">
            <wp:extent cx="5715000" cy="3571875"/>
            <wp:effectExtent t="0" r="0" b="0" l="0"/>
            <wp:docPr id="1" name="adm_register.jpg" descr="Main-400 Register." title="Main-400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180"/>
        <w:jc w:val="center"/>
      </w:pPr>
      <w:r>
        <w:rPr>
          <w:b/>
          <w:bCs/>
          <w:color w:val="5B6670"/>
          <w:sz w:val="17"/>
          <w:szCs w:val="17"/>
        </w:rPr>
        <w:t xml:space="preserve">Figure 10. </w:t>
      </w:r>
      <w:r>
        <w:rPr>
          <w:i/>
          <w:iCs/>
          <w:color w:val="5B6670"/>
          <w:sz w:val="17"/>
          <w:szCs w:val="17"/>
        </w:rPr>
        <w:t xml:space="preserve">Main-400 Register.</w:t>
      </w:r>
    </w:p>
    <w:p>
      <w:pPr>
        <w:pStyle w:val="Heading2"/>
      </w:pPr>
      <w:r>
        <w:t xml:space="preserve">6.6 Case page</w:t>
      </w:r>
    </w:p>
    <w:p>
      <w:pPr>
        <w:spacing w:after="120" w:line="288"/>
      </w:pPr>
      <w:r>
        <w:t xml:space="preserve">The working screen for one organisation. From top to bottom:</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3012"/>
        <w:gridCol w:w="6400"/>
      </w:tblGrid>
      <w:tr>
        <w:trPr>
          <w:tblHeader/>
        </w:trPr>
        <w:tc>
          <w:tcPr>
            <w:tcW w:type="dxa" w:w="3012"/>
            <w:shd w:fill="1B3350" w:color="auto" w:val="clear"/>
            <w:tcMar>
              <w:top w:type="dxa" w:w="70"/>
              <w:left w:type="dxa" w:w="110"/>
              <w:bottom w:type="dxa" w:w="70"/>
              <w:right w:type="dxa" w:w="110"/>
            </w:tcMar>
            <w:vAlign w:val="top"/>
          </w:tcPr>
          <w:p>
            <w:pPr>
              <w:spacing w:after="40"/>
            </w:pPr>
            <w:r>
              <w:rPr>
                <w:b/>
                <w:bCs/>
                <w:color w:val="FFFFFF"/>
                <w:sz w:val="19"/>
                <w:szCs w:val="19"/>
              </w:rPr>
              <w:t xml:space="preserve">Panel</w:t>
            </w:r>
          </w:p>
        </w:tc>
        <w:tc>
          <w:tcPr>
            <w:tcW w:type="dxa" w:w="6400"/>
            <w:shd w:fill="1B3350" w:color="auto" w:val="clear"/>
            <w:tcMar>
              <w:top w:type="dxa" w:w="70"/>
              <w:left w:type="dxa" w:w="110"/>
              <w:bottom w:type="dxa" w:w="70"/>
              <w:right w:type="dxa" w:w="110"/>
            </w:tcMar>
            <w:vAlign w:val="top"/>
          </w:tcPr>
          <w:p>
            <w:pPr>
              <w:spacing w:after="40"/>
            </w:pPr>
            <w:r>
              <w:rPr>
                <w:b/>
                <w:bCs/>
                <w:color w:val="FFFFFF"/>
                <w:sz w:val="19"/>
                <w:szCs w:val="19"/>
              </w:rPr>
              <w:t xml:space="preserve">Purpose</w:t>
            </w:r>
          </w:p>
        </w:tc>
      </w:tr>
      <w:tr>
        <w:trPr>
          <w:cantSplit/>
        </w:trPr>
        <w:tc>
          <w:tcPr>
            <w:tcW w:type="dxa" w:w="3012"/>
            <w:tcMar>
              <w:top w:type="dxa" w:w="70"/>
              <w:left w:type="dxa" w:w="110"/>
              <w:bottom w:type="dxa" w:w="70"/>
              <w:right w:type="dxa" w:w="110"/>
            </w:tcMar>
            <w:vAlign w:val="top"/>
          </w:tcPr>
          <w:p>
            <w:pPr>
              <w:spacing w:after="40"/>
            </w:pPr>
            <w:r>
              <w:rPr>
                <w:b w:val="false"/>
                <w:bCs w:val="false"/>
                <w:sz w:val="19"/>
                <w:szCs w:val="19"/>
              </w:rPr>
              <w:t xml:space="preserve">Case summary</w:t>
            </w:r>
          </w:p>
        </w:tc>
        <w:tc>
          <w:tcPr>
            <w:tcW w:type="dxa" w:w="6400"/>
            <w:tcMar>
              <w:top w:type="dxa" w:w="70"/>
              <w:left w:type="dxa" w:w="110"/>
              <w:bottom w:type="dxa" w:w="70"/>
              <w:right w:type="dxa" w:w="110"/>
            </w:tcMar>
            <w:vAlign w:val="top"/>
          </w:tcPr>
          <w:p>
            <w:pPr>
              <w:spacing w:after="40"/>
            </w:pPr>
            <w:r>
              <w:rPr>
                <w:b w:val="false"/>
                <w:bCs w:val="false"/>
                <w:sz w:val="19"/>
                <w:szCs w:val="19"/>
              </w:rPr>
              <w:t xml:space="preserve">Organisation, Sample ID, Master ID, stratum, type and status.</w:t>
            </w:r>
          </w:p>
        </w:tc>
      </w:tr>
      <w:tr>
        <w:trPr>
          <w:cantSplit/>
        </w:trPr>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Assigned Contact RA</w:t>
            </w:r>
          </w:p>
        </w:tc>
        <w:tc>
          <w:tcPr>
            <w:tcW w:type="dxa" w:w="6400"/>
            <w:shd w:fill="F8FAFB" w:color="auto" w:val="clear"/>
            <w:tcMar>
              <w:top w:type="dxa" w:w="70"/>
              <w:left w:type="dxa" w:w="110"/>
              <w:bottom w:type="dxa" w:w="70"/>
              <w:right w:type="dxa" w:w="110"/>
            </w:tcMar>
            <w:vAlign w:val="top"/>
          </w:tcPr>
          <w:p>
            <w:pPr>
              <w:spacing w:after="40"/>
            </w:pPr>
            <w:r>
              <w:rPr>
                <w:b w:val="false"/>
                <w:bCs w:val="false"/>
                <w:sz w:val="19"/>
                <w:szCs w:val="19"/>
              </w:rPr>
              <w:t xml:space="preserve">Who owns the case (PI/FC can change it).</w:t>
            </w:r>
          </w:p>
        </w:tc>
      </w:tr>
      <w:tr>
        <w:trPr>
          <w:cantSplit/>
        </w:trPr>
        <w:tc>
          <w:tcPr>
            <w:tcW w:type="dxa" w:w="3012"/>
            <w:tcMar>
              <w:top w:type="dxa" w:w="70"/>
              <w:left w:type="dxa" w:w="110"/>
              <w:bottom w:type="dxa" w:w="70"/>
              <w:right w:type="dxa" w:w="110"/>
            </w:tcMar>
            <w:vAlign w:val="top"/>
          </w:tcPr>
          <w:p>
            <w:pPr>
              <w:spacing w:after="40"/>
            </w:pPr>
            <w:r>
              <w:rPr>
                <w:b w:val="false"/>
                <w:bCs w:val="false"/>
                <w:sz w:val="19"/>
                <w:szCs w:val="19"/>
              </w:rPr>
              <w:t xml:space="preserve">Matched Reserve case</w:t>
            </w:r>
          </w:p>
        </w:tc>
        <w:tc>
          <w:tcPr>
            <w:tcW w:type="dxa" w:w="6400"/>
            <w:tcMar>
              <w:top w:type="dxa" w:w="70"/>
              <w:left w:type="dxa" w:w="110"/>
              <w:bottom w:type="dxa" w:w="70"/>
              <w:right w:type="dxa" w:w="110"/>
            </w:tcMar>
            <w:vAlign w:val="top"/>
          </w:tcPr>
          <w:p>
            <w:pPr>
              <w:spacing w:after="40"/>
            </w:pPr>
            <w:r>
              <w:rPr>
                <w:b w:val="false"/>
                <w:bCs w:val="false"/>
                <w:sz w:val="19"/>
                <w:szCs w:val="19"/>
              </w:rPr>
              <w:t xml:space="preserve">The Reserve that would replace it.</w:t>
            </w:r>
          </w:p>
        </w:tc>
      </w:tr>
      <w:tr>
        <w:trPr>
          <w:cantSplit/>
        </w:trPr>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Pre-Interview Profile (PROIT)</w:t>
            </w:r>
          </w:p>
        </w:tc>
        <w:tc>
          <w:tcPr>
            <w:tcW w:type="dxa" w:w="6400"/>
            <w:shd w:fill="F8FAFB" w:color="auto" w:val="clear"/>
            <w:tcMar>
              <w:top w:type="dxa" w:w="70"/>
              <w:left w:type="dxa" w:w="110"/>
              <w:bottom w:type="dxa" w:w="70"/>
              <w:right w:type="dxa" w:w="110"/>
            </w:tcMar>
            <w:vAlign w:val="top"/>
          </w:tcPr>
          <w:p>
            <w:pPr>
              <w:spacing w:after="40"/>
            </w:pPr>
            <w:r>
              <w:rPr>
                <w:b w:val="false"/>
                <w:bCs w:val="false"/>
                <w:sz w:val="19"/>
                <w:szCs w:val="19"/>
              </w:rPr>
              <w:t xml:space="preserve">Background facts with sources, researched by AI from public sources for you to accept or reject; lock for use with the respondent. Once locked, the Interview sheet.</w:t>
            </w:r>
          </w:p>
        </w:tc>
      </w:tr>
      <w:tr>
        <w:trPr>
          <w:cantSplit/>
        </w:trPr>
        <w:tc>
          <w:tcPr>
            <w:tcW w:type="dxa" w:w="3012"/>
            <w:tcMar>
              <w:top w:type="dxa" w:w="70"/>
              <w:left w:type="dxa" w:w="110"/>
              <w:bottom w:type="dxa" w:w="70"/>
              <w:right w:type="dxa" w:w="110"/>
            </w:tcMar>
            <w:vAlign w:val="top"/>
          </w:tcPr>
          <w:p>
            <w:pPr>
              <w:spacing w:after="40"/>
            </w:pPr>
            <w:r>
              <w:rPr>
                <w:b w:val="false"/>
                <w:bCs w:val="false"/>
                <w:sz w:val="19"/>
                <w:szCs w:val="19"/>
              </w:rPr>
              <w:t xml:space="preserve">Respondents and contact details</w:t>
            </w:r>
          </w:p>
        </w:tc>
        <w:tc>
          <w:tcPr>
            <w:tcW w:type="dxa" w:w="6400"/>
            <w:tcMar>
              <w:top w:type="dxa" w:w="70"/>
              <w:left w:type="dxa" w:w="110"/>
              <w:bottom w:type="dxa" w:w="70"/>
              <w:right w:type="dxa" w:w="110"/>
            </w:tcMar>
            <w:vAlign w:val="top"/>
          </w:tcPr>
          <w:p>
            <w:pPr>
              <w:spacing w:after="40"/>
            </w:pPr>
            <w:r>
              <w:rPr>
                <w:b w:val="false"/>
                <w:bCs w:val="false"/>
                <w:sz w:val="19"/>
                <w:szCs w:val="19"/>
              </w:rPr>
              <w:t xml:space="preserve">People at the organisation, their role, eligibility and contact details.</w:t>
            </w:r>
          </w:p>
        </w:tc>
      </w:tr>
      <w:tr>
        <w:trPr>
          <w:cantSplit/>
        </w:trPr>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Find contact details with AI</w:t>
            </w:r>
          </w:p>
        </w:tc>
        <w:tc>
          <w:tcPr>
            <w:tcW w:type="dxa" w:w="6400"/>
            <w:shd w:fill="F8FAFB" w:color="auto" w:val="clear"/>
            <w:tcMar>
              <w:top w:type="dxa" w:w="70"/>
              <w:left w:type="dxa" w:w="110"/>
              <w:bottom w:type="dxa" w:w="70"/>
              <w:right w:type="dxa" w:w="110"/>
            </w:tcMar>
            <w:vAlign w:val="top"/>
          </w:tcPr>
          <w:p>
            <w:pPr>
              <w:spacing w:after="40"/>
            </w:pPr>
            <w:r>
              <w:rPr>
                <w:b w:val="false"/>
                <w:bCs w:val="false"/>
                <w:sz w:val="19"/>
                <w:szCs w:val="19"/>
              </w:rPr>
              <w:t xml:space="preserve">The organisation's published phone, email, website and office location, and senior staff it names, found by AI with their sources, for you to accept or reject (PI/FC; Supervisor reads).</w:t>
            </w:r>
          </w:p>
        </w:tc>
      </w:tr>
      <w:tr>
        <w:trPr>
          <w:cantSplit/>
        </w:trPr>
        <w:tc>
          <w:tcPr>
            <w:tcW w:type="dxa" w:w="3012"/>
            <w:tcMar>
              <w:top w:type="dxa" w:w="70"/>
              <w:left w:type="dxa" w:w="110"/>
              <w:bottom w:type="dxa" w:w="70"/>
              <w:right w:type="dxa" w:w="110"/>
            </w:tcMar>
            <w:vAlign w:val="top"/>
          </w:tcPr>
          <w:p>
            <w:pPr>
              <w:spacing w:after="40"/>
            </w:pPr>
            <w:r>
              <w:rPr>
                <w:b w:val="false"/>
                <w:bCs w:val="false"/>
                <w:sz w:val="19"/>
                <w:szCs w:val="19"/>
              </w:rPr>
              <w:t xml:space="preserve">Invitations</w:t>
            </w:r>
          </w:p>
        </w:tc>
        <w:tc>
          <w:tcPr>
            <w:tcW w:type="dxa" w:w="6400"/>
            <w:tcMar>
              <w:top w:type="dxa" w:w="70"/>
              <w:left w:type="dxa" w:w="110"/>
              <w:bottom w:type="dxa" w:w="70"/>
              <w:right w:type="dxa" w:w="110"/>
            </w:tcMar>
            <w:vAlign w:val="top"/>
          </w:tcPr>
          <w:p>
            <w:pPr>
              <w:spacing w:after="40"/>
            </w:pPr>
            <w:r>
              <w:rPr>
                <w:b w:val="false"/>
                <w:bCs w:val="false"/>
                <w:sz w:val="19"/>
                <w:szCs w:val="19"/>
              </w:rPr>
              <w:t xml:space="preserve">Issue links and send them with a ready-written message by WhatsApp, SMS or email (from the study address or your own mail app); reissue and revoke; invitation history.</w:t>
            </w:r>
          </w:p>
        </w:tc>
      </w:tr>
      <w:tr>
        <w:trPr>
          <w:cantSplit/>
        </w:trPr>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Completed questionnaire</w:t>
            </w:r>
          </w:p>
        </w:tc>
        <w:tc>
          <w:tcPr>
            <w:tcW w:type="dxa" w:w="6400"/>
            <w:shd w:fill="F8FAFB" w:color="auto" w:val="clear"/>
            <w:tcMar>
              <w:top w:type="dxa" w:w="70"/>
              <w:left w:type="dxa" w:w="110"/>
              <w:bottom w:type="dxa" w:w="70"/>
              <w:right w:type="dxa" w:w="110"/>
            </w:tcMar>
            <w:vAlign w:val="top"/>
          </w:tcPr>
          <w:p>
            <w:pPr>
              <w:spacing w:after="40"/>
            </w:pPr>
            <w:r>
              <w:rPr>
                <w:b w:val="false"/>
                <w:bCs w:val="false"/>
                <w:sz w:val="19"/>
                <w:szCs w:val="19"/>
              </w:rPr>
              <w:t xml:space="preserve">The KoboToolbox submission(s) for this case, with Download PDF.</w:t>
            </w:r>
          </w:p>
        </w:tc>
      </w:tr>
      <w:tr>
        <w:trPr>
          <w:cantSplit/>
        </w:trPr>
        <w:tc>
          <w:tcPr>
            <w:tcW w:type="dxa" w:w="3012"/>
            <w:tcMar>
              <w:top w:type="dxa" w:w="70"/>
              <w:left w:type="dxa" w:w="110"/>
              <w:bottom w:type="dxa" w:w="70"/>
              <w:right w:type="dxa" w:w="110"/>
            </w:tcMar>
            <w:vAlign w:val="top"/>
          </w:tcPr>
          <w:p>
            <w:pPr>
              <w:spacing w:after="40"/>
            </w:pPr>
            <w:r>
              <w:rPr>
                <w:b w:val="false"/>
                <w:bCs w:val="false"/>
                <w:sz w:val="19"/>
                <w:szCs w:val="19"/>
              </w:rPr>
              <w:t xml:space="preserve">Record a withdrawal</w:t>
            </w:r>
          </w:p>
        </w:tc>
        <w:tc>
          <w:tcPr>
            <w:tcW w:type="dxa" w:w="6400"/>
            <w:tcMar>
              <w:top w:type="dxa" w:w="70"/>
              <w:left w:type="dxa" w:w="110"/>
              <w:bottom w:type="dxa" w:w="70"/>
              <w:right w:type="dxa" w:w="110"/>
            </w:tcMar>
            <w:vAlign w:val="top"/>
          </w:tcPr>
          <w:p>
            <w:pPr>
              <w:spacing w:after="40"/>
            </w:pPr>
            <w:r>
              <w:rPr>
                <w:b w:val="false"/>
                <w:bCs w:val="false"/>
                <w:sz w:val="19"/>
                <w:szCs w:val="19"/>
              </w:rPr>
              <w:t xml:space="preserve">One action for a participant who withdraws (PI/FC).</w:t>
            </w:r>
          </w:p>
        </w:tc>
      </w:tr>
      <w:tr>
        <w:trPr>
          <w:cantSplit/>
        </w:trPr>
        <w:tc>
          <w:tcPr>
            <w:tcW w:type="dxa" w:w="3012"/>
            <w:shd w:fill="F8FAFB" w:color="auto" w:val="clear"/>
            <w:tcMar>
              <w:top w:type="dxa" w:w="70"/>
              <w:left w:type="dxa" w:w="110"/>
              <w:bottom w:type="dxa" w:w="70"/>
              <w:right w:type="dxa" w:w="110"/>
            </w:tcMar>
            <w:vAlign w:val="top"/>
          </w:tcPr>
          <w:p>
            <w:pPr>
              <w:spacing w:after="40"/>
            </w:pPr>
            <w:r>
              <w:rPr>
                <w:b w:val="false"/>
                <w:bCs w:val="false"/>
                <w:sz w:val="19"/>
                <w:szCs w:val="19"/>
              </w:rPr>
              <w:t xml:space="preserve">Advance workflow status</w:t>
            </w:r>
          </w:p>
        </w:tc>
        <w:tc>
          <w:tcPr>
            <w:tcW w:type="dxa" w:w="6400"/>
            <w:shd w:fill="F8FAFB" w:color="auto" w:val="clear"/>
            <w:tcMar>
              <w:top w:type="dxa" w:w="70"/>
              <w:left w:type="dxa" w:w="110"/>
              <w:bottom w:type="dxa" w:w="70"/>
              <w:right w:type="dxa" w:w="110"/>
            </w:tcMar>
            <w:vAlign w:val="top"/>
          </w:tcPr>
          <w:p>
            <w:pPr>
              <w:spacing w:after="40"/>
            </w:pPr>
            <w:r>
              <w:rPr>
                <w:b w:val="false"/>
                <w:bCs w:val="false"/>
                <w:sz w:val="19"/>
                <w:szCs w:val="19"/>
              </w:rPr>
              <w:t xml:space="preserve">Allowed manual status changes.</w:t>
            </w:r>
          </w:p>
        </w:tc>
      </w:tr>
      <w:tr>
        <w:trPr>
          <w:cantSplit/>
        </w:trPr>
        <w:tc>
          <w:tcPr>
            <w:tcW w:type="dxa" w:w="3012"/>
            <w:tcMar>
              <w:top w:type="dxa" w:w="70"/>
              <w:left w:type="dxa" w:w="110"/>
              <w:bottom w:type="dxa" w:w="70"/>
              <w:right w:type="dxa" w:w="110"/>
            </w:tcMar>
            <w:vAlign w:val="top"/>
          </w:tcPr>
          <w:p>
            <w:pPr>
              <w:spacing w:after="40"/>
            </w:pPr>
            <w:r>
              <w:rPr>
                <w:b w:val="false"/>
                <w:bCs w:val="false"/>
                <w:sz w:val="19"/>
                <w:szCs w:val="19"/>
              </w:rPr>
              <w:t xml:space="preserve">Contact timeline</w:t>
            </w:r>
          </w:p>
        </w:tc>
        <w:tc>
          <w:tcPr>
            <w:tcW w:type="dxa" w:w="6400"/>
            <w:tcMar>
              <w:top w:type="dxa" w:w="70"/>
              <w:left w:type="dxa" w:w="110"/>
              <w:bottom w:type="dxa" w:w="70"/>
              <w:right w:type="dxa" w:w="110"/>
            </w:tcMar>
            <w:vAlign w:val="top"/>
          </w:tcPr>
          <w:p>
            <w:pPr>
              <w:spacing w:after="40"/>
            </w:pPr>
            <w:r>
              <w:rPr>
                <w:b w:val="false"/>
                <w:bCs w:val="false"/>
                <w:sz w:val="19"/>
                <w:szCs w:val="19"/>
              </w:rPr>
              <w:t xml:space="preserve">Every contact attempt; log a new one.</w:t>
            </w:r>
          </w:p>
        </w:tc>
      </w:tr>
    </w:tbl>
    <w:p>
      <w:pPr>
        <w:spacing w:after="120"/>
      </w:pPr>
    </w:p>
    <w:p>
      <w:pPr>
        <w:keepNext/>
        <w:spacing w:after="40" w:before="80"/>
        <w:jc w:val="center"/>
      </w:pPr>
      <w:r>
        <w:drawing>
          <wp:inline distT="0" distB="0" distL="0" distR="0">
            <wp:extent cx="5715000" cy="3571875"/>
            <wp:effectExtent t="0" r="0" b="0" l="0"/>
            <wp:docPr id="1" name="adm_case_top.jpg" descr="Top of a case page." title="Top of a cas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180"/>
        <w:jc w:val="center"/>
      </w:pPr>
      <w:r>
        <w:rPr>
          <w:b/>
          <w:bCs/>
          <w:color w:val="5B6670"/>
          <w:sz w:val="17"/>
          <w:szCs w:val="17"/>
        </w:rPr>
        <w:t xml:space="preserve">Figure 11. </w:t>
      </w:r>
      <w:r>
        <w:rPr>
          <w:i/>
          <w:iCs/>
          <w:color w:val="5B6670"/>
          <w:sz w:val="17"/>
          <w:szCs w:val="17"/>
        </w:rPr>
        <w:t xml:space="preserve">Top of a case page.</w:t>
      </w:r>
    </w:p>
    <w:p>
      <w:pPr>
        <w:keepNext/>
        <w:spacing w:after="40" w:before="80"/>
        <w:jc w:val="center"/>
      </w:pPr>
      <w:r>
        <w:drawing>
          <wp:inline distT="0" distB="0" distL="0" distR="0">
            <wp:extent cx="5715000" cy="666750"/>
            <wp:effectExtent t="0" r="0" b="0" l="0"/>
            <wp:docPr id="1" name="adm_case_questionnaire.jpg" descr="Completed questionnaire panel on a QA-passed case." title="Completed questionnaire panel on a QA-passed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666750"/>
                    </a:xfrm>
                    <a:prstGeom prst="rect">
                      <a:avLst/>
                    </a:prstGeom>
                  </pic:spPr>
                </pic:pic>
              </a:graphicData>
            </a:graphic>
          </wp:inline>
        </w:drawing>
      </w:r>
    </w:p>
    <w:p>
      <w:pPr>
        <w:spacing w:after="180"/>
        <w:jc w:val="center"/>
      </w:pPr>
      <w:r>
        <w:rPr>
          <w:b/>
          <w:bCs/>
          <w:color w:val="5B6670"/>
          <w:sz w:val="17"/>
          <w:szCs w:val="17"/>
        </w:rPr>
        <w:t xml:space="preserve">Figure 12. </w:t>
      </w:r>
      <w:r>
        <w:rPr>
          <w:i/>
          <w:iCs/>
          <w:color w:val="5B6670"/>
          <w:sz w:val="17"/>
          <w:szCs w:val="17"/>
        </w:rPr>
        <w:t xml:space="preserve">Completed questionnaire panel on a QA-passed case.</w:t>
      </w:r>
    </w:p>
    <w:p>
      <w:pPr>
        <w:pStyle w:val="Heading2"/>
      </w:pPr>
      <w:r>
        <w:t xml:space="preserve">6.7 Organisations</w:t>
      </w:r>
    </w:p>
    <w:p>
      <w:pPr>
        <w:spacing w:after="120" w:line="288"/>
      </w:pPr>
      <w:r>
        <w:t xml:space="preserve">Register a new organisation and create its sample case; search the list of registered organisations; correct a mistyped name, district, entity type or value chain on an existing one. See procedure 7.3.</w:t>
      </w:r>
    </w:p>
    <w:p>
      <w:pPr>
        <w:pStyle w:val="Heading2"/>
      </w:pPr>
      <w:r>
        <w:t xml:space="preserve">6.8 Appointments</w:t>
      </w:r>
    </w:p>
    <w:p>
      <w:pPr>
        <w:keepNext/>
        <w:spacing w:after="40" w:before="80"/>
        <w:jc w:val="center"/>
      </w:pPr>
      <w:r>
        <w:drawing>
          <wp:inline distT="0" distB="0" distL="0" distR="0">
            <wp:extent cx="5715000" cy="2857500"/>
            <wp:effectExtent t="0" r="0" b="0" l="0"/>
            <wp:docPr id="1" name="adm_appointments.jpg" descr="Appointment Queue." title="Appointment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857500"/>
                    </a:xfrm>
                    <a:prstGeom prst="rect">
                      <a:avLst/>
                    </a:prstGeom>
                  </pic:spPr>
                </pic:pic>
              </a:graphicData>
            </a:graphic>
          </wp:inline>
        </w:drawing>
      </w:r>
    </w:p>
    <w:p>
      <w:pPr>
        <w:spacing w:after="180"/>
        <w:jc w:val="center"/>
      </w:pPr>
      <w:r>
        <w:rPr>
          <w:b/>
          <w:bCs/>
          <w:color w:val="5B6670"/>
          <w:sz w:val="17"/>
          <w:szCs w:val="17"/>
        </w:rPr>
        <w:t xml:space="preserve">Figure 13. </w:t>
      </w:r>
      <w:r>
        <w:rPr>
          <w:i/>
          <w:iCs/>
          <w:color w:val="5B6670"/>
          <w:sz w:val="17"/>
          <w:szCs w:val="17"/>
        </w:rPr>
        <w:t xml:space="preserve">Appointment Queue.</w:t>
      </w:r>
    </w:p>
    <w:p>
      <w:pPr>
        <w:pStyle w:val="Heading2"/>
      </w:pPr>
      <w:r>
        <w:t xml:space="preserve">6.9 Follow-ups</w:t>
      </w:r>
    </w:p>
    <w:p>
      <w:pPr>
        <w:keepNext/>
        <w:spacing w:after="40" w:before="80"/>
        <w:jc w:val="center"/>
      </w:pPr>
      <w:r>
        <w:drawing>
          <wp:inline distT="0" distB="0" distL="0" distR="0">
            <wp:extent cx="5715000" cy="3571875"/>
            <wp:effectExtent t="0" r="0" b="0" l="0"/>
            <wp:docPr id="1" name="adm_follow_ups.jpg" descr="Follow-ups due." title="Follow-ups d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180"/>
        <w:jc w:val="center"/>
      </w:pPr>
      <w:r>
        <w:rPr>
          <w:b/>
          <w:bCs/>
          <w:color w:val="5B6670"/>
          <w:sz w:val="17"/>
          <w:szCs w:val="17"/>
        </w:rPr>
        <w:t xml:space="preserve">Figure 14. </w:t>
      </w:r>
      <w:r>
        <w:rPr>
          <w:i/>
          <w:iCs/>
          <w:color w:val="5B6670"/>
          <w:sz w:val="17"/>
          <w:szCs w:val="17"/>
        </w:rPr>
        <w:t xml:space="preserve">Follow-ups due.</w:t>
      </w:r>
    </w:p>
    <w:p>
      <w:pPr>
        <w:pStyle w:val="Heading2"/>
      </w:pPr>
      <w:r>
        <w:t xml:space="preserve">6.10 Form PDFs</w:t>
      </w:r>
    </w:p>
    <w:p>
      <w:pPr>
        <w:spacing w:after="120" w:line="288"/>
      </w:pPr>
      <w:r>
        <w:t xml:space="preserve">Completed KoboToolbox forms for your role's form, newest first. The PI, Field Coordinator and Supervisor choose the form from </w:t>
      </w:r>
      <w:r>
        <w:rPr>
          <w:b/>
          <w:bCs/>
        </w:rPr>
        <w:t xml:space="preserve">Form</w:t>
      </w:r>
      <w:r>
        <w:t xml:space="preserve">. A panel at the top shows whether the portal and KoboToolbox hold the same number of submissions, and </w:t>
      </w:r>
      <w:r>
        <w:rPr>
          <w:b/>
          <w:bCs/>
        </w:rPr>
        <w:t xml:space="preserve">Sync now</w:t>
      </w:r>
      <w:r>
        <w:t xml:space="preserve"> brings the portal's copy level. The PI also has </w:t>
      </w:r>
      <w:r>
        <w:rPr>
          <w:b/>
          <w:bCs/>
        </w:rPr>
        <w:t xml:space="preserve">Excel workbook</w:t>
      </w:r>
      <w:r>
        <w:t xml:space="preserve"> and </w:t>
      </w:r>
      <w:r>
        <w:rPr>
          <w:b/>
          <w:bCs/>
        </w:rPr>
        <w:t xml:space="preserve">All as PDFs (ZIP)</w:t>
      </w:r>
      <w:r>
        <w:t xml:space="preserve"> buttons here.</w:t>
      </w:r>
    </w:p>
    <w:p>
      <w:pPr>
        <w:keepNext/>
        <w:spacing w:after="40" w:before="80"/>
        <w:jc w:val="center"/>
      </w:pPr>
      <w:r>
        <w:drawing>
          <wp:inline distT="0" distB="0" distL="0" distR="0">
            <wp:extent cx="5715000" cy="3571875"/>
            <wp:effectExtent t="0" r="0" b="0" l="0"/>
            <wp:docPr id="1" name="adm_form_pdfs.jpg" descr="Completed form PDFs." title="Completed form PD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180"/>
        <w:jc w:val="center"/>
      </w:pPr>
      <w:r>
        <w:rPr>
          <w:b/>
          <w:bCs/>
          <w:color w:val="5B6670"/>
          <w:sz w:val="17"/>
          <w:szCs w:val="17"/>
        </w:rPr>
        <w:t xml:space="preserve">Figure 15. </w:t>
      </w:r>
      <w:r>
        <w:rPr>
          <w:i/>
          <w:iCs/>
          <w:color w:val="5B6670"/>
          <w:sz w:val="17"/>
          <w:szCs w:val="17"/>
        </w:rPr>
        <w:t xml:space="preserve">Completed form PDFs.</w:t>
      </w:r>
    </w:p>
    <w:p>
      <w:pPr>
        <w:pStyle w:val="Heading2"/>
      </w:pPr>
      <w:r>
        <w:t xml:space="preserve">6.11 QA Queue and QA Exceptions</w:t>
      </w:r>
    </w:p>
    <w:p>
      <w:pPr>
        <w:spacing w:after="120" w:line="288"/>
      </w:pPr>
      <w:r>
        <w:t xml:space="preserve">See procedures 7.13 and 7.14.</w:t>
      </w:r>
    </w:p>
    <w:p>
      <w:pPr>
        <w:pStyle w:val="Heading2"/>
      </w:pPr>
      <w:r>
        <w:t xml:space="preserve">6.12 KII Register and KII record</w:t>
      </w:r>
    </w:p>
    <w:p>
      <w:pPr>
        <w:spacing w:after="120" w:line="288"/>
      </w:pPr>
      <w:r>
        <w:t xml:space="preserve">See procedure 7.16.</w:t>
      </w:r>
    </w:p>
    <w:p>
      <w:pPr>
        <w:pStyle w:val="Heading2"/>
      </w:pPr>
      <w:r>
        <w:t xml:space="preserve">6.13 Documents and document record</w:t>
      </w:r>
    </w:p>
    <w:p>
      <w:pPr>
        <w:spacing w:after="120" w:line="288"/>
      </w:pPr>
      <w:r>
        <w:t xml:space="preserve">See procedure 7.17.</w:t>
      </w:r>
    </w:p>
    <w:p>
      <w:pPr>
        <w:pStyle w:val="Heading2"/>
      </w:pPr>
      <w:r>
        <w:t xml:space="preserve">6.14 Research Clearance</w:t>
      </w:r>
    </w:p>
    <w:p>
      <w:pPr>
        <w:spacing w:after="120" w:line="288"/>
      </w:pPr>
      <w:r>
        <w:t xml:space="preserve">PI only. Publishes the study's official approval letters for respondents to check. See procedure 7.27.</w:t>
      </w:r>
    </w:p>
    <w:p>
      <w:pPr>
        <w:pStyle w:val="Heading2"/>
      </w:pPr>
      <w:r>
        <w:t xml:space="preserve">6.15 Reserve Activation, Cost, Audit Log, Export, Change password</w:t>
      </w:r>
    </w:p>
    <w:p>
      <w:pPr>
        <w:spacing w:after="120" w:line="288"/>
      </w:pPr>
      <w:r>
        <w:t xml:space="preserve">See procedures 7.12, 7.18, 7.20, 7.19 and chapter 4.</w:t>
      </w:r>
    </w:p>
    <w:p>
      <w:pPr>
        <w:pStyle w:val="Heading1"/>
        <w:pageBreakBefore/>
      </w:pPr>
      <w:r>
        <w:t xml:space="preserve">7. Procedures, step by step</w:t>
      </w:r>
    </w:p>
    <w:p>
      <w:pPr>
        <w:spacing w:after="120" w:line="288"/>
      </w:pPr>
      <w:r>
        <w:t xml:space="preserve">Each procedure lists who may do it. Screens you cannot open are not in your menu.</w:t>
      </w:r>
    </w:p>
    <w:p>
      <w:pPr>
        <w:pStyle w:val="Heading2"/>
      </w:pPr>
      <w:r>
        <w:t xml:space="preserve">7.1 Dashboards (all monitoring roles)</w:t>
      </w:r>
    </w:p>
    <w:p>
      <w:pPr>
        <w:spacing w:after="120" w:line="288"/>
      </w:pPr>
      <w:r>
        <w:t xml:space="preserve">Open any dashboard from the top bar; see 6.1.</w:t>
      </w:r>
    </w:p>
    <w:p>
      <w:pPr>
        <w:pStyle w:val="Heading2"/>
      </w:pPr>
      <w:r>
        <w:t xml:space="preserve">7.2 Reports (PI, FC, Analyst, Supervisor)</w:t>
      </w:r>
    </w:p>
    <w:p>
      <w:pPr>
        <w:pStyle w:val="ListParagraph"/>
        <w:numPr>
          <w:ilvl w:val="0"/>
          <w:numId w:val="5"/>
        </w:numPr>
        <w:spacing w:after="80" w:line="276"/>
      </w:pPr>
      <w:r>
        <w:t xml:space="preserve">Select </w:t>
      </w:r>
      <w:r>
        <w:rPr>
          <w:b/>
          <w:bCs/>
        </w:rPr>
        <w:t xml:space="preserve">Reports</w:t>
      </w:r>
      <w:r>
        <w:t xml:space="preserve"> in the top bar.</w:t>
      </w:r>
    </w:p>
    <w:p>
      <w:pPr>
        <w:keepNext/>
        <w:spacing w:after="40" w:before="80"/>
        <w:jc w:val="center"/>
      </w:pPr>
      <w:r>
        <w:drawing>
          <wp:inline distT="0" distB="0" distL="0" distR="0">
            <wp:extent cx="5334000" cy="3333750"/>
            <wp:effectExtent t="0" r="0" b="0" l="0"/>
            <wp:docPr id="1" name="adm_reports_top.jpg" descr="Reports: headline figures for the chosen period." title="Reports: headline figures for the chosen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16. </w:t>
      </w:r>
      <w:r>
        <w:rPr>
          <w:i/>
          <w:iCs/>
          <w:color w:val="5B6670"/>
          <w:sz w:val="17"/>
          <w:szCs w:val="17"/>
        </w:rPr>
        <w:t xml:space="preserve">Reports: headline figures for the chosen period.</w:t>
      </w:r>
    </w:p>
    <w:p>
      <w:pPr>
        <w:pStyle w:val="ListParagraph"/>
        <w:numPr>
          <w:ilvl w:val="0"/>
          <w:numId w:val="5"/>
        </w:numPr>
        <w:spacing w:after="80" w:line="276"/>
      </w:pPr>
      <w:r>
        <w:t xml:space="preserve">Choose the period with </w:t>
      </w:r>
      <w:r>
        <w:rPr>
          <w:b/>
          <w:bCs/>
        </w:rPr>
        <w:t xml:space="preserve">Last 7 days</w:t>
      </w:r>
      <w:r>
        <w:t xml:space="preserve">, </w:t>
      </w:r>
      <w:r>
        <w:rPr>
          <w:b/>
          <w:bCs/>
        </w:rPr>
        <w:t xml:space="preserve">Last 30 days</w:t>
      </w:r>
      <w:r>
        <w:t xml:space="preserve">, </w:t>
      </w:r>
      <w:r>
        <w:rPr>
          <w:b/>
          <w:bCs/>
        </w:rPr>
        <w:t xml:space="preserve">Last 90 days</w:t>
      </w:r>
      <w:r>
        <w:t xml:space="preserve"> or </w:t>
      </w:r>
      <w:r>
        <w:rPr>
          <w:b/>
          <w:bCs/>
        </w:rPr>
        <w:t xml:space="preserve">All time</w:t>
      </w:r>
      <w:r>
        <w:t xml:space="preserve">. Case progress (the funnel and workflow) is always cumulative; time-based figures such as submissions per day follow the period.</w:t>
      </w:r>
    </w:p>
    <w:p>
      <w:pPr>
        <w:pStyle w:val="ListParagraph"/>
        <w:numPr>
          <w:ilvl w:val="0"/>
          <w:numId w:val="5"/>
        </w:numPr>
        <w:spacing w:after="80" w:line="276"/>
      </w:pPr>
      <w:r>
        <w:t xml:space="preserve">Read the headline cards: questionnaires submitted, passed QA, response rate (submitted ÷ invited), median completion time, follow-ups sent, withdrawals, Reserves activated, and fieldwork cost per QA-passed case.</w:t>
      </w:r>
    </w:p>
    <w:p>
      <w:pPr>
        <w:keepNext/>
        <w:spacing w:after="40" w:before="80"/>
        <w:jc w:val="center"/>
      </w:pPr>
      <w:r>
        <w:drawing>
          <wp:inline distT="0" distB="0" distL="0" distR="0">
            <wp:extent cx="5334000" cy="3409950"/>
            <wp:effectExtent t="0" r="0" b="0" l="0"/>
            <wp:docPr id="1" name="adm_reports_funnel.jpg" descr="Case funnel: each case counted once at every stage it has reached." title="Case funnel: each case counted once at every stage it has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409950"/>
                    </a:xfrm>
                    <a:prstGeom prst="rect">
                      <a:avLst/>
                    </a:prstGeom>
                  </pic:spPr>
                </pic:pic>
              </a:graphicData>
            </a:graphic>
          </wp:inline>
        </w:drawing>
      </w:r>
    </w:p>
    <w:p>
      <w:pPr>
        <w:spacing w:after="180"/>
        <w:jc w:val="center"/>
      </w:pPr>
      <w:r>
        <w:rPr>
          <w:b/>
          <w:bCs/>
          <w:color w:val="5B6670"/>
          <w:sz w:val="17"/>
          <w:szCs w:val="17"/>
        </w:rPr>
        <w:t xml:space="preserve">Figure 17. </w:t>
      </w:r>
      <w:r>
        <w:rPr>
          <w:i/>
          <w:iCs/>
          <w:color w:val="5B6670"/>
          <w:sz w:val="17"/>
          <w:szCs w:val="17"/>
        </w:rPr>
        <w:t xml:space="preserve">Case funnel: each case counted once at every stage it has reached.</w:t>
      </w:r>
    </w:p>
    <w:p>
      <w:pPr>
        <w:pStyle w:val="ListParagraph"/>
        <w:numPr>
          <w:ilvl w:val="0"/>
          <w:numId w:val="5"/>
        </w:numPr>
        <w:spacing w:after="80" w:line="276"/>
      </w:pPr>
      <w:r>
        <w:t xml:space="preserve">Select </w:t>
      </w:r>
      <w:r>
        <w:rPr>
          <w:b/>
          <w:bCs/>
        </w:rPr>
        <w:t xml:space="preserve">Show table</w:t>
      </w:r>
      <w:r>
        <w:t xml:space="preserve"> on any chart to see the exact numbers, for example to copy them into a progress report.</w:t>
      </w:r>
    </w:p>
    <w:p>
      <w:pPr>
        <w:keepNext/>
        <w:spacing w:after="40" w:before="80"/>
        <w:jc w:val="center"/>
      </w:pPr>
      <w:r>
        <w:drawing>
          <wp:inline distT="0" distB="0" distL="0" distR="0">
            <wp:extent cx="5334000" cy="3248025"/>
            <wp:effectExtent t="0" r="0" b="0" l="0"/>
            <wp:docPr id="1" name="adm_reports_funnel_table.jpg" descr="The same chart as a table." title="The same chart as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248025"/>
                    </a:xfrm>
                    <a:prstGeom prst="rect">
                      <a:avLst/>
                    </a:prstGeom>
                  </pic:spPr>
                </pic:pic>
              </a:graphicData>
            </a:graphic>
          </wp:inline>
        </w:drawing>
      </w:r>
    </w:p>
    <w:p>
      <w:pPr>
        <w:spacing w:after="180"/>
        <w:jc w:val="center"/>
      </w:pPr>
      <w:r>
        <w:rPr>
          <w:b/>
          <w:bCs/>
          <w:color w:val="5B6670"/>
          <w:sz w:val="17"/>
          <w:szCs w:val="17"/>
        </w:rPr>
        <w:t xml:space="preserve">Figure 18. </w:t>
      </w:r>
      <w:r>
        <w:rPr>
          <w:i/>
          <w:iCs/>
          <w:color w:val="5B6670"/>
          <w:sz w:val="17"/>
          <w:szCs w:val="17"/>
        </w:rPr>
        <w:t xml:space="preserve">The same chart as a table.</w:t>
      </w:r>
    </w:p>
    <w:p>
      <w:pPr>
        <w:pStyle w:val="ListParagraph"/>
        <w:numPr>
          <w:ilvl w:val="0"/>
          <w:numId w:val="5"/>
        </w:numPr>
        <w:spacing w:after="80" w:line="276"/>
      </w:pPr>
      <w:r>
        <w:t xml:space="preserve">Use </w:t>
      </w:r>
      <w:r>
        <w:rPr>
          <w:b/>
          <w:bCs/>
        </w:rPr>
        <w:t xml:space="preserve">Coverage</w:t>
      </w:r>
      <w:r>
        <w:t xml:space="preserve"> to see, by province, organisation type and size, what share of cases have been invited and have submitted. Short bars show where contact effort should go next.</w:t>
      </w:r>
    </w:p>
    <w:p>
      <w:pPr>
        <w:keepNext/>
        <w:spacing w:after="40" w:before="80"/>
        <w:jc w:val="center"/>
      </w:pPr>
      <w:r>
        <w:drawing>
          <wp:inline distT="0" distB="0" distL="0" distR="0">
            <wp:extent cx="5334000" cy="2628900"/>
            <wp:effectExtent t="0" r="0" b="0" l="0"/>
            <wp:docPr id="1" name="adm_reports_coverage.jpg" descr="Coverage by group." title="Coverage b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628900"/>
                    </a:xfrm>
                    <a:prstGeom prst="rect">
                      <a:avLst/>
                    </a:prstGeom>
                  </pic:spPr>
                </pic:pic>
              </a:graphicData>
            </a:graphic>
          </wp:inline>
        </w:drawing>
      </w:r>
    </w:p>
    <w:p>
      <w:pPr>
        <w:spacing w:after="180"/>
        <w:jc w:val="center"/>
      </w:pPr>
      <w:r>
        <w:rPr>
          <w:b/>
          <w:bCs/>
          <w:color w:val="5B6670"/>
          <w:sz w:val="17"/>
          <w:szCs w:val="17"/>
        </w:rPr>
        <w:t xml:space="preserve">Figure 19. </w:t>
      </w:r>
      <w:r>
        <w:rPr>
          <w:i/>
          <w:iCs/>
          <w:color w:val="5B6670"/>
          <w:sz w:val="17"/>
          <w:szCs w:val="17"/>
        </w:rPr>
        <w:t xml:space="preserve">Coverage by group.</w:t>
      </w:r>
    </w:p>
    <w:p>
      <w:pPr>
        <w:pStyle w:val="ListParagraph"/>
        <w:numPr>
          <w:ilvl w:val="0"/>
          <w:numId w:val="5"/>
        </w:numPr>
        <w:spacing w:after="80" w:line="276"/>
      </w:pPr>
      <w:r>
        <w:t xml:space="preserve">Check </w:t>
      </w:r>
      <w:r>
        <w:rPr>
          <w:b/>
          <w:bCs/>
        </w:rPr>
        <w:t xml:space="preserve">How questionnaires were completed</w:t>
      </w:r>
      <w:r>
        <w:t xml:space="preserve">. If one administration mode dominates (more than 70% once at least 10 questionnaires are in), the chart shows an imbalance alert so the team can review the mix.</w:t>
      </w:r>
    </w:p>
    <w:p>
      <w:pPr>
        <w:keepNext/>
        <w:spacing w:after="40" w:before="80"/>
        <w:jc w:val="center"/>
      </w:pPr>
      <w:r>
        <w:drawing>
          <wp:inline distT="0" distB="0" distL="0" distR="0">
            <wp:extent cx="5334000" cy="2600325"/>
            <wp:effectExtent t="0" r="0" b="0" l="0"/>
            <wp:docPr id="1" name="adm_reports_modes.jpg" descr="Administration modes." title="Administration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600325"/>
                    </a:xfrm>
                    <a:prstGeom prst="rect">
                      <a:avLst/>
                    </a:prstGeom>
                  </pic:spPr>
                </pic:pic>
              </a:graphicData>
            </a:graphic>
          </wp:inline>
        </w:drawing>
      </w:r>
    </w:p>
    <w:p>
      <w:pPr>
        <w:spacing w:after="180"/>
        <w:jc w:val="center"/>
      </w:pPr>
      <w:r>
        <w:rPr>
          <w:b/>
          <w:bCs/>
          <w:color w:val="5B6670"/>
          <w:sz w:val="17"/>
          <w:szCs w:val="17"/>
        </w:rPr>
        <w:t xml:space="preserve">Figure 20. </w:t>
      </w:r>
      <w:r>
        <w:rPr>
          <w:i/>
          <w:iCs/>
          <w:color w:val="5B6670"/>
          <w:sz w:val="17"/>
          <w:szCs w:val="17"/>
        </w:rPr>
        <w:t xml:space="preserve">Administration modes.</w:t>
      </w:r>
    </w:p>
    <w:p>
      <w:pPr>
        <w:pStyle w:val="ListParagraph"/>
        <w:numPr>
          <w:ilvl w:val="0"/>
          <w:numId w:val="5"/>
        </w:numPr>
        <w:spacing w:after="80" w:line="276"/>
      </w:pPr>
      <w:r>
        <w:t xml:space="preserve">Review </w:t>
      </w:r>
      <w:r>
        <w:rPr>
          <w:b/>
          <w:bCs/>
        </w:rPr>
        <w:t xml:space="preserve">Time to complete the questionnaire</w:t>
      </w:r>
      <w:r>
        <w:t xml:space="preserve"> and </w:t>
      </w:r>
      <w:r>
        <w:rPr>
          <w:b/>
          <w:bCs/>
        </w:rPr>
        <w:t xml:space="preserve">QA outcomes</w:t>
      </w:r>
      <w:r>
        <w:t xml:space="preserve">. Very short or very long completions are what the QA duration rules flag.</w:t>
      </w:r>
    </w:p>
    <w:p>
      <w:pPr>
        <w:keepNext/>
        <w:spacing w:after="40" w:before="80"/>
        <w:jc w:val="center"/>
      </w:pPr>
      <w:r>
        <w:drawing>
          <wp:inline distT="0" distB="0" distL="0" distR="0">
            <wp:extent cx="5334000" cy="2905125"/>
            <wp:effectExtent t="0" r="0" b="0" l="0"/>
            <wp:docPr id="1" name="adm_reports_duration.jpg" descr="Completion-time distribution." title="Completion-tim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905125"/>
                    </a:xfrm>
                    <a:prstGeom prst="rect">
                      <a:avLst/>
                    </a:prstGeom>
                  </pic:spPr>
                </pic:pic>
              </a:graphicData>
            </a:graphic>
          </wp:inline>
        </w:drawing>
      </w:r>
    </w:p>
    <w:p>
      <w:pPr>
        <w:spacing w:after="180"/>
        <w:jc w:val="center"/>
      </w:pPr>
      <w:r>
        <w:rPr>
          <w:b/>
          <w:bCs/>
          <w:color w:val="5B6670"/>
          <w:sz w:val="17"/>
          <w:szCs w:val="17"/>
        </w:rPr>
        <w:t xml:space="preserve">Figure 21. </w:t>
      </w:r>
      <w:r>
        <w:rPr>
          <w:i/>
          <w:iCs/>
          <w:color w:val="5B6670"/>
          <w:sz w:val="17"/>
          <w:szCs w:val="17"/>
        </w:rPr>
        <w:t xml:space="preserve">Completion-time distribution.</w:t>
      </w:r>
    </w:p>
    <w:p>
      <w:pPr>
        <w:spacing w:after="80"/>
      </w:pPr>
    </w:p>
    <w:p>
      <w:pPr>
        <w:spacing w:after="120" w:line="288"/>
      </w:pPr>
      <w:r>
        <w:t xml:space="preserve">Reports show counts and rates only — never names or answers — so they are safe to discuss with supervisors.</w:t>
      </w:r>
    </w:p>
    <w:p>
      <w:pPr>
        <w:pStyle w:val="Heading2"/>
      </w:pPr>
      <w:r>
        <w:t xml:space="preserve">7.3 Registering an organisation (PI, FC)</w:t>
      </w:r>
    </w:p>
    <w:p>
      <w:pPr>
        <w:spacing w:after="120" w:line="288"/>
      </w:pPr>
      <w:r>
        <w:t xml:space="preserve">The approved registers are already loaded. Use this only for a late addition or replacement.</w:t>
      </w:r>
    </w:p>
    <w:p>
      <w:pPr>
        <w:pStyle w:val="ListParagraph"/>
        <w:numPr>
          <w:ilvl w:val="0"/>
          <w:numId w:val="6"/>
        </w:numPr>
        <w:spacing w:after="80" w:line="276"/>
      </w:pPr>
      <w:r>
        <w:t xml:space="preserve">Select </w:t>
      </w:r>
      <w:r>
        <w:rPr>
          <w:b/>
          <w:bCs/>
        </w:rPr>
        <w:t xml:space="preserve">Organisations</w:t>
      </w:r>
      <w:r>
        <w:t xml:space="preserve"> in the top bar.</w:t>
      </w:r>
    </w:p>
    <w:p>
      <w:pPr>
        <w:keepNext/>
        <w:spacing w:after="40" w:before="80"/>
        <w:jc w:val="center"/>
      </w:pPr>
      <w:r>
        <w:drawing>
          <wp:inline distT="0" distB="0" distL="0" distR="0">
            <wp:extent cx="5334000" cy="3333750"/>
            <wp:effectExtent t="0" r="0" b="0" l="0"/>
            <wp:docPr id="1" name="adm_organisations.jpg" descr="Register Organisation: the form (top) and the list of registered organisations (below)." title="Register Organisation: the form (top) and the list of registered organisations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22. </w:t>
      </w:r>
      <w:r>
        <w:rPr>
          <w:i/>
          <w:iCs/>
          <w:color w:val="5B6670"/>
          <w:sz w:val="17"/>
          <w:szCs w:val="17"/>
        </w:rPr>
        <w:t xml:space="preserve">Register Organisation: the form (top) and the list of registered organisations (below).</w:t>
      </w:r>
    </w:p>
    <w:p>
      <w:pPr>
        <w:pStyle w:val="ListParagraph"/>
        <w:numPr>
          <w:ilvl w:val="0"/>
          <w:numId w:val="6"/>
        </w:numPr>
        <w:spacing w:after="80" w:line="276"/>
      </w:pPr>
      <w:r>
        <w:t xml:space="preserve">Complete </w:t>
      </w:r>
      <w:r>
        <w:rPr>
          <w:b/>
          <w:bCs/>
        </w:rPr>
        <w:t xml:space="preserve">Name</w:t>
      </w:r>
      <w:r>
        <w:t xml:space="preserve">, </w:t>
      </w:r>
      <w:r>
        <w:rPr>
          <w:b/>
          <w:bCs/>
        </w:rPr>
        <w:t xml:space="preserve">District</w:t>
      </w:r>
      <w:r>
        <w:t xml:space="preserve">, </w:t>
      </w:r>
      <w:r>
        <w:rPr>
          <w:b/>
          <w:bCs/>
        </w:rPr>
        <w:t xml:space="preserve">Province</w:t>
      </w:r>
      <w:r>
        <w:t xml:space="preserve">, </w:t>
      </w:r>
      <w:r>
        <w:rPr>
          <w:b/>
          <w:bCs/>
        </w:rPr>
        <w:t xml:space="preserve">Entity type</w:t>
      </w:r>
      <w:r>
        <w:t xml:space="preserve">, </w:t>
      </w:r>
      <w:r>
        <w:rPr>
          <w:b/>
          <w:bCs/>
        </w:rPr>
        <w:t xml:space="preserve">Actor family</w:t>
      </w:r>
      <w:r>
        <w:t xml:space="preserve">, </w:t>
      </w:r>
      <w:r>
        <w:rPr>
          <w:b/>
          <w:bCs/>
        </w:rPr>
        <w:t xml:space="preserve">Value chain</w:t>
      </w:r>
      <w:r>
        <w:t xml:space="preserve"> and </w:t>
      </w:r>
      <w:r>
        <w:rPr>
          <w:b/>
          <w:bCs/>
        </w:rPr>
        <w:t xml:space="preserve">Size class</w:t>
      </w:r>
      <w:r>
        <w:t xml:space="preserve">. Province, actor family and size class decide the stratum, so check them carefully.</w:t>
      </w:r>
    </w:p>
    <w:p>
      <w:pPr>
        <w:pStyle w:val="ListParagraph"/>
        <w:numPr>
          <w:ilvl w:val="0"/>
          <w:numId w:val="6"/>
        </w:numPr>
        <w:spacing w:after="80" w:line="276"/>
      </w:pPr>
      <w:r>
        <w:t xml:space="preserve">Select </w:t>
      </w:r>
      <w:r>
        <w:rPr>
          <w:b/>
          <w:bCs/>
        </w:rPr>
        <w:t xml:space="preserve">Register organisation</w:t>
      </w:r>
      <w:r>
        <w:t xml:space="preserve">. The Master ID (e.g. MID-HA-000012) is generated automatically.</w:t>
      </w:r>
    </w:p>
    <w:p>
      <w:pPr>
        <w:pStyle w:val="ListParagraph"/>
        <w:numPr>
          <w:ilvl w:val="0"/>
          <w:numId w:val="6"/>
        </w:numPr>
        <w:spacing w:after="80" w:line="276"/>
      </w:pPr>
      <w:r>
        <w:t xml:space="preserve">When offered, choose </w:t>
      </w:r>
      <w:r>
        <w:rPr>
          <w:b/>
          <w:bCs/>
        </w:rPr>
        <w:t xml:space="preserve">Main</w:t>
      </w:r>
      <w:r>
        <w:t xml:space="preserve"> or </w:t>
      </w:r>
      <w:r>
        <w:rPr>
          <w:b/>
          <w:bCs/>
        </w:rPr>
        <w:t xml:space="preserve">Reserve</w:t>
      </w:r>
      <w:r>
        <w:t xml:space="preserve"> and select </w:t>
      </w:r>
      <w:r>
        <w:rPr>
          <w:b/>
          <w:bCs/>
        </w:rPr>
        <w:t xml:space="preserve">Create sample case</w:t>
      </w:r>
      <w:r>
        <w:t xml:space="preserve">. The Sample ID is generated and the new case page opens. You can also create the case later from the organisation's row in the list.</w:t>
      </w:r>
    </w:p>
    <w:p>
      <w:pPr>
        <w:pStyle w:val="ListParagraph"/>
        <w:numPr>
          <w:ilvl w:val="0"/>
          <w:numId w:val="6"/>
        </w:numPr>
        <w:spacing w:after="80" w:line="276"/>
      </w:pPr>
      <w:r>
        <w:t xml:space="preserve">For a Main case, register its Reserve counterpart in the </w:t>
      </w:r>
      <w:r>
        <w:rPr>
          <w:b/>
          <w:bCs/>
        </w:rPr>
        <w:t xml:space="preserve">same province, actor family and size class</w:t>
      </w:r>
      <w:r>
        <w:t xml:space="preserve">, then pair them (see “Pairing a Main case with its Reserve”).</w:t>
      </w:r>
    </w:p>
    <w:p>
      <w:pPr>
        <w:spacing w:after="80"/>
      </w:pPr>
    </w:p>
    <w:p>
      <w:pPr>
        <w:pStyle w:val="Heading2"/>
      </w:pPr>
      <w:r>
        <w:t xml:space="preserve">7.3a Correcting an already-registered organisation</w:t>
      </w:r>
    </w:p>
    <w:p>
      <w:pPr>
        <w:spacing w:after="120" w:line="288"/>
      </w:pPr>
      <w:r>
        <w:t xml:space="preserve">For a mistyped name or a wrong district, entity type or value chain found after registration.</w:t>
      </w:r>
    </w:p>
    <w:p>
      <w:pPr>
        <w:pStyle w:val="ListParagraph"/>
        <w:numPr>
          <w:ilvl w:val="0"/>
          <w:numId w:val="7"/>
        </w:numPr>
        <w:spacing w:after="80" w:line="276"/>
      </w:pPr>
      <w:r>
        <w:t xml:space="preserve">In </w:t>
      </w:r>
      <w:r>
        <w:rPr>
          <w:b/>
          <w:bCs/>
        </w:rPr>
        <w:t xml:space="preserve">Organisations</w:t>
      </w:r>
      <w:r>
        <w:t xml:space="preserve">, find the row and select </w:t>
      </w:r>
      <w:r>
        <w:rPr>
          <w:b/>
          <w:bCs/>
        </w:rPr>
        <w:t xml:space="preserve">Edit</w:t>
      </w:r>
      <w:r>
        <w:t xml:space="preserve">.</w:t>
      </w:r>
    </w:p>
    <w:p>
      <w:pPr>
        <w:keepNext/>
        <w:spacing w:after="40" w:before="80"/>
        <w:jc w:val="center"/>
      </w:pPr>
      <w:r>
        <w:drawing>
          <wp:inline distT="0" distB="0" distL="0" distR="0">
            <wp:extent cx="5334000" cy="3333750"/>
            <wp:effectExtent t="0" r="0" b="0" l="0"/>
            <wp:docPr id="1" name="adm_organisations.jpg" descr="Edit opens the row's own Name, District, Entity type and Value chain fields." title="Edit opens the row's own Name, District, Entity type and Value chain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23. </w:t>
      </w:r>
      <w:r>
        <w:rPr>
          <w:i/>
          <w:iCs/>
          <w:color w:val="5B6670"/>
          <w:sz w:val="17"/>
          <w:szCs w:val="17"/>
        </w:rPr>
        <w:t xml:space="preserve">Edit opens the row's own Name, District, Entity type and Value chain fields.</w:t>
      </w:r>
    </w:p>
    <w:p>
      <w:pPr>
        <w:pStyle w:val="ListParagraph"/>
        <w:numPr>
          <w:ilvl w:val="0"/>
          <w:numId w:val="7"/>
        </w:numPr>
        <w:spacing w:after="80" w:line="276"/>
      </w:pPr>
      <w:r>
        <w:t xml:space="preserve">Correct </w:t>
      </w:r>
      <w:r>
        <w:rPr>
          <w:b/>
          <w:bCs/>
        </w:rPr>
        <w:t xml:space="preserve">Name</w:t>
      </w:r>
      <w:r>
        <w:t xml:space="preserve">, </w:t>
      </w:r>
      <w:r>
        <w:rPr>
          <w:b/>
          <w:bCs/>
        </w:rPr>
        <w:t xml:space="preserve">District</w:t>
      </w:r>
      <w:r>
        <w:t xml:space="preserve">, </w:t>
      </w:r>
      <w:r>
        <w:rPr>
          <w:b/>
          <w:bCs/>
        </w:rPr>
        <w:t xml:space="preserve">Entity type</w:t>
      </w:r>
      <w:r>
        <w:t xml:space="preserve"> and/or </w:t>
      </w:r>
      <w:r>
        <w:rPr>
          <w:b/>
          <w:bCs/>
        </w:rPr>
        <w:t xml:space="preserve">Value chain</w:t>
      </w:r>
      <w:r>
        <w:t xml:space="preserve">, then select </w:t>
      </w:r>
      <w:r>
        <w:rPr>
          <w:b/>
          <w:bCs/>
        </w:rPr>
        <w:t xml:space="preserve">Save</w:t>
      </w:r>
      <w:r>
        <w:t xml:space="preserve">.</w:t>
      </w:r>
    </w:p>
    <w:p>
      <w:pPr>
        <w:pStyle w:val="ListParagraph"/>
        <w:numPr>
          <w:ilvl w:val="0"/>
          <w:numId w:val="7"/>
        </w:numPr>
        <w:spacing w:after="80" w:line="276"/>
      </w:pPr>
      <w:r>
        <w:t xml:space="preserve">Select </w:t>
      </w:r>
      <w:r>
        <w:rPr>
          <w:b/>
          <w:bCs/>
        </w:rPr>
        <w:t xml:space="preserve">Cancel</w:t>
      </w:r>
      <w:r>
        <w:t xml:space="preserve"> to close the row without saving.</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Province, actor family and size class can't be corrected here</w:t>
            </w:r>
          </w:p>
          <w:p>
            <w:pPr>
              <w:spacing w:after="40" w:line="264"/>
            </w:pPr>
            <w:r>
              <w:rPr>
                <w:sz w:val="19"/>
                <w:szCs w:val="19"/>
              </w:rPr>
              <w:t xml:space="preserve">These three decide which stratum the organisation's case is paired and Reserve-matched against, set once at registration — changing them later here would silently detach the organisation from that pairing. If one was genuinely entered wrong, ask the technical administrator rather than registering a replacement.</w:t>
            </w:r>
          </w:p>
        </w:tc>
      </w:tr>
    </w:tbl>
    <w:p>
      <w:pPr>
        <w:pStyle w:val="Heading2"/>
      </w:pPr>
      <w:r>
        <w:t xml:space="preserve">7.4 Pairing a Reserve and assigning a Contact RA (PI, FC)</w:t>
      </w:r>
    </w:p>
    <w:p>
      <w:pPr>
        <w:pStyle w:val="ListParagraph"/>
        <w:numPr>
          <w:ilvl w:val="0"/>
          <w:numId w:val="8"/>
        </w:numPr>
        <w:spacing w:after="80" w:line="276"/>
      </w:pPr>
      <w:r>
        <w:t xml:space="preserve">Open the Main case (</w:t>
      </w:r>
      <w:r>
        <w:rPr>
          <w:b/>
          <w:bCs/>
        </w:rPr>
        <w:t xml:space="preserve">Main-400 Register → View</w:t>
      </w:r>
      <w:r>
        <w:t xml:space="preserve">).</w:t>
      </w:r>
    </w:p>
    <w:p>
      <w:pPr>
        <w:pStyle w:val="ListParagraph"/>
        <w:numPr>
          <w:ilvl w:val="0"/>
          <w:numId w:val="8"/>
        </w:numPr>
        <w:spacing w:after="80" w:line="276"/>
      </w:pPr>
      <w:r>
        <w:t xml:space="preserve">In </w:t>
      </w:r>
      <w:r>
        <w:rPr>
          <w:b/>
          <w:bCs/>
        </w:rPr>
        <w:t xml:space="preserve">Assigned Contact RA</w:t>
      </w:r>
      <w:r>
        <w:t xml:space="preserve">, choose the RA from the list. The change saves straight away and shows </w:t>
      </w:r>
      <w:r>
        <w:rPr>
          <w:b/>
          <w:bCs/>
        </w:rPr>
        <w:t xml:space="preserve">Currently: &lt;name&gt;</w:t>
      </w:r>
      <w:r>
        <w:t xml:space="preserve">. That RA now sees the case; other Contact RAs do not.</w:t>
      </w:r>
    </w:p>
    <w:p>
      <w:pPr>
        <w:keepNext/>
        <w:spacing w:after="40" w:before="80"/>
        <w:jc w:val="center"/>
      </w:pPr>
      <w:r>
        <w:drawing>
          <wp:inline distT="0" distB="0" distL="0" distR="0">
            <wp:extent cx="5334000" cy="581025"/>
            <wp:effectExtent t="0" r="0" b="0" l="0"/>
            <wp:docPr id="1" name="adm_case_assign.jpg" descr="Assigned Contact RA." title="Assigned Contact 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581025"/>
                    </a:xfrm>
                    <a:prstGeom prst="rect">
                      <a:avLst/>
                    </a:prstGeom>
                  </pic:spPr>
                </pic:pic>
              </a:graphicData>
            </a:graphic>
          </wp:inline>
        </w:drawing>
      </w:r>
    </w:p>
    <w:p>
      <w:pPr>
        <w:spacing w:after="180"/>
        <w:jc w:val="center"/>
      </w:pPr>
      <w:r>
        <w:rPr>
          <w:b/>
          <w:bCs/>
          <w:color w:val="5B6670"/>
          <w:sz w:val="17"/>
          <w:szCs w:val="17"/>
        </w:rPr>
        <w:t xml:space="preserve">Figure 24. </w:t>
      </w:r>
      <w:r>
        <w:rPr>
          <w:i/>
          <w:iCs/>
          <w:color w:val="5B6670"/>
          <w:sz w:val="17"/>
          <w:szCs w:val="17"/>
        </w:rPr>
        <w:t xml:space="preserve">Assigned Contact RA.</w:t>
      </w:r>
    </w:p>
    <w:p>
      <w:pPr>
        <w:pStyle w:val="ListParagraph"/>
        <w:numPr>
          <w:ilvl w:val="0"/>
          <w:numId w:val="8"/>
        </w:numPr>
        <w:spacing w:after="80" w:line="276"/>
      </w:pPr>
      <w:r>
        <w:t xml:space="preserve">In </w:t>
      </w:r>
      <w:r>
        <w:rPr>
          <w:b/>
          <w:bCs/>
        </w:rPr>
        <w:t xml:space="preserve">Matched Reserve case</w:t>
      </w:r>
      <w:r>
        <w:t xml:space="preserve">, choose the Reserve. Only locked Reserves not already paired are offered, same-stratum ones first. A cross-stratum choice is allowed but flagged in the audit log.</w:t>
      </w:r>
    </w:p>
    <w:p>
      <w:pPr>
        <w:keepNext/>
        <w:spacing w:after="40" w:before="80"/>
        <w:jc w:val="center"/>
      </w:pPr>
      <w:r>
        <w:drawing>
          <wp:inline distT="0" distB="0" distL="0" distR="0">
            <wp:extent cx="5334000" cy="685800"/>
            <wp:effectExtent t="0" r="0" b="0" l="0"/>
            <wp:docPr id="1" name="adm_case_reserve.jpg" descr="Matched Reserve case." title="Matched Reserv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685800"/>
                    </a:xfrm>
                    <a:prstGeom prst="rect">
                      <a:avLst/>
                    </a:prstGeom>
                  </pic:spPr>
                </pic:pic>
              </a:graphicData>
            </a:graphic>
          </wp:inline>
        </w:drawing>
      </w:r>
    </w:p>
    <w:p>
      <w:pPr>
        <w:spacing w:after="180"/>
        <w:jc w:val="center"/>
      </w:pPr>
      <w:r>
        <w:rPr>
          <w:b/>
          <w:bCs/>
          <w:color w:val="5B6670"/>
          <w:sz w:val="17"/>
          <w:szCs w:val="17"/>
        </w:rPr>
        <w:t xml:space="preserve">Figure 25. </w:t>
      </w:r>
      <w:r>
        <w:rPr>
          <w:i/>
          <w:iCs/>
          <w:color w:val="5B6670"/>
          <w:sz w:val="17"/>
          <w:szCs w:val="17"/>
        </w:rPr>
        <w:t xml:space="preserve">Matched Reserve case.</w:t>
      </w:r>
    </w:p>
    <w:p>
      <w:pPr>
        <w:spacing w:after="80"/>
      </w:pPr>
    </w:p>
    <w:p>
      <w:pPr>
        <w:pStyle w:val="Heading2"/>
      </w:pPr>
      <w:r>
        <w:t xml:space="preserve">7.5 Bulk verification to S03 (PI, FC)</w:t>
      </w:r>
    </w:p>
    <w:p>
      <w:pPr>
        <w:spacing w:after="120" w:line="288"/>
      </w:pPr>
      <w:r>
        <w:t xml:space="preserve">Every Main case must reach </w:t>
      </w:r>
      <w:r>
        <w:rPr>
          <w:b/>
          <w:bCs/>
        </w:rPr>
        <w:t xml:space="preserve">S03 Eligible respondent identified</w:t>
      </w:r>
      <w:r>
        <w:t xml:space="preserve"> before it is invited, otherwise its status will not follow the respondent and no reminders are offered. Verification (S00 → S01 → S02 → S03) can be done for all cases at a step at once.</w:t>
      </w:r>
    </w:p>
    <w:p>
      <w:pPr>
        <w:pStyle w:val="ListParagraph"/>
        <w:numPr>
          <w:ilvl w:val="0"/>
          <w:numId w:val="9"/>
        </w:numPr>
        <w:spacing w:after="80" w:line="276"/>
      </w:pPr>
      <w:r>
        <w:t xml:space="preserve">Open </w:t>
      </w:r>
      <w:r>
        <w:rPr>
          <w:b/>
          <w:bCs/>
        </w:rPr>
        <w:t xml:space="preserve">Main-400 Register</w:t>
      </w:r>
      <w:r>
        <w:t xml:space="preserve">.</w:t>
      </w:r>
    </w:p>
    <w:p>
      <w:pPr>
        <w:pStyle w:val="ListParagraph"/>
        <w:numPr>
          <w:ilvl w:val="0"/>
          <w:numId w:val="9"/>
        </w:numPr>
        <w:spacing w:after="80" w:line="276"/>
      </w:pPr>
      <w:r>
        <w:t xml:space="preserve">In </w:t>
      </w:r>
      <w:r>
        <w:rPr>
          <w:b/>
          <w:bCs/>
        </w:rPr>
        <w:t xml:space="preserve">Move cases through verification</w:t>
      </w:r>
      <w:r>
        <w:t xml:space="preserve">, choose the step, for example </w:t>
      </w:r>
      <w:r>
        <w:rPr>
          <w:b/>
          <w:bCs/>
        </w:rPr>
        <w:t xml:space="preserve">S00 Selected → S01 Verification required</w:t>
      </w:r>
      <w:r>
        <w:t xml:space="preserve">. The button shows how many Main cases are at that step, e.g. </w:t>
      </w:r>
      <w:r>
        <w:rPr>
          <w:b/>
          <w:bCs/>
        </w:rPr>
        <w:t xml:space="preserve">Move all 48</w:t>
      </w:r>
      <w:r>
        <w:t xml:space="preserve">.</w:t>
      </w:r>
    </w:p>
    <w:p>
      <w:pPr>
        <w:keepNext/>
        <w:spacing w:after="40" w:before="80"/>
        <w:jc w:val="center"/>
      </w:pPr>
      <w:r>
        <w:drawing>
          <wp:inline distT="0" distB="0" distL="0" distR="0">
            <wp:extent cx="5334000" cy="609600"/>
            <wp:effectExtent t="0" r="0" b="0" l="0"/>
            <wp:docPr id="1" name="adm_bulk_verification.jpg" descr="The bulk verification tool on the register." title="The bulk verification tool on the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609600"/>
                    </a:xfrm>
                    <a:prstGeom prst="rect">
                      <a:avLst/>
                    </a:prstGeom>
                  </pic:spPr>
                </pic:pic>
              </a:graphicData>
            </a:graphic>
          </wp:inline>
        </w:drawing>
      </w:r>
    </w:p>
    <w:p>
      <w:pPr>
        <w:spacing w:after="180"/>
        <w:jc w:val="center"/>
      </w:pPr>
      <w:r>
        <w:rPr>
          <w:b/>
          <w:bCs/>
          <w:color w:val="5B6670"/>
          <w:sz w:val="17"/>
          <w:szCs w:val="17"/>
        </w:rPr>
        <w:t xml:space="preserve">Figure 26. </w:t>
      </w:r>
      <w:r>
        <w:rPr>
          <w:i/>
          <w:iCs/>
          <w:color w:val="5B6670"/>
          <w:sz w:val="17"/>
          <w:szCs w:val="17"/>
        </w:rPr>
        <w:t xml:space="preserve">The bulk verification tool on the register.</w:t>
      </w:r>
    </w:p>
    <w:p>
      <w:pPr>
        <w:pStyle w:val="ListParagraph"/>
        <w:numPr>
          <w:ilvl w:val="0"/>
          <w:numId w:val="9"/>
        </w:numPr>
        <w:spacing w:after="80" w:line="276"/>
      </w:pPr>
      <w:r>
        <w:t xml:space="preserve">Select the button and confirm. Each case is moved individually and each move is written to the audit log under your name.</w:t>
      </w:r>
    </w:p>
    <w:p>
      <w:pPr>
        <w:pStyle w:val="ListParagraph"/>
        <w:numPr>
          <w:ilvl w:val="0"/>
          <w:numId w:val="9"/>
        </w:numPr>
        <w:spacing w:after="80" w:line="276"/>
      </w:pPr>
      <w:r>
        <w:t xml:space="preserve">Repeat for </w:t>
      </w:r>
      <w:r>
        <w:rPr>
          <w:b/>
          <w:bCs/>
        </w:rPr>
        <w:t xml:space="preserve">S01 → S02</w:t>
      </w:r>
      <w:r>
        <w:t xml:space="preserve"> and </w:t>
      </w:r>
      <w:r>
        <w:rPr>
          <w:b/>
          <w:bCs/>
        </w:rPr>
        <w:t xml:space="preserve">S02 → S03</w:t>
      </w:r>
      <w:r>
        <w:t xml:space="preserve">.</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Only verification is bulk</w:t>
            </w:r>
          </w:p>
          <w:p>
            <w:pPr>
              <w:spacing w:after="40" w:line="264"/>
            </w:pPr>
            <w:r>
              <w:rPr>
                <w:sz w:val="19"/>
                <w:szCs w:val="19"/>
              </w:rPr>
              <w:t xml:space="preserve">Statuses from S04 onwards follow real events (invitation sent, link opened, questionnaire submitted, QA decision) or an individual decision on the case page. They are never changed in bulk.</w:t>
            </w:r>
          </w:p>
        </w:tc>
      </w:tr>
    </w:tbl>
    <w:p>
      <w:pPr>
        <w:pStyle w:val="Heading2"/>
      </w:pPr>
      <w:r>
        <w:t xml:space="preserve">7.6 Recording respondents and contact details (PI, FC, Contact RA)</w:t>
      </w:r>
    </w:p>
    <w:p>
      <w:pPr>
        <w:spacing w:after="120" w:line="288"/>
      </w:pPr>
      <w:r>
        <w:t xml:space="preserve">Invitations and reminders need a phone or WhatsApp number. Record the eligible person as soon as they are identified.</w:t>
      </w:r>
    </w:p>
    <w:p>
      <w:pPr>
        <w:pStyle w:val="ListParagraph"/>
        <w:numPr>
          <w:ilvl w:val="0"/>
          <w:numId w:val="10"/>
        </w:numPr>
        <w:spacing w:after="80" w:line="276"/>
      </w:pPr>
      <w:r>
        <w:t xml:space="preserve">Open the case (</w:t>
      </w:r>
      <w:r>
        <w:rPr>
          <w:b/>
          <w:bCs/>
        </w:rPr>
        <w:t xml:space="preserve">Main-400 Register → View</w:t>
      </w:r>
      <w:r>
        <w:t xml:space="preserve">) and find </w:t>
      </w:r>
      <w:r>
        <w:rPr>
          <w:b/>
          <w:bCs/>
        </w:rPr>
        <w:t xml:space="preserve">Respondents and contact details</w:t>
      </w:r>
      <w:r>
        <w:t xml:space="preserve">.</w:t>
      </w:r>
    </w:p>
    <w:p>
      <w:pPr>
        <w:pStyle w:val="ListParagraph"/>
        <w:numPr>
          <w:ilvl w:val="0"/>
          <w:numId w:val="10"/>
        </w:numPr>
        <w:spacing w:after="80" w:line="276"/>
      </w:pPr>
      <w:r>
        <w:t xml:space="preserve">Select </w:t>
      </w:r>
      <w:r>
        <w:rPr>
          <w:b/>
          <w:bCs/>
        </w:rPr>
        <w:t xml:space="preserve">Add a person</w:t>
      </w:r>
      <w:r>
        <w:t xml:space="preserve">. Enter </w:t>
      </w:r>
      <w:r>
        <w:rPr>
          <w:b/>
          <w:bCs/>
        </w:rPr>
        <w:t xml:space="preserve">Full name</w:t>
      </w:r>
      <w:r>
        <w:t xml:space="preserve">, </w:t>
      </w:r>
      <w:r>
        <w:rPr>
          <w:b/>
          <w:bCs/>
        </w:rPr>
        <w:t xml:space="preserve">Phone</w:t>
      </w:r>
      <w:r>
        <w:t xml:space="preserve">, </w:t>
      </w:r>
      <w:r>
        <w:rPr>
          <w:b/>
          <w:bCs/>
        </w:rPr>
        <w:t xml:space="preserve">WhatsApp number</w:t>
      </w:r>
      <w:r>
        <w:t xml:space="preserve">, </w:t>
      </w:r>
      <w:r>
        <w:rPr>
          <w:b/>
          <w:bCs/>
        </w:rPr>
        <w:t xml:space="preserve">Email</w:t>
      </w:r>
      <w:r>
        <w:t xml:space="preserve">, and a </w:t>
      </w:r>
      <w:r>
        <w:rPr>
          <w:b/>
          <w:bCs/>
        </w:rPr>
        <w:t xml:space="preserve">Gatekeeper name</w:t>
      </w:r>
      <w:r>
        <w:t xml:space="preserve"> and </w:t>
      </w:r>
      <w:r>
        <w:rPr>
          <w:b/>
          <w:bCs/>
        </w:rPr>
        <w:t xml:space="preserve">Gatekeeper contact</w:t>
      </w:r>
      <w:r>
        <w:t xml:space="preserve"> if you reach the person through a PA or receptionist.</w:t>
      </w:r>
    </w:p>
    <w:p>
      <w:pPr>
        <w:keepNext/>
        <w:spacing w:after="40" w:before="80"/>
        <w:jc w:val="center"/>
      </w:pPr>
      <w:r>
        <w:drawing>
          <wp:inline distT="0" distB="0" distL="0" distR="0">
            <wp:extent cx="5334000" cy="2114550"/>
            <wp:effectExtent t="0" r="0" b="0" l="0"/>
            <wp:docPr id="1" name="adm_case_add_person.jpg" descr="Adding a person to a case." title="Adding a person to a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114550"/>
                    </a:xfrm>
                    <a:prstGeom prst="rect">
                      <a:avLst/>
                    </a:prstGeom>
                  </pic:spPr>
                </pic:pic>
              </a:graphicData>
            </a:graphic>
          </wp:inline>
        </w:drawing>
      </w:r>
    </w:p>
    <w:p>
      <w:pPr>
        <w:spacing w:after="180"/>
        <w:jc w:val="center"/>
      </w:pPr>
      <w:r>
        <w:rPr>
          <w:b/>
          <w:bCs/>
          <w:color w:val="5B6670"/>
          <w:sz w:val="17"/>
          <w:szCs w:val="17"/>
        </w:rPr>
        <w:t xml:space="preserve">Figure 27. </w:t>
      </w:r>
      <w:r>
        <w:rPr>
          <w:i/>
          <w:iCs/>
          <w:color w:val="5B6670"/>
          <w:sz w:val="17"/>
          <w:szCs w:val="17"/>
        </w:rPr>
        <w:t xml:space="preserve">Adding a person to a case.</w:t>
      </w:r>
    </w:p>
    <w:p>
      <w:pPr>
        <w:pStyle w:val="ListParagraph"/>
        <w:numPr>
          <w:ilvl w:val="0"/>
          <w:numId w:val="10"/>
        </w:numPr>
        <w:spacing w:after="80" w:line="276"/>
      </w:pPr>
      <w:r>
        <w:t xml:space="preserve">Choose their </w:t>
      </w:r>
      <w:r>
        <w:rPr>
          <w:b/>
          <w:bCs/>
        </w:rPr>
        <w:t xml:space="preserve">role</w:t>
      </w:r>
      <w:r>
        <w:t xml:space="preserve"> and the eligibility decision: </w:t>
      </w:r>
      <w:r>
        <w:rPr>
          <w:b/>
          <w:bCs/>
        </w:rPr>
        <w:t xml:space="preserve">Eligible (I screened them)</w:t>
      </w:r>
      <w:r>
        <w:t xml:space="preserve">, </w:t>
      </w:r>
      <w:r>
        <w:rPr>
          <w:b/>
          <w:bCs/>
        </w:rPr>
        <w:t xml:space="preserve">Not eligible</w:t>
      </w:r>
      <w:r>
        <w:t xml:space="preserve">, or </w:t>
      </w:r>
      <w:r>
        <w:rPr>
          <w:b/>
          <w:bCs/>
        </w:rPr>
        <w:t xml:space="preserve">Not yet screened</w:t>
      </w:r>
      <w:r>
        <w:t xml:space="preserve">.</w:t>
      </w:r>
    </w:p>
    <w:p>
      <w:pPr>
        <w:pStyle w:val="ListParagraph"/>
        <w:numPr>
          <w:ilvl w:val="0"/>
          <w:numId w:val="10"/>
        </w:numPr>
        <w:spacing w:after="80" w:line="276"/>
      </w:pPr>
      <w:r>
        <w:t xml:space="preserve">Select </w:t>
      </w:r>
      <w:r>
        <w:rPr>
          <w:b/>
          <w:bCs/>
        </w:rPr>
        <w:t xml:space="preserve">Save person</w:t>
      </w:r>
      <w:r>
        <w:t xml:space="preserve">. To correct details later, select </w:t>
      </w:r>
      <w:r>
        <w:rPr>
          <w:b/>
          <w:bCs/>
        </w:rPr>
        <w:t xml:space="preserve">Edit</w:t>
      </w:r>
      <w:r>
        <w:t xml:space="preserve"> beside the person, change the fields, then </w:t>
      </w:r>
      <w:r>
        <w:rPr>
          <w:b/>
          <w:bCs/>
        </w:rPr>
        <w:t xml:space="preserve">Save changes</w:t>
      </w:r>
      <w:r>
        <w:t xml:space="preserve">.</w:t>
      </w:r>
    </w:p>
    <w:p>
      <w:pPr>
        <w:pStyle w:val="ListParagraph"/>
        <w:numPr>
          <w:ilvl w:val="0"/>
          <w:numId w:val="10"/>
        </w:numPr>
        <w:spacing w:after="80" w:line="276"/>
      </w:pPr>
      <w:r>
        <w:t xml:space="preserve">Write WhatsApp numbers in international form, e.g. </w:t>
      </w:r>
      <w:r>
        <w:rPr>
          <w:b/>
          <w:bCs/>
        </w:rPr>
        <w:t xml:space="preserve">+263 77 123 4567</w:t>
      </w:r>
      <w:r>
        <w:t xml:space="preserve">, so the WhatsApp buttons open the right chat.</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Who is eligible?</w:t>
            </w:r>
          </w:p>
          <w:p>
            <w:pPr>
              <w:spacing w:after="40" w:line="264"/>
            </w:pPr>
            <w:r>
              <w:rPr>
                <w:sz w:val="19"/>
                <w:szCs w:val="19"/>
              </w:rPr>
              <w:t xml:space="preserve">Owner or founder, CEO or managing director, finance/credit/risk, operations, strategy/business development, supply chain/commercial, or another senior manager who can answer for the organisation. Anyone else should nominate the right person.</w:t>
            </w:r>
          </w:p>
        </w:tc>
      </w:tr>
    </w:tbl>
    <w:p>
      <w:pPr>
        <w:pStyle w:val="Heading2"/>
      </w:pPr>
      <w:r>
        <w:t xml:space="preserve">7.7 Sending an invitation (PI, FC, Contact RA)</w:t>
      </w:r>
    </w:p>
    <w:p>
      <w:pPr>
        <w:pStyle w:val="ListParagraph"/>
        <w:numPr>
          <w:ilvl w:val="0"/>
          <w:numId w:val="11"/>
        </w:numPr>
        <w:spacing w:after="80" w:line="276"/>
      </w:pPr>
      <w:r>
        <w:t xml:space="preserve">Open the case. Check the status is </w:t>
      </w:r>
      <w:r>
        <w:rPr>
          <w:b/>
          <w:bCs/>
        </w:rPr>
        <w:t xml:space="preserve">S03</w:t>
      </w:r>
      <w:r>
        <w:t xml:space="preserve"> and a respondent with a number is recorded.</w:t>
      </w:r>
    </w:p>
    <w:p>
      <w:pPr>
        <w:pStyle w:val="ListParagraph"/>
        <w:numPr>
          <w:ilvl w:val="0"/>
          <w:numId w:val="11"/>
        </w:numPr>
        <w:spacing w:after="80" w:line="276"/>
      </w:pPr>
      <w:r>
        <w:t xml:space="preserve">In </w:t>
      </w:r>
      <w:r>
        <w:rPr>
          <w:b/>
          <w:bCs/>
        </w:rPr>
        <w:t xml:space="preserve">Invitations</w:t>
      </w:r>
      <w:r>
        <w:t xml:space="preserve">, leave </w:t>
      </w:r>
      <w:r>
        <w:rPr>
          <w:b/>
          <w:bCs/>
        </w:rPr>
        <w:t xml:space="preserve">Channel</w:t>
      </w:r>
      <w:r>
        <w:t xml:space="preserve"> as </w:t>
      </w:r>
      <w:r>
        <w:rPr>
          <w:b/>
          <w:bCs/>
        </w:rPr>
        <w:t xml:space="preserve">WHATSAPP</w:t>
      </w:r>
      <w:r>
        <w:t xml:space="preserve"> (or choose EMAIL, SMS, PRINTED_CODE or QR to record how it was delivered) and </w:t>
      </w:r>
      <w:r>
        <w:rPr>
          <w:b/>
          <w:bCs/>
        </w:rPr>
        <w:t xml:space="preserve">Wave</w:t>
      </w:r>
      <w:r>
        <w:t xml:space="preserve"> as </w:t>
      </w:r>
      <w:r>
        <w:rPr>
          <w:b/>
          <w:bCs/>
        </w:rPr>
        <w:t xml:space="preserve">1</w:t>
      </w:r>
      <w:r>
        <w:t xml:space="preserve">. Select </w:t>
      </w:r>
      <w:r>
        <w:rPr>
          <w:b/>
          <w:bCs/>
        </w:rPr>
        <w:t xml:space="preserve">Send invitation</w:t>
      </w:r>
      <w:r>
        <w:t xml:space="preserve">.</w:t>
      </w:r>
    </w:p>
    <w:p>
      <w:pPr>
        <w:keepNext/>
        <w:spacing w:after="40" w:before="80"/>
        <w:jc w:val="center"/>
      </w:pPr>
      <w:r>
        <w:drawing>
          <wp:inline distT="0" distB="0" distL="0" distR="0">
            <wp:extent cx="5334000" cy="1143000"/>
            <wp:effectExtent t="0" r="0" b="0" l="0"/>
            <wp:docPr id="1" name="cra_case_invitations_before.jpg" descr="Invitations panel before sending, with the history of earlier invitations." title="Invitations panel before sending, with the history of earlier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1143000"/>
                    </a:xfrm>
                    <a:prstGeom prst="rect">
                      <a:avLst/>
                    </a:prstGeom>
                  </pic:spPr>
                </pic:pic>
              </a:graphicData>
            </a:graphic>
          </wp:inline>
        </w:drawing>
      </w:r>
    </w:p>
    <w:p>
      <w:pPr>
        <w:spacing w:after="180"/>
        <w:jc w:val="center"/>
      </w:pPr>
      <w:r>
        <w:rPr>
          <w:b/>
          <w:bCs/>
          <w:color w:val="5B6670"/>
          <w:sz w:val="17"/>
          <w:szCs w:val="17"/>
        </w:rPr>
        <w:t xml:space="preserve">Figure 28. </w:t>
      </w:r>
      <w:r>
        <w:rPr>
          <w:i/>
          <w:iCs/>
          <w:color w:val="5B6670"/>
          <w:sz w:val="17"/>
          <w:szCs w:val="17"/>
        </w:rPr>
        <w:t xml:space="preserve">Invitations panel before sending, with the history of earlier invitations.</w:t>
      </w:r>
    </w:p>
    <w:p>
      <w:pPr>
        <w:pStyle w:val="ListParagraph"/>
        <w:numPr>
          <w:ilvl w:val="0"/>
          <w:numId w:val="11"/>
        </w:numPr>
        <w:spacing w:after="80" w:line="276"/>
      </w:pPr>
      <w:r>
        <w:t xml:space="preserve">The personal link and 8-character manual code appear </w:t>
      </w:r>
      <w:r>
        <w:rPr>
          <w:b/>
          <w:bCs/>
        </w:rPr>
        <w:t xml:space="preserve">once</w:t>
      </w:r>
      <w:r>
        <w:t xml:space="preserve">, with the invitation already written for each channel. Choose </w:t>
      </w:r>
      <w:r>
        <w:rPr>
          <w:b/>
          <w:bCs/>
        </w:rPr>
        <w:t xml:space="preserve">WhatsApp message</w:t>
      </w:r>
      <w:r>
        <w:t xml:space="preserve">, </w:t>
      </w:r>
      <w:r>
        <w:rPr>
          <w:b/>
          <w:bCs/>
        </w:rPr>
        <w:t xml:space="preserve">SMS message</w:t>
      </w:r>
      <w:r>
        <w:t xml:space="preserve"> or </w:t>
      </w:r>
      <w:r>
        <w:rPr>
          <w:b/>
          <w:bCs/>
        </w:rPr>
        <w:t xml:space="preserve">Email message</w:t>
      </w:r>
      <w:r>
        <w:t xml:space="preserve"> to see exactly what will be sent: the personal link, its expiry date, the manual code and the study contact line. Every message names the organisation (WhatsApp opens “Hello, Sable Chickens.”, the email subject starts with the organisation's name), so you can always tell which organisation a sent link belongs to.</w:t>
      </w:r>
    </w:p>
    <w:p>
      <w:pPr>
        <w:keepNext/>
        <w:spacing w:after="40" w:before="80"/>
        <w:jc w:val="center"/>
      </w:pPr>
      <w:r>
        <w:drawing>
          <wp:inline distT="0" distB="0" distL="0" distR="0">
            <wp:extent cx="5334000" cy="2152650"/>
            <wp:effectExtent t="0" r="0" b="0" l="0"/>
            <wp:docPr id="1" name="cra_case_invitation_sent.jpg" descr="The link, manual code and ready-written messages are shown once, with a send button for each channel." title="The link, manual code and ready-written messages are shown once, with a send button for each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152650"/>
                    </a:xfrm>
                    <a:prstGeom prst="rect">
                      <a:avLst/>
                    </a:prstGeom>
                  </pic:spPr>
                </pic:pic>
              </a:graphicData>
            </a:graphic>
          </wp:inline>
        </w:drawing>
      </w:r>
    </w:p>
    <w:p>
      <w:pPr>
        <w:spacing w:after="180"/>
        <w:jc w:val="center"/>
      </w:pPr>
      <w:r>
        <w:rPr>
          <w:b/>
          <w:bCs/>
          <w:color w:val="5B6670"/>
          <w:sz w:val="17"/>
          <w:szCs w:val="17"/>
        </w:rPr>
        <w:t xml:space="preserve">Figure 29. </w:t>
      </w:r>
      <w:r>
        <w:rPr>
          <w:i/>
          <w:iCs/>
          <w:color w:val="5B6670"/>
          <w:sz w:val="17"/>
          <w:szCs w:val="17"/>
        </w:rPr>
        <w:t xml:space="preserve">The link, manual code and ready-written messages are shown once, with a send button for each channel.</w:t>
      </w:r>
    </w:p>
    <w:p>
      <w:pPr>
        <w:pStyle w:val="ListParagraph"/>
        <w:numPr>
          <w:ilvl w:val="0"/>
          <w:numId w:val="11"/>
        </w:numPr>
        <w:spacing w:after="80" w:line="276"/>
      </w:pPr>
      <w:r>
        <w:t xml:space="preserve">Send it on </w:t>
      </w:r>
      <w:r>
        <w:rPr>
          <w:b/>
          <w:bCs/>
        </w:rPr>
        <w:t xml:space="preserve">every channel the organisation has</w:t>
      </w:r>
      <w:r>
        <w:t xml:space="preserve">, before you leave the page. It is one invitation with one link, so the WhatsApp message and the email carry the same link and both keep working. All the send buttons are on screen together (the message tabs only change the preview):</w:t>
      </w:r>
    </w:p>
    <w:p>
      <w:pPr>
        <w:pStyle w:val="ListParagraph"/>
        <w:numPr>
          <w:ilvl w:val="1"/>
          <w:numId w:val="2"/>
        </w:numPr>
        <w:spacing w:after="40"/>
      </w:pPr>
      <w:r>
        <w:rPr>
          <w:b/>
          <w:bCs/>
        </w:rPr>
        <w:t xml:space="preserve">Send via WhatsApp</w:t>
      </w:r>
      <w:r>
        <w:t xml:space="preserve"> opens that respondent's chat (their WhatsApp number, or phone number if none) with the message ready. Check you are on the study WhatsApp number, then press Send.</w:t>
      </w:r>
    </w:p>
    <w:p>
      <w:pPr>
        <w:pStyle w:val="ListParagraph"/>
        <w:numPr>
          <w:ilvl w:val="1"/>
          <w:numId w:val="2"/>
        </w:numPr>
        <w:spacing w:after="40"/>
      </w:pPr>
      <w:r>
        <w:rPr>
          <w:b/>
          <w:bCs/>
        </w:rPr>
        <w:t xml:space="preserve">Send by SMS</w:t>
      </w:r>
      <w:r>
        <w:t xml:space="preserve"> opens the phone's messages app addressed to the respondent, with the shorter SMS message. Use it on a phone.</w:t>
      </w:r>
    </w:p>
    <w:p>
      <w:pPr>
        <w:pStyle w:val="ListParagraph"/>
        <w:numPr>
          <w:ilvl w:val="1"/>
          <w:numId w:val="2"/>
        </w:numPr>
        <w:spacing w:after="40"/>
      </w:pPr>
      <w:r>
        <w:rPr>
          <w:b/>
          <w:bCs/>
        </w:rPr>
        <w:t xml:space="preserve">Email from study address</w:t>
      </w:r>
      <w:r>
        <w:t xml:space="preserve"> sends the email from abffst.research@gmail.com to the respondent's email on file; replies go to the study inbox. The email is recorded in the audit log.</w:t>
      </w:r>
    </w:p>
    <w:p>
      <w:pPr>
        <w:pStyle w:val="ListParagraph"/>
        <w:numPr>
          <w:ilvl w:val="1"/>
          <w:numId w:val="2"/>
        </w:numPr>
        <w:spacing w:after="40"/>
      </w:pPr>
      <w:r>
        <w:rPr>
          <w:b/>
          <w:bCs/>
        </w:rPr>
        <w:t xml:space="preserve">Open in email app</w:t>
      </w:r>
      <w:r>
        <w:t xml:space="preserve"> opens the same email in your own mail program, if you need to add something first.</w:t>
      </w:r>
    </w:p>
    <w:p>
      <w:pPr>
        <w:pStyle w:val="ListParagraph"/>
        <w:numPr>
          <w:ilvl w:val="1"/>
          <w:numId w:val="2"/>
        </w:numPr>
        <w:spacing w:after="40"/>
      </w:pPr>
      <w:r>
        <w:rPr>
          <w:b/>
          <w:bCs/>
        </w:rPr>
        <w:t xml:space="preserve">Copy message</w:t>
      </w:r>
      <w:r>
        <w:t xml:space="preserve"> copies the message shown, for any other channel.</w:t>
      </w:r>
    </w:p>
    <w:p>
      <w:pPr>
        <w:pStyle w:val="ListParagraph"/>
        <w:numPr>
          <w:ilvl w:val="1"/>
          <w:numId w:val="2"/>
        </w:numPr>
        <w:spacing w:after="40"/>
      </w:pPr>
      <w:r>
        <w:t xml:space="preserve">Once SMS or WhatsApp is set up, </w:t>
      </w:r>
      <w:r>
        <w:rPr>
          <w:b/>
          <w:bCs/>
        </w:rPr>
        <w:t xml:space="preserve">Send SMS from the portal</w:t>
      </w:r>
      <w:r>
        <w:t xml:space="preserve"> and </w:t>
      </w:r>
      <w:r>
        <w:rPr>
          <w:b/>
          <w:bCs/>
        </w:rPr>
        <w:t xml:space="preserve">Send WhatsApp from the portal</w:t>
      </w:r>
      <w:r>
        <w:t xml:space="preserve"> send the same invitation through Twilio, to the mobile on file; the invitation history then shows whether each was delivered.</w:t>
      </w:r>
    </w:p>
    <w:p>
      <w:pPr>
        <w:pStyle w:val="ListParagraph"/>
        <w:numPr>
          <w:ilvl w:val="0"/>
          <w:numId w:val="11"/>
        </w:numPr>
        <w:spacing w:after="80" w:line="276"/>
      </w:pPr>
      <w:r>
        <w:t xml:space="preserve">If a button says no mobile number or email is on file, add it under </w:t>
      </w:r>
      <w:r>
        <w:rPr>
          <w:b/>
          <w:bCs/>
        </w:rPr>
        <w:t xml:space="preserve">Respondents and contact details</w:t>
      </w:r>
      <w:r>
        <w:t xml:space="preserve">. Only then send a new invitation, and send that one on every channel.</w:t>
      </w:r>
    </w:p>
    <w:p>
      <w:pPr>
        <w:pStyle w:val="ListParagraph"/>
        <w:numPr>
          <w:ilvl w:val="0"/>
          <w:numId w:val="11"/>
        </w:numPr>
        <w:spacing w:after="80" w:line="276"/>
      </w:pPr>
      <w:r>
        <w:t xml:space="preserve">The case moves to </w:t>
      </w:r>
      <w:r>
        <w:rPr>
          <w:b/>
          <w:bCs/>
        </w:rPr>
        <w:t xml:space="preserve">S05 Invitation sent</w:t>
      </w:r>
      <w:r>
        <w:t xml:space="preserve"> automatically. Log the attempt in </w:t>
      </w:r>
      <w:r>
        <w:rPr>
          <w:b/>
          <w:bCs/>
        </w:rPr>
        <w:t xml:space="preserve">Contact timeline</w:t>
      </w:r>
      <w:r>
        <w:t xml:space="preserve"> (see Logging a contact attempt).</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The link is shown only once</w:t>
            </w:r>
          </w:p>
          <w:p>
            <w:pPr>
              <w:spacing w:after="40" w:line="264"/>
            </w:pPr>
            <w:r>
              <w:rPr>
                <w:sz w:val="19"/>
                <w:szCs w:val="19"/>
              </w:rPr>
              <w:t xml:space="preserve">The portal stores only a scrambled fingerprint of the link, so nobody can display it again. If you close the page before sending, select </w:t>
            </w:r>
            <w:r>
              <w:rPr>
                <w:b/>
                <w:bCs/>
                <w:sz w:val="19"/>
                <w:szCs w:val="19"/>
              </w:rPr>
              <w:t xml:space="preserve">Send new invitation (replaces current)</w:t>
            </w:r>
            <w:r>
              <w:rPr>
                <w:sz w:val="19"/>
                <w:szCs w:val="19"/>
              </w:rPr>
              <w:t xml:space="preserve">: this issues a fresh link and the old one stops working immediately.</w:t>
            </w:r>
          </w:p>
          <w:p>
            <w:pPr>
              <w:spacing w:after="40" w:line="264"/>
            </w:pPr>
            <w:r>
              <w:rPr>
                <w:b/>
                <w:bCs/>
                <w:sz w:val="19"/>
                <w:szCs w:val="19"/>
              </w:rPr>
              <w:t xml:space="preserve">Never issue a new invitation just to send by another channel.</w:t>
            </w:r>
            <w:r>
              <w:rPr>
                <w:sz w:val="19"/>
                <w:szCs w:val="19"/>
              </w:rPr>
              <w:t xml:space="preserve"> The organisation's earlier message would then say the invitation has expired. While the link still works the portal asks before replacing it (</w:t>
            </w:r>
            <w:r>
              <w:rPr>
                <w:b/>
                <w:bCs/>
                <w:sz w:val="19"/>
                <w:szCs w:val="19"/>
              </w:rPr>
              <w:t xml:space="preserve">Replace it</w:t>
            </w:r>
            <w:r>
              <w:rPr>
                <w:sz w:val="19"/>
                <w:szCs w:val="19"/>
              </w:rPr>
              <w:t xml:space="preserve"> / </w:t>
            </w:r>
            <w:r>
              <w:rPr>
                <w:b/>
                <w:bCs/>
                <w:sz w:val="19"/>
                <w:szCs w:val="19"/>
              </w:rPr>
              <w:t xml:space="preserve">Keep the current one</w:t>
            </w:r>
            <w:r>
              <w:rPr>
                <w:sz w:val="19"/>
                <w:szCs w:val="19"/>
              </w:rPr>
              <w:t xml:space="preserve">): replace it only if the link was lost, went to the wrong person or never arrived.</w:t>
            </w:r>
          </w:p>
          <w:p>
            <w:pPr>
              <w:spacing w:after="40" w:line="264"/>
            </w:pPr>
            <w:r>
              <w:rPr>
                <w:sz w:val="19"/>
                <w:szCs w:val="19"/>
              </w:rPr>
              <w:t xml:space="preserve">Links are valid for </w:t>
            </w:r>
            <w:r>
              <w:rPr>
                <w:b/>
                <w:bCs/>
                <w:sz w:val="19"/>
                <w:szCs w:val="19"/>
              </w:rPr>
              <w:t xml:space="preserve">14 days</w:t>
            </w:r>
            <w:r>
              <w:rPr>
                <w:sz w:val="19"/>
                <w:szCs w:val="19"/>
              </w:rPr>
              <w:t xml:space="preserve">. Each link belongs to one organisation; never forward one respondent's link to another organisation.</w:t>
            </w:r>
          </w:p>
        </w:tc>
      </w:tr>
    </w:tbl>
    <w:p>
      <w:pPr>
        <w:pStyle w:val="Heading3"/>
      </w:pPr>
      <w:r>
        <w:t xml:space="preserve">Revoking an invitation</w:t>
      </w:r>
    </w:p>
    <w:p>
      <w:pPr>
        <w:spacing w:after="120" w:line="288"/>
      </w:pPr>
      <w:r>
        <w:t xml:space="preserve">In the invitation history, select </w:t>
      </w:r>
      <w:r>
        <w:rPr>
          <w:b/>
          <w:bCs/>
        </w:rPr>
        <w:t xml:space="preserve">Revoke</w:t>
      </w:r>
      <w:r>
        <w:t xml:space="preserve"> on an open invitation (for example, if it was sent to the wrong number). The link stops working at once. Issue a new one if the case should still be invited.</w:t>
      </w:r>
    </w:p>
    <w:p>
      <w:pPr>
        <w:pStyle w:val="Heading2"/>
      </w:pPr>
      <w:r>
        <w:t xml:space="preserve">7.8 Logging a contact attempt (PI, FC, Contact RA)</w:t>
      </w:r>
    </w:p>
    <w:p>
      <w:pPr>
        <w:spacing w:after="120" w:line="288"/>
      </w:pPr>
      <w:r>
        <w:t xml:space="preserve">Record </w:t>
      </w:r>
      <w:r>
        <w:rPr>
          <w:b/>
          <w:bCs/>
        </w:rPr>
        <w:t xml:space="preserve">every</w:t>
      </w:r>
      <w:r>
        <w:t xml:space="preserve"> attempt, successful or not. The Contact Dashboard, Reports and any later replacement decision rely on it.</w:t>
      </w:r>
    </w:p>
    <w:p>
      <w:pPr>
        <w:pStyle w:val="ListParagraph"/>
        <w:numPr>
          <w:ilvl w:val="0"/>
          <w:numId w:val="12"/>
        </w:numPr>
        <w:spacing w:after="80" w:line="276"/>
      </w:pPr>
      <w:r>
        <w:t xml:space="preserve">On the case page, scroll to </w:t>
      </w:r>
      <w:r>
        <w:rPr>
          <w:b/>
          <w:bCs/>
        </w:rPr>
        <w:t xml:space="preserve">Contact timeline → Log a contact attempt</w:t>
      </w:r>
      <w:r>
        <w:t xml:space="preserve">.</w:t>
      </w:r>
    </w:p>
    <w:p>
      <w:pPr>
        <w:keepNext/>
        <w:spacing w:after="40" w:before="80"/>
        <w:jc w:val="center"/>
      </w:pPr>
      <w:r>
        <w:drawing>
          <wp:inline distT="0" distB="0" distL="0" distR="0">
            <wp:extent cx="5334000" cy="1343025"/>
            <wp:effectExtent t="0" r="0" b="0" l="0"/>
            <wp:docPr id="1" name="adm_case_timeline.jpg" descr="Contact timeline and the form for logging an attempt." title="Contact timeline and the form for logging an atte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1343025"/>
                    </a:xfrm>
                    <a:prstGeom prst="rect">
                      <a:avLst/>
                    </a:prstGeom>
                  </pic:spPr>
                </pic:pic>
              </a:graphicData>
            </a:graphic>
          </wp:inline>
        </w:drawing>
      </w:r>
    </w:p>
    <w:p>
      <w:pPr>
        <w:spacing w:after="180"/>
        <w:jc w:val="center"/>
      </w:pPr>
      <w:r>
        <w:rPr>
          <w:b/>
          <w:bCs/>
          <w:color w:val="5B6670"/>
          <w:sz w:val="17"/>
          <w:szCs w:val="17"/>
        </w:rPr>
        <w:t xml:space="preserve">Figure 30. </w:t>
      </w:r>
      <w:r>
        <w:rPr>
          <w:i/>
          <w:iCs/>
          <w:color w:val="5B6670"/>
          <w:sz w:val="17"/>
          <w:szCs w:val="17"/>
        </w:rPr>
        <w:t xml:space="preserve">Contact timeline and the form for logging an attempt.</w:t>
      </w:r>
    </w:p>
    <w:p>
      <w:pPr>
        <w:pStyle w:val="ListParagraph"/>
        <w:numPr>
          <w:ilvl w:val="0"/>
          <w:numId w:val="12"/>
        </w:numPr>
        <w:spacing w:after="80" w:line="276"/>
      </w:pPr>
      <w:r>
        <w:t xml:space="preserve">Choose the </w:t>
      </w:r>
      <w:r>
        <w:rPr>
          <w:b/>
          <w:bCs/>
        </w:rPr>
        <w:t xml:space="preserve">channel</w:t>
      </w:r>
      <w:r>
        <w:t xml:space="preserve"> (WHATSAPP, EMAIL, PHONE, SMS, FACE_TO_FACE) and the </w:t>
      </w:r>
      <w:r>
        <w:rPr>
          <w:b/>
          <w:bCs/>
        </w:rPr>
        <w:t xml:space="preserve">outcome</w:t>
      </w:r>
      <w:r>
        <w:t xml:space="preserve"> (REACHED, NO_ANSWER, WRONG_NUMBER, REFUSED, RESCHEDULED, COMPLETED).</w:t>
      </w:r>
    </w:p>
    <w:p>
      <w:pPr>
        <w:pStyle w:val="ListParagraph"/>
        <w:numPr>
          <w:ilvl w:val="0"/>
          <w:numId w:val="12"/>
        </w:numPr>
        <w:spacing w:after="80" w:line="276"/>
      </w:pPr>
      <w:r>
        <w:t xml:space="preserve">Add a short, factual note (optional), e.g. "PA says MD travelling; call back Thursday". Do not record opinions about the person.</w:t>
      </w:r>
    </w:p>
    <w:p>
      <w:pPr>
        <w:pStyle w:val="ListParagraph"/>
        <w:numPr>
          <w:ilvl w:val="0"/>
          <w:numId w:val="12"/>
        </w:numPr>
        <w:spacing w:after="80" w:line="276"/>
      </w:pPr>
      <w:r>
        <w:t xml:space="preserve">Select </w:t>
      </w:r>
      <w:r>
        <w:rPr>
          <w:b/>
          <w:bCs/>
        </w:rPr>
        <w:t xml:space="preserve">Log contact attempt</w:t>
      </w:r>
      <w:r>
        <w:t xml:space="preserve">. The entry appears at the top of the timeline with the date and time.</w:t>
      </w:r>
    </w:p>
    <w:p>
      <w:pPr>
        <w:spacing w:after="80"/>
      </w:pPr>
    </w:p>
    <w:p>
      <w:pPr>
        <w:pStyle w:val="Heading2"/>
      </w:pPr>
      <w:r>
        <w:t xml:space="preserve">7.9 Sending follow-up reminders (PI, FC, Contact RA)</w:t>
      </w:r>
    </w:p>
    <w:p>
      <w:pPr>
        <w:spacing w:after="120" w:line="288"/>
      </w:pPr>
      <w:r>
        <w:t xml:space="preserve">Approved reminders fall due on </w:t>
      </w:r>
      <w:r>
        <w:rPr>
          <w:b/>
          <w:bCs/>
        </w:rPr>
        <w:t xml:space="preserve">Day 2</w:t>
      </w:r>
      <w:r>
        <w:t xml:space="preserve"> and </w:t>
      </w:r>
      <w:r>
        <w:rPr>
          <w:b/>
          <w:bCs/>
        </w:rPr>
        <w:t xml:space="preserve">Day 7</w:t>
      </w:r>
      <w:r>
        <w:t xml:space="preserve"> after an invitation for respondents who have not yet submitted. Once SMS or WhatsApp is set up through Twilio, the portal sends them itself each morning at 08:00 and those cards say so; the rest (no mobile on file, or an automatic message that did not get through) a person sends.</w:t>
      </w:r>
    </w:p>
    <w:p>
      <w:pPr>
        <w:pStyle w:val="ListParagraph"/>
        <w:numPr>
          <w:ilvl w:val="0"/>
          <w:numId w:val="13"/>
        </w:numPr>
        <w:spacing w:after="80" w:line="276"/>
      </w:pPr>
      <w:r>
        <w:t xml:space="preserve">Select </w:t>
      </w:r>
      <w:r>
        <w:rPr>
          <w:b/>
          <w:bCs/>
        </w:rPr>
        <w:t xml:space="preserve">Follow-ups</w:t>
      </w:r>
      <w:r>
        <w:t xml:space="preserve">. Each card shows the case, organisation, which reminder is due, when the invitation went out, the respondent and their number, and the exact approved message.</w:t>
      </w:r>
    </w:p>
    <w:p>
      <w:pPr>
        <w:keepNext/>
        <w:spacing w:after="40" w:before="80"/>
        <w:jc w:val="center"/>
      </w:pPr>
      <w:r>
        <w:drawing>
          <wp:inline distT="0" distB="0" distL="0" distR="0">
            <wp:extent cx="5334000" cy="3333750"/>
            <wp:effectExtent t="0" r="0" b="0" l="0"/>
            <wp:docPr id="1" name="cra_follow_ups.jpg" descr="Follow-ups due. Contact RAs see only their own cases." title="Follow-ups due. Contact RAs see only their own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31. </w:t>
      </w:r>
      <w:r>
        <w:rPr>
          <w:i/>
          <w:iCs/>
          <w:color w:val="5B6670"/>
          <w:sz w:val="17"/>
          <w:szCs w:val="17"/>
        </w:rPr>
        <w:t xml:space="preserve">Follow-ups due. Contact RAs see only their own cases.</w:t>
      </w:r>
    </w:p>
    <w:p>
      <w:pPr>
        <w:pStyle w:val="ListParagraph"/>
        <w:numPr>
          <w:ilvl w:val="0"/>
          <w:numId w:val="13"/>
        </w:numPr>
        <w:spacing w:after="80" w:line="276"/>
      </w:pPr>
      <w:r>
        <w:t xml:space="preserve">Select </w:t>
      </w:r>
      <w:r>
        <w:rPr>
          <w:b/>
          <w:bCs/>
        </w:rPr>
        <w:t xml:space="preserve">Open in WhatsApp</w:t>
      </w:r>
      <w:r>
        <w:t xml:space="preserve">. WhatsApp opens with the message ready for that number; send it. If the card says </w:t>
      </w:r>
      <w:r>
        <w:rPr>
          <w:b/>
          <w:bCs/>
        </w:rPr>
        <w:t xml:space="preserve">no number on file</w:t>
      </w:r>
      <w:r>
        <w:t xml:space="preserve">, or that the number </w:t>
      </w:r>
      <w:r>
        <w:rPr>
          <w:b/>
          <w:bCs/>
        </w:rPr>
        <w:t xml:space="preserve">is a landline</w:t>
      </w:r>
      <w:r>
        <w:t xml:space="preserve">, the button reads </w:t>
      </w:r>
      <w:r>
        <w:rPr>
          <w:b/>
          <w:bCs/>
        </w:rPr>
        <w:t xml:space="preserve">Open WhatsApp (choose contact)</w:t>
      </w:r>
      <w:r>
        <w:t xml:space="preserve">: WhatsApp can't reach a landline, so phone them instead, or pick the chat yourself if you have their mobile, and add the mobile to the case afterwards.</w:t>
      </w:r>
    </w:p>
    <w:p>
      <w:pPr>
        <w:pStyle w:val="ListParagraph"/>
        <w:numPr>
          <w:ilvl w:val="0"/>
          <w:numId w:val="13"/>
        </w:numPr>
        <w:spacing w:after="80" w:line="276"/>
      </w:pPr>
      <w:r>
        <w:t xml:space="preserve">Come back and select </w:t>
      </w:r>
      <w:r>
        <w:rPr>
          <w:b/>
          <w:bCs/>
        </w:rPr>
        <w:t xml:space="preserve">Mark as sent</w:t>
      </w:r>
      <w:r>
        <w:t xml:space="preserve">. The card disappears and the reminder is recorded under your name.</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Mark as sent only after sending</w:t>
            </w:r>
          </w:p>
          <w:p>
            <w:pPr>
              <w:spacing w:after="40" w:line="264"/>
            </w:pPr>
            <w:r>
              <w:rPr>
                <w:sz w:val="19"/>
                <w:szCs w:val="19"/>
              </w:rPr>
              <w:t xml:space="preserve">A case can become </w:t>
            </w:r>
            <w:r>
              <w:rPr>
                <w:b/>
                <w:bCs/>
                <w:sz w:val="19"/>
                <w:szCs w:val="19"/>
              </w:rPr>
              <w:t xml:space="preserve">S13 Nonresponse</w:t>
            </w:r>
            <w:r>
              <w:rPr>
                <w:sz w:val="19"/>
                <w:szCs w:val="19"/>
              </w:rPr>
              <w:t xml:space="preserve"> (and be replaced by its Reserve) only after every reminder has been recorded as sent. Marking a reminder you did not send could lead to an organisation being replaced without being contacted.</w:t>
            </w:r>
          </w:p>
        </w:tc>
      </w:tr>
    </w:tbl>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Booked a call? No reminders</w:t>
            </w:r>
          </w:p>
          <w:p>
            <w:pPr>
              <w:spacing w:after="40" w:line="264"/>
            </w:pPr>
            <w:r>
              <w:rPr>
                <w:sz w:val="19"/>
                <w:szCs w:val="19"/>
              </w:rPr>
              <w:t xml:space="preserve">When a respondent asks for a call (an appointment that is </w:t>
            </w:r>
            <w:r>
              <w:rPr>
                <w:b/>
                <w:bCs/>
                <w:sz w:val="19"/>
                <w:szCs w:val="19"/>
              </w:rPr>
              <w:t xml:space="preserve">REQUESTED</w:t>
            </w:r>
            <w:r>
              <w:rPr>
                <w:sz w:val="19"/>
                <w:szCs w:val="19"/>
              </w:rPr>
              <w:t xml:space="preserve"> or </w:t>
            </w:r>
            <w:r>
              <w:rPr>
                <w:b/>
                <w:bCs/>
                <w:sz w:val="19"/>
                <w:szCs w:val="19"/>
              </w:rPr>
              <w:t xml:space="preserve">CONFIRMED</w:t>
            </w:r>
            <w:r>
              <w:rPr>
                <w:sz w:val="19"/>
                <w:szCs w:val="19"/>
              </w:rPr>
              <w:t xml:space="preserve">), their case leaves Follow-ups and can never become Nonresponse while the appointment is open. The reminders come back only if the appointment is marked </w:t>
            </w:r>
            <w:r>
              <w:rPr>
                <w:b/>
                <w:bCs/>
                <w:sz w:val="19"/>
                <w:szCs w:val="19"/>
              </w:rPr>
              <w:t xml:space="preserve">MISSED</w:t>
            </w:r>
            <w:r>
              <w:rPr>
                <w:sz w:val="19"/>
                <w:szCs w:val="19"/>
              </w:rPr>
              <w:t xml:space="preserve"> or </w:t>
            </w:r>
            <w:r>
              <w:rPr>
                <w:b/>
                <w:bCs/>
                <w:sz w:val="19"/>
                <w:szCs w:val="19"/>
              </w:rPr>
              <w:t xml:space="preserve">CANCELLED</w:t>
            </w:r>
            <w:r>
              <w:rPr>
                <w:sz w:val="19"/>
                <w:szCs w:val="19"/>
              </w:rPr>
              <w:t xml:space="preserve"> (or </w:t>
            </w:r>
            <w:r>
              <w:rPr>
                <w:b/>
                <w:bCs/>
                <w:sz w:val="19"/>
                <w:szCs w:val="19"/>
              </w:rPr>
              <w:t xml:space="preserve">COMPLETED</w:t>
            </w:r>
            <w:r>
              <w:rPr>
                <w:sz w:val="19"/>
                <w:szCs w:val="19"/>
              </w:rPr>
              <w:t xml:space="preserve"> without the questionnaire being started). So keep Appointments up to date: an appointment left open after its date keeps that case out of the reminders.</w:t>
            </w:r>
          </w:p>
        </w:tc>
      </w:tr>
    </w:tbl>
    <w:p>
      <w:pPr>
        <w:pStyle w:val="Heading3"/>
      </w:pPr>
      <w:r>
        <w:t xml:space="preserve">Invitations that have run out</w:t>
      </w:r>
    </w:p>
    <w:p>
      <w:pPr>
        <w:spacing w:after="120" w:line="288"/>
      </w:pPr>
      <w:r>
        <w:t xml:space="preserve">An invitation link works for 14 days. Below the reminders, </w:t>
      </w:r>
      <w:r>
        <w:rPr>
          <w:b/>
          <w:bCs/>
        </w:rPr>
        <w:t xml:space="preserve">Follow-ups</w:t>
      </w:r>
      <w:r>
        <w:t xml:space="preserve"> lists </w:t>
      </w:r>
      <w:r>
        <w:rPr>
          <w:b/>
          <w:bCs/>
        </w:rPr>
        <w:t xml:space="preserve">Invitations that have run out</w:t>
      </w:r>
      <w:r>
        <w:t xml:space="preserve">: organisations that haven't responded and whose link no longer works, either because it passed its expiry date or because the last invitation was revoked or replaced. No reminder is offered for them, because it would point at a dead link.</w:t>
      </w:r>
    </w:p>
    <w:p>
      <w:pPr>
        <w:pStyle w:val="ListParagraph"/>
        <w:numPr>
          <w:ilvl w:val="0"/>
          <w:numId w:val="14"/>
        </w:numPr>
        <w:spacing w:after="80" w:line="276"/>
      </w:pPr>
      <w:r>
        <w:t xml:space="preserve">Select the Sample ID to open the case.</w:t>
      </w:r>
    </w:p>
    <w:p>
      <w:pPr>
        <w:pStyle w:val="ListParagraph"/>
        <w:numPr>
          <w:ilvl w:val="0"/>
          <w:numId w:val="14"/>
        </w:numPr>
        <w:spacing w:after="80" w:line="276"/>
      </w:pPr>
      <w:r>
        <w:t xml:space="preserve">Select </w:t>
      </w:r>
      <w:r>
        <w:rPr>
          <w:b/>
          <w:bCs/>
        </w:rPr>
        <w:t xml:space="preserve">Send invitation</w:t>
      </w:r>
      <w:r>
        <w:t xml:space="preserve"> (it may read </w:t>
      </w:r>
      <w:r>
        <w:rPr>
          <w:b/>
          <w:bCs/>
        </w:rPr>
        <w:t xml:space="preserve">Send new invitation (replaces current)</w:t>
      </w:r>
      <w:r>
        <w:t xml:space="preserve">) and send it as usual. The case leaves the list, and the Day 2 and Day 7 reminders start again from the new invitation.</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Landlines</w:t>
            </w:r>
          </w:p>
          <w:p>
            <w:pPr>
              <w:spacing w:after="40" w:line="264"/>
            </w:pPr>
            <w:r>
              <w:rPr>
                <w:sz w:val="19"/>
                <w:szCs w:val="19"/>
              </w:rPr>
              <w:t xml:space="preserve">WhatsApp and SMS only go to mobile numbers. Where a respondent has only a landline, the invitation panel and Follow-ups say so: phone them, or ask for a mobile number and add it to the case.</w:t>
            </w:r>
          </w:p>
        </w:tc>
      </w:tr>
    </w:tbl>
    <w:p>
      <w:pPr>
        <w:pStyle w:val="Heading2"/>
      </w:pPr>
      <w:r>
        <w:t xml:space="preserve">7.10 Managing appointments (PI, FC, Contact RA)</w:t>
      </w:r>
    </w:p>
    <w:p>
      <w:pPr>
        <w:pStyle w:val="ListParagraph"/>
        <w:numPr>
          <w:ilvl w:val="0"/>
          <w:numId w:val="15"/>
        </w:numPr>
        <w:spacing w:after="80" w:line="276"/>
      </w:pPr>
      <w:r>
        <w:t xml:space="preserve">Select </w:t>
      </w:r>
      <w:r>
        <w:rPr>
          <w:b/>
          <w:bCs/>
        </w:rPr>
        <w:t xml:space="preserve">Appointments</w:t>
      </w:r>
      <w:r>
        <w:t xml:space="preserve">. Each row shows the case (Sample ID and organisation) or KII, the requested time, the mode (PHONE, WHATSAPP_VOICE, ZOOM, …) and the status.</w:t>
      </w:r>
    </w:p>
    <w:p>
      <w:pPr>
        <w:keepNext/>
        <w:spacing w:after="40" w:before="80"/>
        <w:jc w:val="center"/>
      </w:pPr>
      <w:r>
        <w:drawing>
          <wp:inline distT="0" distB="0" distL="0" distR="0">
            <wp:extent cx="5334000" cy="2667000"/>
            <wp:effectExtent t="0" r="0" b="0" l="0"/>
            <wp:docPr id="1" name="cra_appointments.jpg" descr="Appointment Queue." title="Appointment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2667000"/>
                    </a:xfrm>
                    <a:prstGeom prst="rect">
                      <a:avLst/>
                    </a:prstGeom>
                  </pic:spPr>
                </pic:pic>
              </a:graphicData>
            </a:graphic>
          </wp:inline>
        </w:drawing>
      </w:r>
    </w:p>
    <w:p>
      <w:pPr>
        <w:spacing w:after="180"/>
        <w:jc w:val="center"/>
      </w:pPr>
      <w:r>
        <w:rPr>
          <w:b/>
          <w:bCs/>
          <w:color w:val="5B6670"/>
          <w:sz w:val="17"/>
          <w:szCs w:val="17"/>
        </w:rPr>
        <w:t xml:space="preserve">Figure 32. </w:t>
      </w:r>
      <w:r>
        <w:rPr>
          <w:i/>
          <w:iCs/>
          <w:color w:val="5B6670"/>
          <w:sz w:val="17"/>
          <w:szCs w:val="17"/>
        </w:rPr>
        <w:t xml:space="preserve">Appointment Queue.</w:t>
      </w:r>
    </w:p>
    <w:p>
      <w:pPr>
        <w:pStyle w:val="ListParagraph"/>
        <w:numPr>
          <w:ilvl w:val="0"/>
          <w:numId w:val="15"/>
        </w:numPr>
        <w:spacing w:after="80" w:line="276"/>
      </w:pPr>
      <w:r>
        <w:t xml:space="preserve">Use </w:t>
      </w:r>
      <w:r>
        <w:rPr>
          <w:b/>
          <w:bCs/>
        </w:rPr>
        <w:t xml:space="preserve">Filter by status</w:t>
      </w:r>
      <w:r>
        <w:t xml:space="preserve"> to show, for example, only </w:t>
      </w:r>
      <w:r>
        <w:rPr>
          <w:b/>
          <w:bCs/>
        </w:rPr>
        <w:t xml:space="preserve">REQUESTED</w:t>
      </w:r>
      <w:r>
        <w:t xml:space="preserve"> appointments.</w:t>
      </w:r>
    </w:p>
    <w:p>
      <w:pPr>
        <w:pStyle w:val="ListParagraph"/>
        <w:numPr>
          <w:ilvl w:val="0"/>
          <w:numId w:val="15"/>
        </w:numPr>
        <w:spacing w:after="80" w:line="276"/>
      </w:pPr>
      <w:r>
        <w:t xml:space="preserve">Contact the respondent to confirm, then select </w:t>
      </w:r>
      <w:r>
        <w:rPr>
          <w:b/>
          <w:bCs/>
        </w:rPr>
        <w:t xml:space="preserve">CONFIRMED</w:t>
      </w:r>
      <w:r>
        <w:t xml:space="preserve">.</w:t>
      </w:r>
    </w:p>
    <w:p>
      <w:pPr>
        <w:pStyle w:val="ListParagraph"/>
        <w:numPr>
          <w:ilvl w:val="0"/>
          <w:numId w:val="15"/>
        </w:numPr>
        <w:spacing w:after="80" w:line="276"/>
      </w:pPr>
      <w:r>
        <w:t xml:space="preserve">After the session select </w:t>
      </w:r>
      <w:r>
        <w:rPr>
          <w:b/>
          <w:bCs/>
        </w:rPr>
        <w:t xml:space="preserve">COMPLETED</w:t>
      </w:r>
      <w:r>
        <w:t xml:space="preserve">, or </w:t>
      </w:r>
      <w:r>
        <w:rPr>
          <w:b/>
          <w:bCs/>
        </w:rPr>
        <w:t xml:space="preserve">MISSED</w:t>
      </w:r>
      <w:r>
        <w:t xml:space="preserve"> if they did not attend, or </w:t>
      </w:r>
      <w:r>
        <w:rPr>
          <w:b/>
          <w:bCs/>
        </w:rPr>
        <w:t xml:space="preserve">CANCELLED</w:t>
      </w:r>
      <w:r>
        <w:t xml:space="preserve">. Only valid next steps are shown; a finished appointment shows </w:t>
      </w:r>
      <w:r>
        <w:rPr>
          <w:b/>
          <w:bCs/>
        </w:rPr>
        <w:t xml:space="preserve">No further action</w:t>
      </w:r>
      <w:r>
        <w:t xml:space="preserve">.</w:t>
      </w:r>
    </w:p>
    <w:p>
      <w:pPr>
        <w:spacing w:after="80"/>
      </w:pPr>
    </w:p>
    <w:p>
      <w:pPr>
        <w:spacing w:after="120" w:line="288"/>
      </w:pPr>
      <w:r>
        <w:t xml:space="preserve">While an appointment is </w:t>
      </w:r>
      <w:r>
        <w:rPr>
          <w:b/>
          <w:bCs/>
        </w:rPr>
        <w:t xml:space="preserve">REQUESTED</w:t>
      </w:r>
      <w:r>
        <w:t xml:space="preserve"> or </w:t>
      </w:r>
      <w:r>
        <w:rPr>
          <w:b/>
          <w:bCs/>
        </w:rPr>
        <w:t xml:space="preserve">CONFIRMED</w:t>
      </w:r>
      <w:r>
        <w:t xml:space="preserve">, its case gets no Day 2 or Day 7 reminder and cannot become Nonresponse: the respondent has already said how they want to take part. </w:t>
      </w:r>
      <w:r>
        <w:rPr>
          <w:b/>
          <w:bCs/>
        </w:rPr>
        <w:t xml:space="preserve">MISSED</w:t>
      </w:r>
      <w:r>
        <w:t xml:space="preserve"> or </w:t>
      </w:r>
      <w:r>
        <w:rPr>
          <w:b/>
          <w:bCs/>
        </w:rPr>
        <w:t xml:space="preserve">CANCELLED</w:t>
      </w:r>
      <w:r>
        <w:t xml:space="preserve"> puts the case back on Follow-ups. Every request and every status change is recorded in the audit log.</w:t>
      </w:r>
    </w:p>
    <w:p>
      <w:pPr>
        <w:pStyle w:val="Heading2"/>
      </w:pPr>
      <w:r>
        <w:t xml:space="preserve">7.11 Assisted administration (RAs)</w:t>
      </w:r>
    </w:p>
    <w:p>
      <w:pPr>
        <w:spacing w:after="120" w:line="288"/>
      </w:pPr>
      <w:r>
        <w:t xml:space="preserve">When the respondent prefers help, the researcher completes the questionnaire with them. The respondent must still hear the participant information and agree before any question is asked.</w:t>
      </w:r>
    </w:p>
    <w:p>
      <w:pPr>
        <w:pStyle w:val="ListParagraph"/>
        <w:numPr>
          <w:ilvl w:val="0"/>
          <w:numId w:val="16"/>
        </w:numPr>
        <w:spacing w:after="80" w:line="276"/>
      </w:pPr>
      <w:r>
        <w:t xml:space="preserve">Agree a time. If the respondent booked through the portal, it is in </w:t>
      </w:r>
      <w:r>
        <w:rPr>
          <w:b/>
          <w:bCs/>
        </w:rPr>
        <w:t xml:space="preserve">Appointments</w:t>
      </w:r>
      <w:r>
        <w:t xml:space="preserve">.</w:t>
      </w:r>
    </w:p>
    <w:p>
      <w:pPr>
        <w:pStyle w:val="ListParagraph"/>
        <w:numPr>
          <w:ilvl w:val="0"/>
          <w:numId w:val="16"/>
        </w:numPr>
        <w:spacing w:after="80" w:line="276"/>
      </w:pPr>
      <w:r>
        <w:t xml:space="preserve">At the start of the call, confirm the organisation and the person's role, read or summarise the Participant Information Sheet (v1.5) and ask for consent. Stop if they decline.</w:t>
      </w:r>
    </w:p>
    <w:p>
      <w:pPr>
        <w:pStyle w:val="ListParagraph"/>
        <w:numPr>
          <w:ilvl w:val="0"/>
          <w:numId w:val="16"/>
        </w:numPr>
        <w:spacing w:after="80" w:line="276"/>
      </w:pPr>
      <w:r>
        <w:t xml:space="preserve">Open the respondent's personal invitation link on your device and go through the portal screens with them (organisation, role, information, consent), choosing the answers they give you.</w:t>
      </w:r>
    </w:p>
    <w:p>
      <w:pPr>
        <w:pStyle w:val="ListParagraph"/>
        <w:numPr>
          <w:ilvl w:val="0"/>
          <w:numId w:val="16"/>
        </w:numPr>
        <w:spacing w:after="80" w:line="276"/>
      </w:pPr>
      <w:r>
        <w:t xml:space="preserve">Open the questionnaire from the portal so the case identifiers travel with the form, and complete it with the respondent. Never start the KoboToolbox form from a bookmark: a submission without the portal's link is set aside and not matched.</w:t>
      </w:r>
    </w:p>
    <w:p>
      <w:pPr>
        <w:pStyle w:val="ListParagraph"/>
        <w:numPr>
          <w:ilvl w:val="0"/>
          <w:numId w:val="16"/>
        </w:numPr>
        <w:spacing w:after="80" w:line="276"/>
      </w:pPr>
      <w:r>
        <w:t xml:space="preserve">After submitting, log the contact attempt with outcome </w:t>
      </w:r>
      <w:r>
        <w:rPr>
          <w:b/>
          <w:bCs/>
        </w:rPr>
        <w:t xml:space="preserve">COMPLETED</w:t>
      </w:r>
      <w:r>
        <w:t xml:space="preserve">, and mark the appointment </w:t>
      </w:r>
      <w:r>
        <w:rPr>
          <w:b/>
          <w:bCs/>
        </w:rPr>
        <w:t xml:space="preserve">COMPLETED</w:t>
      </w:r>
      <w:r>
        <w:t xml:space="preserve">.</w:t>
      </w:r>
    </w:p>
    <w:p>
      <w:pPr>
        <w:spacing w:after="80"/>
      </w:pP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941"/>
        <w:gridCol w:w="3294"/>
        <w:gridCol w:w="5177"/>
      </w:tblGrid>
      <w:tr>
        <w:trPr>
          <w:tblHeader/>
        </w:trPr>
        <w:tc>
          <w:tcPr>
            <w:tcW w:type="dxa" w:w="941"/>
            <w:shd w:fill="1B3350" w:color="auto" w:val="clear"/>
            <w:tcMar>
              <w:top w:type="dxa" w:w="70"/>
              <w:left w:type="dxa" w:w="110"/>
              <w:bottom w:type="dxa" w:w="70"/>
              <w:right w:type="dxa" w:w="110"/>
            </w:tcMar>
            <w:vAlign w:val="top"/>
          </w:tcPr>
          <w:p>
            <w:pPr>
              <w:spacing w:after="40"/>
            </w:pPr>
            <w:r>
              <w:rPr>
                <w:b/>
                <w:bCs/>
                <w:color w:val="FFFFFF"/>
                <w:sz w:val="19"/>
                <w:szCs w:val="19"/>
              </w:rPr>
              <w:t xml:space="preserve">Code</w:t>
            </w:r>
          </w:p>
        </w:tc>
        <w:tc>
          <w:tcPr>
            <w:tcW w:type="dxa" w:w="3294"/>
            <w:shd w:fill="1B3350" w:color="auto" w:val="clear"/>
            <w:tcMar>
              <w:top w:type="dxa" w:w="70"/>
              <w:left w:type="dxa" w:w="110"/>
              <w:bottom w:type="dxa" w:w="70"/>
              <w:right w:type="dxa" w:w="110"/>
            </w:tcMar>
            <w:vAlign w:val="top"/>
          </w:tcPr>
          <w:p>
            <w:pPr>
              <w:spacing w:after="40"/>
            </w:pPr>
            <w:r>
              <w:rPr>
                <w:b/>
                <w:bCs/>
                <w:color w:val="FFFFFF"/>
                <w:sz w:val="19"/>
                <w:szCs w:val="19"/>
              </w:rPr>
              <w:t xml:space="preserve">Mode</w:t>
            </w:r>
          </w:p>
        </w:tc>
        <w:tc>
          <w:tcPr>
            <w:tcW w:type="dxa" w:w="5177"/>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01</w:t>
            </w:r>
          </w:p>
        </w:tc>
        <w:tc>
          <w:tcPr>
            <w:tcW w:type="dxa" w:w="3294"/>
            <w:tcMar>
              <w:top w:type="dxa" w:w="70"/>
              <w:left w:type="dxa" w:w="110"/>
              <w:bottom w:type="dxa" w:w="70"/>
              <w:right w:type="dxa" w:w="110"/>
            </w:tcMar>
            <w:vAlign w:val="top"/>
          </w:tcPr>
          <w:p>
            <w:pPr>
              <w:spacing w:after="40"/>
            </w:pPr>
            <w:r>
              <w:rPr>
                <w:b w:val="false"/>
                <w:bCs w:val="false"/>
                <w:sz w:val="19"/>
                <w:szCs w:val="19"/>
              </w:rPr>
              <w:t xml:space="preserve">Web self-administration</w:t>
            </w:r>
          </w:p>
        </w:tc>
        <w:tc>
          <w:tcPr>
            <w:tcW w:type="dxa" w:w="5177"/>
            <w:tcMar>
              <w:top w:type="dxa" w:w="70"/>
              <w:left w:type="dxa" w:w="110"/>
              <w:bottom w:type="dxa" w:w="70"/>
              <w:right w:type="dxa" w:w="110"/>
            </w:tcMar>
            <w:vAlign w:val="top"/>
          </w:tcPr>
          <w:p>
            <w:pPr>
              <w:spacing w:after="40"/>
            </w:pPr>
            <w:r>
              <w:rPr>
                <w:b w:val="false"/>
                <w:bCs w:val="false"/>
                <w:sz w:val="19"/>
                <w:szCs w:val="19"/>
              </w:rPr>
              <w:t xml:space="preserve">The respondent completes the questionnaire alone from the link.</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02</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WhatsApp link, self-completion</w:t>
            </w:r>
          </w:p>
        </w:tc>
        <w:tc>
          <w:tcPr>
            <w:tcW w:type="dxa" w:w="5177"/>
            <w:shd w:fill="F8FAFB" w:color="auto" w:val="clear"/>
            <w:tcMar>
              <w:top w:type="dxa" w:w="70"/>
              <w:left w:type="dxa" w:w="110"/>
              <w:bottom w:type="dxa" w:w="70"/>
              <w:right w:type="dxa" w:w="110"/>
            </w:tcMar>
            <w:vAlign w:val="top"/>
          </w:tcPr>
          <w:p>
            <w:pPr>
              <w:spacing w:after="40"/>
            </w:pPr>
            <w:r>
              <w:rPr>
                <w:b w:val="false"/>
                <w:bCs w:val="false"/>
                <w:sz w:val="19"/>
                <w:szCs w:val="19"/>
              </w:rPr>
              <w:t xml:space="preserve">The link is sent by WhatsApp; the respondent completes it alone.</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03</w:t>
            </w:r>
          </w:p>
        </w:tc>
        <w:tc>
          <w:tcPr>
            <w:tcW w:type="dxa" w:w="3294"/>
            <w:tcMar>
              <w:top w:type="dxa" w:w="70"/>
              <w:left w:type="dxa" w:w="110"/>
              <w:bottom w:type="dxa" w:w="70"/>
              <w:right w:type="dxa" w:w="110"/>
            </w:tcMar>
            <w:vAlign w:val="top"/>
          </w:tcPr>
          <w:p>
            <w:pPr>
              <w:spacing w:after="40"/>
            </w:pPr>
            <w:r>
              <w:rPr>
                <w:b w:val="false"/>
                <w:bCs w:val="false"/>
                <w:sz w:val="19"/>
                <w:szCs w:val="19"/>
              </w:rPr>
              <w:t xml:space="preserve">Telephone, interviewer-administered</w:t>
            </w:r>
          </w:p>
        </w:tc>
        <w:tc>
          <w:tcPr>
            <w:tcW w:type="dxa" w:w="5177"/>
            <w:tcMar>
              <w:top w:type="dxa" w:w="70"/>
              <w:left w:type="dxa" w:w="110"/>
              <w:bottom w:type="dxa" w:w="70"/>
              <w:right w:type="dxa" w:w="110"/>
            </w:tcMar>
            <w:vAlign w:val="top"/>
          </w:tcPr>
          <w:p>
            <w:pPr>
              <w:spacing w:after="40"/>
            </w:pPr>
            <w:r>
              <w:rPr>
                <w:b w:val="false"/>
                <w:bCs w:val="false"/>
                <w:sz w:val="19"/>
                <w:szCs w:val="19"/>
              </w:rPr>
              <w:t xml:space="preserve">A researcher calls and completes the form while the respondent answers.</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04</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WhatsApp call, interviewer-assisted</w:t>
            </w:r>
          </w:p>
        </w:tc>
        <w:tc>
          <w:tcPr>
            <w:tcW w:type="dxa" w:w="5177"/>
            <w:shd w:fill="F8FAFB" w:color="auto" w:val="clear"/>
            <w:tcMar>
              <w:top w:type="dxa" w:w="70"/>
              <w:left w:type="dxa" w:w="110"/>
              <w:bottom w:type="dxa" w:w="70"/>
              <w:right w:type="dxa" w:w="110"/>
            </w:tcMar>
            <w:vAlign w:val="top"/>
          </w:tcPr>
          <w:p>
            <w:pPr>
              <w:spacing w:after="40"/>
            </w:pPr>
            <w:r>
              <w:rPr>
                <w:b w:val="false"/>
                <w:bCs w:val="false"/>
                <w:sz w:val="19"/>
                <w:szCs w:val="19"/>
              </w:rPr>
              <w:t xml:space="preserve">As 03, over a WhatsApp voice or video call.</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05</w:t>
            </w:r>
          </w:p>
        </w:tc>
        <w:tc>
          <w:tcPr>
            <w:tcW w:type="dxa" w:w="3294"/>
            <w:tcMar>
              <w:top w:type="dxa" w:w="70"/>
              <w:left w:type="dxa" w:w="110"/>
              <w:bottom w:type="dxa" w:w="70"/>
              <w:right w:type="dxa" w:w="110"/>
            </w:tcMar>
            <w:vAlign w:val="top"/>
          </w:tcPr>
          <w:p>
            <w:pPr>
              <w:spacing w:after="40"/>
            </w:pPr>
            <w:r>
              <w:rPr>
                <w:b w:val="false"/>
                <w:bCs w:val="false"/>
                <w:sz w:val="19"/>
                <w:szCs w:val="19"/>
              </w:rPr>
              <w:t xml:space="preserve">Video call, interviewer-assisted</w:t>
            </w:r>
          </w:p>
        </w:tc>
        <w:tc>
          <w:tcPr>
            <w:tcW w:type="dxa" w:w="5177"/>
            <w:tcMar>
              <w:top w:type="dxa" w:w="70"/>
              <w:left w:type="dxa" w:w="110"/>
              <w:bottom w:type="dxa" w:w="70"/>
              <w:right w:type="dxa" w:w="110"/>
            </w:tcMar>
            <w:vAlign w:val="top"/>
          </w:tcPr>
          <w:p>
            <w:pPr>
              <w:spacing w:after="40"/>
            </w:pPr>
            <w:r>
              <w:rPr>
                <w:b w:val="false"/>
                <w:bCs w:val="false"/>
                <w:sz w:val="19"/>
                <w:szCs w:val="19"/>
              </w:rPr>
              <w:t xml:space="preserve">As 03, over Teams, Zoom or Google Meet.</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06</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Face to face</w:t>
            </w:r>
          </w:p>
        </w:tc>
        <w:tc>
          <w:tcPr>
            <w:tcW w:type="dxa" w:w="5177"/>
            <w:shd w:fill="F8FAFB" w:color="auto" w:val="clear"/>
            <w:tcMar>
              <w:top w:type="dxa" w:w="70"/>
              <w:left w:type="dxa" w:w="110"/>
              <w:bottom w:type="dxa" w:w="70"/>
              <w:right w:type="dxa" w:w="110"/>
            </w:tcMar>
            <w:vAlign w:val="top"/>
          </w:tcPr>
          <w:p>
            <w:pPr>
              <w:spacing w:after="40"/>
            </w:pPr>
            <w:r>
              <w:rPr>
                <w:b w:val="false"/>
                <w:bCs w:val="false"/>
                <w:sz w:val="19"/>
                <w:szCs w:val="19"/>
              </w:rPr>
              <w:t xml:space="preserve">In person; the researcher operates the device.</w:t>
            </w:r>
          </w:p>
        </w:tc>
      </w:tr>
    </w:tbl>
    <w:p>
      <w:pPr>
        <w:spacing w:after="120"/>
      </w:pPr>
    </w:p>
    <w:p>
      <w:pPr>
        <w:pStyle w:val="Heading2"/>
      </w:pPr>
      <w:r>
        <w:t xml:space="preserve">7.12 Activating a Reserve (PI, FC)</w:t>
      </w:r>
    </w:p>
    <w:p>
      <w:pPr>
        <w:spacing w:after="120" w:line="288"/>
      </w:pPr>
      <w:r>
        <w:t xml:space="preserve">A Reserve replaces its Main case only after the Main case reaches a drop state (S12 Refused, S13 Nonresponse, S14 Ineligible or S15 Duplicate/inactive) and there is evidence.</w:t>
      </w:r>
    </w:p>
    <w:p>
      <w:pPr>
        <w:pStyle w:val="ListParagraph"/>
        <w:numPr>
          <w:ilvl w:val="0"/>
          <w:numId w:val="17"/>
        </w:numPr>
        <w:spacing w:after="80" w:line="276"/>
      </w:pPr>
      <w:r>
        <w:t xml:space="preserve">Select </w:t>
      </w:r>
      <w:r>
        <w:rPr>
          <w:b/>
          <w:bCs/>
        </w:rPr>
        <w:t xml:space="preserve">Reserve Activation</w:t>
      </w:r>
      <w:r>
        <w:t xml:space="preserve">. Every locked Reserve is listed with a search box.</w:t>
      </w:r>
    </w:p>
    <w:p>
      <w:pPr>
        <w:keepNext/>
        <w:spacing w:after="40" w:before="80"/>
        <w:jc w:val="center"/>
      </w:pPr>
      <w:r>
        <w:drawing>
          <wp:inline distT="0" distB="0" distL="0" distR="0">
            <wp:extent cx="5334000" cy="2505075"/>
            <wp:effectExtent t="0" r="0" b="0" l="0"/>
            <wp:docPr id="1" name="adm_reserve.jpg" descr="Reserve Activation." title="Reserve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2505075"/>
                    </a:xfrm>
                    <a:prstGeom prst="rect">
                      <a:avLst/>
                    </a:prstGeom>
                  </pic:spPr>
                </pic:pic>
              </a:graphicData>
            </a:graphic>
          </wp:inline>
        </w:drawing>
      </w:r>
    </w:p>
    <w:p>
      <w:pPr>
        <w:spacing w:after="180"/>
        <w:jc w:val="center"/>
      </w:pPr>
      <w:r>
        <w:rPr>
          <w:b/>
          <w:bCs/>
          <w:color w:val="5B6670"/>
          <w:sz w:val="17"/>
          <w:szCs w:val="17"/>
        </w:rPr>
        <w:t xml:space="preserve">Figure 33. </w:t>
      </w:r>
      <w:r>
        <w:rPr>
          <w:i/>
          <w:iCs/>
          <w:color w:val="5B6670"/>
          <w:sz w:val="17"/>
          <w:szCs w:val="17"/>
        </w:rPr>
        <w:t xml:space="preserve">Reserve Activation.</w:t>
      </w:r>
    </w:p>
    <w:p>
      <w:pPr>
        <w:pStyle w:val="ListParagraph"/>
        <w:numPr>
          <w:ilvl w:val="0"/>
          <w:numId w:val="17"/>
        </w:numPr>
        <w:spacing w:after="80" w:line="276"/>
      </w:pPr>
      <w:r>
        <w:t xml:space="preserve">Find the Reserve matched to the dropped Main case (the Main case page shows the pairing).</w:t>
      </w:r>
    </w:p>
    <w:p>
      <w:pPr>
        <w:pStyle w:val="ListParagraph"/>
        <w:numPr>
          <w:ilvl w:val="0"/>
          <w:numId w:val="17"/>
        </w:numPr>
        <w:spacing w:after="80" w:line="276"/>
      </w:pPr>
      <w:r>
        <w:t xml:space="preserve">Choose the authorised reason: </w:t>
      </w:r>
      <w:r>
        <w:rPr>
          <w:b/>
          <w:bCs/>
        </w:rPr>
        <w:t xml:space="preserve">Ineligible</w:t>
      </w:r>
      <w:r>
        <w:t xml:space="preserve">, </w:t>
      </w:r>
      <w:r>
        <w:rPr>
          <w:b/>
          <w:bCs/>
        </w:rPr>
        <w:t xml:space="preserve">Inactive</w:t>
      </w:r>
      <w:r>
        <w:t xml:space="preserve">, </w:t>
      </w:r>
      <w:r>
        <w:rPr>
          <w:b/>
          <w:bCs/>
        </w:rPr>
        <w:t xml:space="preserve">Duplicate</w:t>
      </w:r>
      <w:r>
        <w:t xml:space="preserve">, </w:t>
      </w:r>
      <w:r>
        <w:rPr>
          <w:b/>
          <w:bCs/>
        </w:rPr>
        <w:t xml:space="preserve">Refusal</w:t>
      </w:r>
      <w:r>
        <w:t xml:space="preserve"> or </w:t>
      </w:r>
      <w:r>
        <w:rPr>
          <w:b/>
          <w:bCs/>
        </w:rPr>
        <w:t xml:space="preserve">Nonresponse exhausted</w:t>
      </w:r>
      <w:r>
        <w:t xml:space="preserve">. There is deliberately no "other".</w:t>
      </w:r>
    </w:p>
    <w:p>
      <w:pPr>
        <w:pStyle w:val="ListParagraph"/>
        <w:numPr>
          <w:ilvl w:val="0"/>
          <w:numId w:val="17"/>
        </w:numPr>
        <w:spacing w:after="80" w:line="276"/>
      </w:pPr>
      <w:r>
        <w:t xml:space="preserve">Write the </w:t>
      </w:r>
      <w:r>
        <w:rPr>
          <w:b/>
          <w:bCs/>
        </w:rPr>
        <w:t xml:space="preserve">Evidence note (required)</w:t>
      </w:r>
      <w:r>
        <w:t xml:space="preserve">, e.g. "MD declined by phone 12 Sep, logged in contact timeline".</w:t>
      </w:r>
    </w:p>
    <w:p>
      <w:pPr>
        <w:pStyle w:val="ListParagraph"/>
        <w:numPr>
          <w:ilvl w:val="0"/>
          <w:numId w:val="17"/>
        </w:numPr>
        <w:spacing w:after="80" w:line="276"/>
      </w:pPr>
      <w:r>
        <w:t xml:space="preserve">Select </w:t>
      </w:r>
      <w:r>
        <w:rPr>
          <w:b/>
          <w:bCs/>
        </w:rPr>
        <w:t xml:space="preserve">Activate this reserve</w:t>
      </w:r>
      <w:r>
        <w:t xml:space="preserve">. The Reserve becomes invitable and is worked like any Main case, starting with verification.</w:t>
      </w:r>
    </w:p>
    <w:p>
      <w:pPr>
        <w:spacing w:after="80"/>
      </w:pPr>
    </w:p>
    <w:p>
      <w:pPr>
        <w:pStyle w:val="Heading2"/>
      </w:pPr>
      <w:r>
        <w:t xml:space="preserve">7.13 QA review (PI, FC, QA RA)</w:t>
      </w:r>
    </w:p>
    <w:p>
      <w:pPr>
        <w:pStyle w:val="ListParagraph"/>
        <w:numPr>
          <w:ilvl w:val="0"/>
          <w:numId w:val="18"/>
        </w:numPr>
        <w:spacing w:after="80" w:line="276"/>
      </w:pPr>
      <w:r>
        <w:t xml:space="preserve">Select </w:t>
      </w:r>
      <w:r>
        <w:rPr>
          <w:b/>
          <w:bCs/>
        </w:rPr>
        <w:t xml:space="preserve">QA Queue</w:t>
      </w:r>
      <w:r>
        <w:t xml:space="preserve">. Each submission shows the Sample ID, when it was submitted, the administration mode, the completion time in minutes and its QA status (PENDING or QUERY).</w:t>
      </w:r>
    </w:p>
    <w:p>
      <w:pPr>
        <w:keepNext/>
        <w:spacing w:after="40" w:before="80"/>
        <w:jc w:val="center"/>
      </w:pPr>
      <w:r>
        <w:drawing>
          <wp:inline distT="0" distB="0" distL="0" distR="0">
            <wp:extent cx="5334000" cy="3333750"/>
            <wp:effectExtent t="0" r="0" b="0" l="0"/>
            <wp:docPr id="1" name="qa_queue.jpg" descr="QUAN QA Queue with the KoboToolbox sync panel." title="QUAN QA Queue with the KoboToolbox sync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34. </w:t>
      </w:r>
      <w:r>
        <w:rPr>
          <w:i/>
          <w:iCs/>
          <w:color w:val="5B6670"/>
          <w:sz w:val="17"/>
          <w:szCs w:val="17"/>
        </w:rPr>
        <w:t xml:space="preserve">QUAN QA Queue with the KoboToolbox sync panel.</w:t>
      </w:r>
    </w:p>
    <w:p>
      <w:pPr>
        <w:pStyle w:val="ListParagraph"/>
        <w:numPr>
          <w:ilvl w:val="0"/>
          <w:numId w:val="18"/>
        </w:numPr>
        <w:spacing w:after="80" w:line="276"/>
      </w:pPr>
      <w:r>
        <w:t xml:space="preserve">Open the completed form to check the answers: </w:t>
      </w:r>
      <w:r>
        <w:rPr>
          <w:b/>
          <w:bCs/>
        </w:rPr>
        <w:t xml:space="preserve">Form PDFs → Download PDF</w:t>
      </w:r>
      <w:r>
        <w:t xml:space="preserve">, or the </w:t>
      </w:r>
      <w:r>
        <w:rPr>
          <w:b/>
          <w:bCs/>
        </w:rPr>
        <w:t xml:space="preserve">Completed questionnaire</w:t>
      </w:r>
      <w:r>
        <w:t xml:space="preserve"> panel on the case page.</w:t>
      </w:r>
    </w:p>
    <w:p>
      <w:pPr>
        <w:pStyle w:val="ListParagraph"/>
        <w:numPr>
          <w:ilvl w:val="0"/>
          <w:numId w:val="18"/>
        </w:numPr>
        <w:spacing w:after="80" w:line="276"/>
      </w:pPr>
      <w:r>
        <w:t xml:space="preserve">Check it against the QA rules (table below) and any open QA exception for that case.</w:t>
      </w:r>
    </w:p>
    <w:p>
      <w:pPr>
        <w:pStyle w:val="ListParagraph"/>
        <w:numPr>
          <w:ilvl w:val="0"/>
          <w:numId w:val="18"/>
        </w:numPr>
        <w:spacing w:after="80" w:line="276"/>
      </w:pPr>
      <w:r>
        <w:t xml:space="preserve">Write a </w:t>
      </w:r>
      <w:r>
        <w:rPr>
          <w:b/>
          <w:bCs/>
        </w:rPr>
        <w:t xml:space="preserve">Note (required)</w:t>
      </w:r>
      <w:r>
        <w:t xml:space="preserve"> explaining your decision.</w:t>
      </w:r>
    </w:p>
    <w:p>
      <w:pPr>
        <w:pStyle w:val="ListParagraph"/>
        <w:numPr>
          <w:ilvl w:val="0"/>
          <w:numId w:val="18"/>
        </w:numPr>
        <w:spacing w:after="80" w:line="276"/>
      </w:pPr>
      <w:r>
        <w:t xml:space="preserve">Select </w:t>
      </w:r>
      <w:r>
        <w:rPr>
          <w:b/>
          <w:bCs/>
        </w:rPr>
        <w:t xml:space="preserve">Accept</w:t>
      </w:r>
      <w:r>
        <w:t xml:space="preserve"> (moves the case to S10 QA passed), </w:t>
      </w:r>
      <w:r>
        <w:rPr>
          <w:b/>
          <w:bCs/>
        </w:rPr>
        <w:t xml:space="preserve">Re-query</w:t>
      </w:r>
      <w:r>
        <w:t xml:space="preserve"> (S09 QA query — follow up with the respondent or the RA who administered it) or </w:t>
      </w:r>
      <w:r>
        <w:rPr>
          <w:b/>
          <w:bCs/>
        </w:rPr>
        <w:t xml:space="preserve">Reject</w:t>
      </w:r>
      <w:r>
        <w:t xml:space="preserve"> (not usable).</w:t>
      </w:r>
    </w:p>
    <w:p>
      <w:pPr>
        <w:spacing w:after="80"/>
      </w:pP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353"/>
        <w:gridCol w:w="3765"/>
        <w:gridCol w:w="3294"/>
      </w:tblGrid>
      <w:tr>
        <w:trPr>
          <w:tblHeader/>
        </w:trPr>
        <w:tc>
          <w:tcPr>
            <w:tcW w:type="dxa" w:w="2353"/>
            <w:shd w:fill="1B3350" w:color="auto" w:val="clear"/>
            <w:tcMar>
              <w:top w:type="dxa" w:w="70"/>
              <w:left w:type="dxa" w:w="110"/>
              <w:bottom w:type="dxa" w:w="70"/>
              <w:right w:type="dxa" w:w="110"/>
            </w:tcMar>
            <w:vAlign w:val="top"/>
          </w:tcPr>
          <w:p>
            <w:pPr>
              <w:spacing w:after="40"/>
            </w:pPr>
            <w:r>
              <w:rPr>
                <w:b/>
                <w:bCs/>
                <w:color w:val="FFFFFF"/>
                <w:sz w:val="19"/>
                <w:szCs w:val="19"/>
              </w:rPr>
              <w:t xml:space="preserve">Rule</w:t>
            </w:r>
          </w:p>
        </w:tc>
        <w:tc>
          <w:tcPr>
            <w:tcW w:type="dxa" w:w="3765"/>
            <w:shd w:fill="1B3350" w:color="auto" w:val="clear"/>
            <w:tcMar>
              <w:top w:type="dxa" w:w="70"/>
              <w:left w:type="dxa" w:w="110"/>
              <w:bottom w:type="dxa" w:w="70"/>
              <w:right w:type="dxa" w:w="110"/>
            </w:tcMar>
            <w:vAlign w:val="top"/>
          </w:tcPr>
          <w:p>
            <w:pPr>
              <w:spacing w:after="40"/>
            </w:pPr>
            <w:r>
              <w:rPr>
                <w:b/>
                <w:bCs/>
                <w:color w:val="FFFFFF"/>
                <w:sz w:val="19"/>
                <w:szCs w:val="19"/>
              </w:rPr>
              <w:t xml:space="preserve">Setting</w:t>
            </w:r>
          </w:p>
        </w:tc>
        <w:tc>
          <w:tcPr>
            <w:tcW w:type="dxa" w:w="3294"/>
            <w:shd w:fill="1B3350" w:color="auto" w:val="clear"/>
            <w:tcMar>
              <w:top w:type="dxa" w:w="70"/>
              <w:left w:type="dxa" w:w="110"/>
              <w:bottom w:type="dxa" w:w="70"/>
              <w:right w:type="dxa" w:w="110"/>
            </w:tcMar>
            <w:vAlign w:val="top"/>
          </w:tcPr>
          <w:p>
            <w:pPr>
              <w:spacing w:after="40"/>
            </w:pPr>
            <w:r>
              <w:rPr>
                <w:b/>
                <w:bCs/>
                <w:color w:val="FFFFFF"/>
                <w:sz w:val="19"/>
                <w:szCs w:val="19"/>
              </w:rPr>
              <w:t xml:space="preserve">Effect</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Required answers missing</w:t>
            </w:r>
          </w:p>
        </w:tc>
        <w:tc>
          <w:tcPr>
            <w:tcW w:type="dxa" w:w="3765"/>
            <w:tcMar>
              <w:top w:type="dxa" w:w="70"/>
              <w:left w:type="dxa" w:w="110"/>
              <w:bottom w:type="dxa" w:w="70"/>
              <w:right w:type="dxa" w:w="110"/>
            </w:tcMar>
            <w:vAlign w:val="top"/>
          </w:tcPr>
          <w:p>
            <w:pPr>
              <w:spacing w:after="40"/>
            </w:pPr>
            <w:r>
              <w:rPr>
                <w:b w:val="false"/>
                <w:bCs w:val="false"/>
                <w:sz w:val="19"/>
                <w:szCs w:val="19"/>
              </w:rPr>
              <w:t xml:space="preserve">65 required fields from the live questionnaire</w:t>
            </w:r>
          </w:p>
        </w:tc>
        <w:tc>
          <w:tcPr>
            <w:tcW w:type="dxa" w:w="3294"/>
            <w:tcMar>
              <w:top w:type="dxa" w:w="70"/>
              <w:left w:type="dxa" w:w="110"/>
              <w:bottom w:type="dxa" w:w="70"/>
              <w:right w:type="dxa" w:w="110"/>
            </w:tcMar>
            <w:vAlign w:val="top"/>
          </w:tcPr>
          <w:p>
            <w:pPr>
              <w:spacing w:after="40"/>
            </w:pPr>
            <w:r>
              <w:rPr>
                <w:b w:val="false"/>
                <w:bCs w:val="false"/>
                <w:sz w:val="19"/>
                <w:szCs w:val="19"/>
              </w:rPr>
              <w:t xml:space="preserve">Hard stop: raises an exception; cannot pass without a human decision and note.</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Too quick</w:t>
            </w:r>
          </w:p>
        </w:tc>
        <w:tc>
          <w:tcPr>
            <w:tcW w:type="dxa" w:w="3765"/>
            <w:shd w:fill="F8FAFB" w:color="auto" w:val="clear"/>
            <w:tcMar>
              <w:top w:type="dxa" w:w="70"/>
              <w:left w:type="dxa" w:w="110"/>
              <w:bottom w:type="dxa" w:w="70"/>
              <w:right w:type="dxa" w:w="110"/>
            </w:tcMar>
            <w:vAlign w:val="top"/>
          </w:tcPr>
          <w:p>
            <w:pPr>
              <w:spacing w:after="40"/>
            </w:pPr>
            <w:r>
              <w:rPr>
                <w:b w:val="false"/>
                <w:bCs w:val="false"/>
                <w:sz w:val="19"/>
                <w:szCs w:val="19"/>
              </w:rPr>
              <w:t xml:space="preserve">Completed in under 5 minutes (300 s)</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Soft flag for review.</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Too slow</w:t>
            </w:r>
          </w:p>
        </w:tc>
        <w:tc>
          <w:tcPr>
            <w:tcW w:type="dxa" w:w="3765"/>
            <w:tcMar>
              <w:top w:type="dxa" w:w="70"/>
              <w:left w:type="dxa" w:w="110"/>
              <w:bottom w:type="dxa" w:w="70"/>
              <w:right w:type="dxa" w:w="110"/>
            </w:tcMar>
            <w:vAlign w:val="top"/>
          </w:tcPr>
          <w:p>
            <w:pPr>
              <w:spacing w:after="40"/>
            </w:pPr>
            <w:r>
              <w:rPr>
                <w:b w:val="false"/>
                <w:bCs w:val="false"/>
                <w:sz w:val="19"/>
                <w:szCs w:val="19"/>
              </w:rPr>
              <w:t xml:space="preserve">Completed in over 90 minutes (5400 s)</w:t>
            </w:r>
          </w:p>
        </w:tc>
        <w:tc>
          <w:tcPr>
            <w:tcW w:type="dxa" w:w="3294"/>
            <w:tcMar>
              <w:top w:type="dxa" w:w="70"/>
              <w:left w:type="dxa" w:w="110"/>
              <w:bottom w:type="dxa" w:w="70"/>
              <w:right w:type="dxa" w:w="110"/>
            </w:tcMar>
            <w:vAlign w:val="top"/>
          </w:tcPr>
          <w:p>
            <w:pPr>
              <w:spacing w:after="40"/>
            </w:pPr>
            <w:r>
              <w:rPr>
                <w:b w:val="false"/>
                <w:bCs w:val="false"/>
                <w:sz w:val="19"/>
                <w:szCs w:val="19"/>
              </w:rPr>
              <w:t xml:space="preserve">Soft flag for review.</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Possible duplicate</w:t>
            </w:r>
          </w:p>
        </w:tc>
        <w:tc>
          <w:tcPr>
            <w:tcW w:type="dxa" w:w="3765"/>
            <w:shd w:fill="F8FAFB" w:color="auto" w:val="clear"/>
            <w:tcMar>
              <w:top w:type="dxa" w:w="70"/>
              <w:left w:type="dxa" w:w="110"/>
              <w:bottom w:type="dxa" w:w="70"/>
              <w:right w:type="dxa" w:w="110"/>
            </w:tcMar>
            <w:vAlign w:val="top"/>
          </w:tcPr>
          <w:p>
            <w:pPr>
              <w:spacing w:after="40"/>
            </w:pPr>
            <w:r>
              <w:rPr>
                <w:b w:val="false"/>
                <w:bCs w:val="false"/>
                <w:sz w:val="19"/>
                <w:szCs w:val="19"/>
              </w:rPr>
              <w:t xml:space="preserve">Another submission for the same organisation within 24 hours</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Soft flag for review.</w:t>
            </w:r>
          </w:p>
        </w:tc>
      </w:tr>
    </w:tbl>
    <w:p>
      <w:pPr>
        <w:spacing w:after="12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Nothing passes automatically</w:t>
            </w:r>
          </w:p>
          <w:p>
            <w:pPr>
              <w:spacing w:after="40" w:line="264"/>
            </w:pPr>
            <w:r>
              <w:rPr>
                <w:sz w:val="19"/>
                <w:szCs w:val="19"/>
              </w:rPr>
              <w:t xml:space="preserve">Even a submission with no flags needs a person to select Accept. Every decision and its note is audited.</w:t>
            </w:r>
          </w:p>
        </w:tc>
      </w:tr>
    </w:tbl>
    <w:p>
      <w:pPr>
        <w:pStyle w:val="Heading3"/>
      </w:pPr>
      <w:r>
        <w:t xml:space="preserve">Pulling new submissions now</w:t>
      </w:r>
    </w:p>
    <w:p>
      <w:pPr>
        <w:spacing w:after="120" w:line="288"/>
      </w:pPr>
      <w:r>
        <w:t xml:space="preserve">Submissions arrive within seconds (KoboToolbox notifies the portal) and a full check runs every 15 minutes between 06:00 and 22:00 and hourly overnight. To check immediately, select </w:t>
      </w:r>
      <w:r>
        <w:rPr>
          <w:b/>
          <w:bCs/>
        </w:rPr>
        <w:t xml:space="preserve">Sync now</w:t>
      </w:r>
      <w:r>
        <w:t xml:space="preserve"> in </w:t>
      </w:r>
      <w:r>
        <w:rPr>
          <w:b/>
          <w:bCs/>
        </w:rPr>
        <w:t xml:space="preserve">KoboToolbox sync</w:t>
      </w:r>
      <w:r>
        <w:t xml:space="preserve">; the panel shows the last run, how many were pulled and how many were new or updated. An edited submission returns to the queue for review.</w:t>
      </w:r>
    </w:p>
    <w:p>
      <w:pPr>
        <w:pStyle w:val="Heading2"/>
      </w:pPr>
      <w:r>
        <w:t xml:space="preserve">7.14 QA exceptions (PI, FC, QA RA)</w:t>
      </w:r>
    </w:p>
    <w:p>
      <w:pPr>
        <w:pStyle w:val="ListParagraph"/>
        <w:numPr>
          <w:ilvl w:val="0"/>
          <w:numId w:val="19"/>
        </w:numPr>
        <w:spacing w:after="80" w:line="276"/>
      </w:pPr>
      <w:r>
        <w:t xml:space="preserve">Select </w:t>
      </w:r>
      <w:r>
        <w:rPr>
          <w:b/>
          <w:bCs/>
        </w:rPr>
        <w:t xml:space="preserve">QA Exceptions</w:t>
      </w:r>
      <w:r>
        <w:t xml:space="preserve">. Each card shows the rule that fired (for example </w:t>
      </w:r>
      <w:r>
        <w:rPr>
          <w:rFonts w:ascii="Consolas" w:cs="Consolas" w:eastAsia="Consolas" w:hAnsi="Consolas"/>
          <w:b w:val="false"/>
          <w:bCs w:val="false"/>
          <w:color w:val="122238"/>
          <w:sz w:val="19"/>
          <w:szCs w:val="19"/>
        </w:rPr>
        <w:t xml:space="preserve">hard_stop_missing_required_fields</w:t>
      </w:r>
      <w:r>
        <w:t xml:space="preserve"> or </w:t>
      </w:r>
      <w:r>
        <w:rPr>
          <w:rFonts w:ascii="Consolas" w:cs="Consolas" w:eastAsia="Consolas" w:hAnsi="Consolas"/>
          <w:b w:val="false"/>
          <w:bCs w:val="false"/>
          <w:color w:val="122238"/>
          <w:sz w:val="19"/>
          <w:szCs w:val="19"/>
        </w:rPr>
        <w:t xml:space="preserve">min_plausible_duration_seconds</w:t>
      </w:r>
      <w:r>
        <w:t xml:space="preserve">), the Sample ID, when it was raised and its status. Oldest first.</w:t>
      </w:r>
    </w:p>
    <w:p>
      <w:pPr>
        <w:keepNext/>
        <w:spacing w:after="40" w:before="80"/>
        <w:jc w:val="center"/>
      </w:pPr>
      <w:r>
        <w:drawing>
          <wp:inline distT="0" distB="0" distL="0" distR="0">
            <wp:extent cx="5334000" cy="3333750"/>
            <wp:effectExtent t="0" r="0" b="0" l="0"/>
            <wp:docPr id="1" name="qa_exceptions.jpg" descr="QA Exception Queue." title="QA Exception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35. </w:t>
      </w:r>
      <w:r>
        <w:rPr>
          <w:i/>
          <w:iCs/>
          <w:color w:val="5B6670"/>
          <w:sz w:val="17"/>
          <w:szCs w:val="17"/>
        </w:rPr>
        <w:t xml:space="preserve">QA Exception Queue.</w:t>
      </w:r>
    </w:p>
    <w:p>
      <w:pPr>
        <w:pStyle w:val="ListParagraph"/>
        <w:numPr>
          <w:ilvl w:val="0"/>
          <w:numId w:val="19"/>
        </w:numPr>
        <w:spacing w:after="80" w:line="276"/>
      </w:pPr>
      <w:r>
        <w:t xml:space="preserve">Tick </w:t>
      </w:r>
      <w:r>
        <w:rPr>
          <w:b/>
          <w:bCs/>
        </w:rPr>
        <w:t xml:space="preserve">Only mine</w:t>
      </w:r>
      <w:r>
        <w:t xml:space="preserve"> to see exceptions assigned to you; tick </w:t>
      </w:r>
      <w:r>
        <w:rPr>
          <w:b/>
          <w:bCs/>
        </w:rPr>
        <w:t xml:space="preserve">Show closed</w:t>
      </w:r>
      <w:r>
        <w:t xml:space="preserve"> to include resolved ones.</w:t>
      </w:r>
    </w:p>
    <w:p>
      <w:pPr>
        <w:pStyle w:val="ListParagraph"/>
        <w:numPr>
          <w:ilvl w:val="0"/>
          <w:numId w:val="19"/>
        </w:numPr>
        <w:spacing w:after="80" w:line="276"/>
      </w:pPr>
      <w:r>
        <w:t xml:space="preserve">Use </w:t>
      </w:r>
      <w:r>
        <w:rPr>
          <w:b/>
          <w:bCs/>
        </w:rPr>
        <w:t xml:space="preserve">Assign to</w:t>
      </w:r>
      <w:r>
        <w:t xml:space="preserve"> to take ownership (or give it to a colleague). The status becomes </w:t>
      </w:r>
      <w:r>
        <w:rPr>
          <w:b/>
          <w:bCs/>
        </w:rPr>
        <w:t xml:space="preserve">In progress</w:t>
      </w:r>
      <w:r>
        <w:t xml:space="preserve">.</w:t>
      </w:r>
    </w:p>
    <w:p>
      <w:pPr>
        <w:pStyle w:val="ListParagraph"/>
        <w:numPr>
          <w:ilvl w:val="0"/>
          <w:numId w:val="19"/>
        </w:numPr>
        <w:spacing w:after="80" w:line="276"/>
      </w:pPr>
      <w:r>
        <w:t xml:space="preserve">Investigate: open the form PDF, check the case timeline, contact the respondent if needed.</w:t>
      </w:r>
    </w:p>
    <w:p>
      <w:pPr>
        <w:pStyle w:val="ListParagraph"/>
        <w:numPr>
          <w:ilvl w:val="0"/>
          <w:numId w:val="19"/>
        </w:numPr>
        <w:spacing w:after="80" w:line="276"/>
      </w:pPr>
      <w:r>
        <w:t xml:space="preserve">Type </w:t>
      </w:r>
      <w:r>
        <w:rPr>
          <w:b/>
          <w:bCs/>
        </w:rPr>
        <w:t xml:space="preserve">What was done about it?</w:t>
      </w:r>
      <w:r>
        <w:t xml:space="preserve"> and select </w:t>
      </w:r>
      <w:r>
        <w:rPr>
          <w:b/>
          <w:bCs/>
        </w:rPr>
        <w:t xml:space="preserve">Resolved</w:t>
      </w:r>
      <w:r>
        <w:t xml:space="preserve">, or </w:t>
      </w:r>
      <w:r>
        <w:rPr>
          <w:b/>
          <w:bCs/>
        </w:rPr>
        <w:t xml:space="preserve">Not a real problem</w:t>
      </w:r>
      <w:r>
        <w:t xml:space="preserve"> if the flag was a false alarm. A note is always required.</w:t>
      </w:r>
    </w:p>
    <w:p>
      <w:pPr>
        <w:spacing w:after="80"/>
      </w:pPr>
    </w:p>
    <w:p>
      <w:pPr>
        <w:pStyle w:val="Heading2"/>
      </w:pPr>
      <w:r>
        <w:t xml:space="preserve">7.15 Form PDFs and emailing (PI, FC, QA/KII/Doc RA)</w:t>
      </w:r>
    </w:p>
    <w:p>
      <w:pPr>
        <w:pStyle w:val="ListParagraph"/>
        <w:numPr>
          <w:ilvl w:val="0"/>
          <w:numId w:val="20"/>
        </w:numPr>
        <w:spacing w:after="80" w:line="276"/>
      </w:pPr>
      <w:r>
        <w:t xml:space="preserve">Select </w:t>
      </w:r>
      <w:r>
        <w:rPr>
          <w:b/>
          <w:bCs/>
        </w:rPr>
        <w:t xml:space="preserve">Form PDFs</w:t>
      </w:r>
      <w:r>
        <w:t xml:space="preserve">. You see the completed form forms from KoboToolbox, newest first, 20 per page to begin with (choose more under </w:t>
      </w:r>
      <w:r>
        <w:rPr>
          <w:b/>
          <w:bCs/>
        </w:rPr>
        <w:t xml:space="preserve">Show</w:t>
      </w:r>
      <w:r>
        <w:t xml:space="preserve"> at the foot of the list).</w:t>
      </w:r>
    </w:p>
    <w:p>
      <w:pPr>
        <w:keepNext/>
        <w:spacing w:after="40" w:before="80"/>
        <w:jc w:val="center"/>
      </w:pPr>
      <w:r>
        <w:drawing>
          <wp:inline distT="0" distB="0" distL="0" distR="0">
            <wp:extent cx="5334000" cy="3333750"/>
            <wp:effectExtent t="0" r="0" b="0" l="0"/>
            <wp:docPr id="1" name="qa_form_pdfs.jpg" descr="Completed form PDFs." title="Completed form PD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36. </w:t>
      </w:r>
      <w:r>
        <w:rPr>
          <w:i/>
          <w:iCs/>
          <w:color w:val="5B6670"/>
          <w:sz w:val="17"/>
          <w:szCs w:val="17"/>
        </w:rPr>
        <w:t xml:space="preserve">Completed form PDFs.</w:t>
      </w:r>
    </w:p>
    <w:p>
      <w:pPr>
        <w:pStyle w:val="ListParagraph"/>
        <w:numPr>
          <w:ilvl w:val="0"/>
          <w:numId w:val="20"/>
        </w:numPr>
        <w:spacing w:after="80" w:line="276"/>
      </w:pPr>
      <w:r>
        <w:t xml:space="preserve">Select </w:t>
      </w:r>
      <w:r>
        <w:rPr>
          <w:b/>
          <w:bCs/>
        </w:rPr>
        <w:t xml:space="preserve">Download PDF</w:t>
      </w:r>
      <w:r>
        <w:t xml:space="preserve"> to save a readable copy: sections, questions, the chosen answers as words (not codes) and repeated groups.</w:t>
      </w:r>
    </w:p>
    <w:p>
      <w:pPr>
        <w:pStyle w:val="ListParagraph"/>
        <w:numPr>
          <w:ilvl w:val="0"/>
          <w:numId w:val="20"/>
        </w:numPr>
        <w:spacing w:after="80" w:line="276"/>
      </w:pPr>
      <w:r>
        <w:t xml:space="preserve">Select </w:t>
      </w:r>
      <w:r>
        <w:rPr>
          <w:b/>
          <w:bCs/>
        </w:rPr>
        <w:t xml:space="preserve">Email to me</w:t>
      </w:r>
      <w:r>
        <w:t xml:space="preserve"> to send the PDF to the email address on your account.</w:t>
      </w:r>
    </w:p>
    <w:p>
      <w:pPr>
        <w:pStyle w:val="ListParagraph"/>
        <w:numPr>
          <w:ilvl w:val="0"/>
          <w:numId w:val="20"/>
        </w:numPr>
        <w:spacing w:after="80" w:line="276"/>
      </w:pPr>
      <w:r>
        <w:t xml:space="preserve">For the questionnaire only, select </w:t>
      </w:r>
      <w:r>
        <w:rPr>
          <w:b/>
          <w:bCs/>
        </w:rPr>
        <w:t xml:space="preserve">Email to respondent</w:t>
      </w:r>
      <w:r>
        <w:t xml:space="preserve"> to send the respondent a copy of their own answers at the email address recorded on the case (only while their consent stands). You are asked to confirm first. Every email is audited with the address masked.</w:t>
      </w:r>
    </w:p>
    <w:p>
      <w:pPr>
        <w:spacing w:after="80"/>
      </w:pPr>
    </w:p>
    <w:p>
      <w:pPr>
        <w:spacing w:after="120" w:line="288"/>
      </w:pPr>
      <w:r>
        <w:t xml:space="preserve">At the top of the page, a sync panel shows whether the portal holds the same forms as KoboToolbox, for example “✓ In sync with KoboToolbox — KoboToolbox holds 12 · the portal holds 12”. Each row also says “✓ saved in portal” once the portal has an identical copy. If the panel says “Not in sync”, select </w:t>
      </w:r>
      <w:r>
        <w:rPr>
          <w:b/>
          <w:bCs/>
        </w:rPr>
        <w:t xml:space="preserve">Sync now</w:t>
      </w:r>
      <w:r>
        <w:t xml:space="preserve"> (read-only roles see the panel but not the button); it takes a few seconds.</w:t>
      </w:r>
    </w:p>
    <w:p>
      <w:pPr>
        <w:spacing w:after="120" w:line="288"/>
      </w:pPr>
      <w:r>
        <w:t xml:space="preserve">The same PDF is available from the record itself: the case page (questionnaire), the KII page (KII Guide) or the document page (coding form).</w:t>
      </w: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How the sync works</w:t>
            </w:r>
          </w:p>
          <w:p>
            <w:pPr>
              <w:spacing w:after="40" w:line="264"/>
            </w:pPr>
            <w:r>
              <w:rPr>
                <w:sz w:val="19"/>
                <w:szCs w:val="19"/>
              </w:rPr>
              <w:t xml:space="preserve">The portal keeps its own copy of the questionnaire, KII Guide and Document Analysis Tool, and refreshes it every 15 minutes and whenever someone selects Sync now. A submission edited in KoboToolbox is updated here; one deleted in KoboToolbox is flagged as removed. You never need to sync before downloading a PDF: the PDF is always read from KoboToolbox at that moment.</w:t>
            </w:r>
          </w:p>
        </w:tc>
      </w:tr>
    </w:tbl>
    <w:p>
      <w:pPr>
        <w:pStyle w:val="Heading2"/>
      </w:pPr>
      <w:r>
        <w:t xml:space="preserve">7.16 KII records (PI, FC, KII RA)</w:t>
      </w:r>
    </w:p>
    <w:p>
      <w:pPr>
        <w:pStyle w:val="ListParagraph"/>
        <w:numPr>
          <w:ilvl w:val="0"/>
          <w:numId w:val="21"/>
        </w:numPr>
        <w:spacing w:after="80" w:line="276"/>
      </w:pPr>
      <w:r>
        <w:t xml:space="preserve">Select </w:t>
      </w:r>
      <w:r>
        <w:rPr>
          <w:b/>
          <w:bCs/>
        </w:rPr>
        <w:t xml:space="preserve">KII Register → New KII record</w:t>
      </w:r>
      <w:r>
        <w:t xml:space="preserve">.</w:t>
      </w:r>
    </w:p>
    <w:p>
      <w:pPr>
        <w:keepNext/>
        <w:spacing w:after="40" w:before="80"/>
        <w:jc w:val="center"/>
      </w:pPr>
      <w:r>
        <w:drawing>
          <wp:inline distT="0" distB="0" distL="0" distR="0">
            <wp:extent cx="5334000" cy="2667000"/>
            <wp:effectExtent t="0" r="0" b="0" l="0"/>
            <wp:docPr id="1" name="kii_new.jpg" descr="New KII Record." title="New KII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2667000"/>
                    </a:xfrm>
                    <a:prstGeom prst="rect">
                      <a:avLst/>
                    </a:prstGeom>
                  </pic:spPr>
                </pic:pic>
              </a:graphicData>
            </a:graphic>
          </wp:inline>
        </w:drawing>
      </w:r>
    </w:p>
    <w:p>
      <w:pPr>
        <w:spacing w:after="180"/>
        <w:jc w:val="center"/>
      </w:pPr>
      <w:r>
        <w:rPr>
          <w:b/>
          <w:bCs/>
          <w:color w:val="5B6670"/>
          <w:sz w:val="17"/>
          <w:szCs w:val="17"/>
        </w:rPr>
        <w:t xml:space="preserve">Figure 37. </w:t>
      </w:r>
      <w:r>
        <w:rPr>
          <w:i/>
          <w:iCs/>
          <w:color w:val="5B6670"/>
          <w:sz w:val="17"/>
          <w:szCs w:val="17"/>
        </w:rPr>
        <w:t xml:space="preserve">New KII Record.</w:t>
      </w:r>
    </w:p>
    <w:p>
      <w:pPr>
        <w:pStyle w:val="ListParagraph"/>
        <w:numPr>
          <w:ilvl w:val="0"/>
          <w:numId w:val="21"/>
        </w:numPr>
        <w:spacing w:after="80" w:line="276"/>
      </w:pPr>
      <w:r>
        <w:t xml:space="preserve">Enter </w:t>
      </w:r>
      <w:r>
        <w:rPr>
          <w:b/>
          <w:bCs/>
        </w:rPr>
        <w:t xml:space="preserve">Stakeholder category</w:t>
      </w:r>
      <w:r>
        <w:t xml:space="preserve">, </w:t>
      </w:r>
      <w:r>
        <w:rPr>
          <w:b/>
          <w:bCs/>
        </w:rPr>
        <w:t xml:space="preserve">Participant name</w:t>
      </w:r>
      <w:r>
        <w:t xml:space="preserve">, </w:t>
      </w:r>
      <w:r>
        <w:rPr>
          <w:b/>
          <w:bCs/>
        </w:rPr>
        <w:t xml:space="preserve">Participant role</w:t>
      </w:r>
      <w:r>
        <w:t xml:space="preserve"> and </w:t>
      </w:r>
      <w:r>
        <w:rPr>
          <w:b/>
          <w:bCs/>
        </w:rPr>
        <w:t xml:space="preserve">Preferred mode</w:t>
      </w:r>
      <w:r>
        <w:t xml:space="preserve">, then select </w:t>
      </w:r>
      <w:r>
        <w:rPr>
          <w:b/>
          <w:bCs/>
        </w:rPr>
        <w:t xml:space="preserve">Create KII record</w:t>
      </w:r>
      <w:r>
        <w:t xml:space="preserve">. The KII ID (e.g. KII-0026) is generated.</w:t>
      </w:r>
    </w:p>
    <w:p>
      <w:pPr>
        <w:spacing w:after="80"/>
      </w:pPr>
    </w:p>
    <w:p>
      <w:pPr>
        <w:pStyle w:val="Heading2"/>
      </w:pPr>
      <w:r>
        <w:t xml:space="preserve">7.16a Correcting a KII record's details</w:t>
      </w:r>
    </w:p>
    <w:p>
      <w:pPr>
        <w:spacing w:after="120" w:line="288"/>
      </w:pPr>
      <w:r>
        <w:t xml:space="preserve">For a mistyped name, role or category, a contact detail, or anything else under </w:t>
      </w:r>
      <w:r>
        <w:rPr>
          <w:b/>
          <w:bCs/>
        </w:rPr>
        <w:t xml:space="preserve">Record details</w:t>
      </w:r>
      <w:r>
        <w:t xml:space="preserve"> -- found after the record was created.</w:t>
      </w:r>
    </w:p>
    <w:p>
      <w:pPr>
        <w:pStyle w:val="ListParagraph"/>
        <w:numPr>
          <w:ilvl w:val="0"/>
          <w:numId w:val="22"/>
        </w:numPr>
        <w:spacing w:after="80" w:line="276"/>
      </w:pPr>
      <w:r>
        <w:t xml:space="preserve">On the KII record, under </w:t>
      </w:r>
      <w:r>
        <w:rPr>
          <w:b/>
          <w:bCs/>
        </w:rPr>
        <w:t xml:space="preserve">Record details</w:t>
      </w:r>
      <w:r>
        <w:t xml:space="preserve">, correct </w:t>
      </w:r>
      <w:r>
        <w:rPr>
          <w:b/>
          <w:bCs/>
        </w:rPr>
        <w:t xml:space="preserve">Participant name</w:t>
      </w:r>
      <w:r>
        <w:t xml:space="preserve">, </w:t>
      </w:r>
      <w:r>
        <w:rPr>
          <w:b/>
          <w:bCs/>
        </w:rPr>
        <w:t xml:space="preserve">Participant role</w:t>
      </w:r>
      <w:r>
        <w:t xml:space="preserve">, </w:t>
      </w:r>
      <w:r>
        <w:rPr>
          <w:b/>
          <w:bCs/>
        </w:rPr>
        <w:t xml:space="preserve">Stakeholder category</w:t>
      </w:r>
      <w:r>
        <w:t xml:space="preserve">, </w:t>
      </w:r>
      <w:r>
        <w:rPr>
          <w:b/>
          <w:bCs/>
        </w:rPr>
        <w:t xml:space="preserve">Phone</w:t>
      </w:r>
      <w:r>
        <w:t xml:space="preserve">, </w:t>
      </w:r>
      <w:r>
        <w:rPr>
          <w:b/>
          <w:bCs/>
        </w:rPr>
        <w:t xml:space="preserve">WhatsApp number</w:t>
      </w:r>
      <w:r>
        <w:t xml:space="preserve">, </w:t>
      </w:r>
      <w:r>
        <w:rPr>
          <w:b/>
          <w:bCs/>
        </w:rPr>
        <w:t xml:space="preserve">Email</w:t>
      </w:r>
      <w:r>
        <w:t xml:space="preserve">, </w:t>
      </w:r>
      <w:r>
        <w:rPr>
          <w:b/>
          <w:bCs/>
        </w:rPr>
        <w:t xml:space="preserve">Preferred mode</w:t>
      </w:r>
      <w:r>
        <w:t xml:space="preserve">, </w:t>
      </w:r>
      <w:r>
        <w:rPr>
          <w:b/>
          <w:bCs/>
        </w:rPr>
        <w:t xml:space="preserve">Interview date</w:t>
      </w:r>
      <w:r>
        <w:t xml:space="preserve">, </w:t>
      </w:r>
      <w:r>
        <w:rPr>
          <w:b/>
          <w:bCs/>
        </w:rPr>
        <w:t xml:space="preserve">Duration</w:t>
      </w:r>
      <w:r>
        <w:t xml:space="preserve"> or </w:t>
      </w:r>
      <w:r>
        <w:rPr>
          <w:b/>
          <w:bCs/>
        </w:rPr>
        <w:t xml:space="preserve">Field notes</w:t>
      </w:r>
      <w:r>
        <w:t xml:space="preserve">.</w:t>
      </w:r>
    </w:p>
    <w:p>
      <w:pPr>
        <w:keepNext/>
        <w:spacing w:after="40" w:before="80"/>
        <w:jc w:val="center"/>
      </w:pPr>
      <w:r>
        <w:drawing>
          <wp:inline distT="0" distB="0" distL="0" distR="0">
            <wp:extent cx="5334000" cy="3752850"/>
            <wp:effectExtent t="0" r="0" b="0" l="0"/>
            <wp:docPr id="1" name="kii_detail.jpg" descr="Record details: everything except status, transcript and coding progress." title="Record details: everything except status, transcript and coding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752850"/>
                    </a:xfrm>
                    <a:prstGeom prst="rect">
                      <a:avLst/>
                    </a:prstGeom>
                  </pic:spPr>
                </pic:pic>
              </a:graphicData>
            </a:graphic>
          </wp:inline>
        </w:drawing>
      </w:r>
    </w:p>
    <w:p>
      <w:pPr>
        <w:spacing w:after="180"/>
        <w:jc w:val="center"/>
      </w:pPr>
      <w:r>
        <w:rPr>
          <w:b/>
          <w:bCs/>
          <w:color w:val="5B6670"/>
          <w:sz w:val="17"/>
          <w:szCs w:val="17"/>
        </w:rPr>
        <w:t xml:space="preserve">Figure 38. </w:t>
      </w:r>
      <w:r>
        <w:rPr>
          <w:i/>
          <w:iCs/>
          <w:color w:val="5B6670"/>
          <w:sz w:val="17"/>
          <w:szCs w:val="17"/>
        </w:rPr>
        <w:t xml:space="preserve">Record details: everything except status, transcript and coding progress.</w:t>
      </w:r>
    </w:p>
    <w:p>
      <w:pPr>
        <w:pStyle w:val="ListParagraph"/>
        <w:numPr>
          <w:ilvl w:val="0"/>
          <w:numId w:val="22"/>
        </w:numPr>
        <w:spacing w:after="80" w:line="276"/>
      </w:pPr>
      <w:r>
        <w:t xml:space="preserve">Select </w:t>
      </w:r>
      <w:r>
        <w:rPr>
          <w:b/>
          <w:bCs/>
        </w:rPr>
        <w:t xml:space="preserve">Save details</w:t>
      </w:r>
      <w:r>
        <w:t xml:space="preserve">.</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Status, transcript and coding have their own controls</w:t>
            </w:r>
          </w:p>
          <w:p>
            <w:pPr>
              <w:spacing w:after="40" w:line="264"/>
            </w:pPr>
            <w:r>
              <w:rPr>
                <w:sz w:val="19"/>
                <w:szCs w:val="19"/>
              </w:rPr>
              <w:t xml:space="preserve">This form never changes Status, Transcript or Coding progress, even though they're part of the same record -- those only move through their own validated buttons below (status transitions, consent, transcript/coding progress), each of which is audited.</w:t>
            </w:r>
          </w:p>
        </w:tc>
      </w:tr>
    </w:tbl>
    <w:p>
      <w:pPr>
        <w:pStyle w:val="Heading2"/>
      </w:pPr>
      <w:r>
        <w:t xml:space="preserve">7.16b Taking a KII from invitation to coded transcript</w:t>
      </w:r>
    </w:p>
    <w:p>
      <w:pPr>
        <w:pStyle w:val="ListParagraph"/>
        <w:numPr>
          <w:ilvl w:val="0"/>
          <w:numId w:val="23"/>
        </w:numPr>
        <w:spacing w:after="80" w:line="276"/>
      </w:pPr>
      <w:r>
        <w:t xml:space="preserve">In </w:t>
      </w:r>
      <w:r>
        <w:rPr>
          <w:b/>
          <w:bCs/>
        </w:rPr>
        <w:t xml:space="preserve">KII Register</w:t>
      </w:r>
      <w:r>
        <w:t xml:space="preserve">, select </w:t>
      </w:r>
      <w:r>
        <w:rPr>
          <w:b/>
          <w:bCs/>
        </w:rPr>
        <w:t xml:space="preserve">Manage</w:t>
      </w:r>
      <w:r>
        <w:t xml:space="preserve"> on the record.</w:t>
      </w:r>
    </w:p>
    <w:p>
      <w:pPr>
        <w:keepNext/>
        <w:spacing w:after="40" w:before="80"/>
        <w:jc w:val="center"/>
      </w:pPr>
      <w:r>
        <w:drawing>
          <wp:inline distT="0" distB="0" distL="0" distR="0">
            <wp:extent cx="5334000" cy="3333750"/>
            <wp:effectExtent t="0" r="0" b="0" l="0"/>
            <wp:docPr id="1" name="kii_register.jpg" descr="KII Register." title="KII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39. </w:t>
      </w:r>
      <w:r>
        <w:rPr>
          <w:i/>
          <w:iCs/>
          <w:color w:val="5B6670"/>
          <w:sz w:val="17"/>
          <w:szCs w:val="17"/>
        </w:rPr>
        <w:t xml:space="preserve">KII Register.</w:t>
      </w:r>
    </w:p>
    <w:p>
      <w:pPr>
        <w:pStyle w:val="ListParagraph"/>
        <w:numPr>
          <w:ilvl w:val="0"/>
          <w:numId w:val="23"/>
        </w:numPr>
        <w:spacing w:after="80" w:line="276"/>
      </w:pPr>
      <w:r>
        <w:t xml:space="preserve">Move the </w:t>
      </w:r>
      <w:r>
        <w:rPr>
          <w:b/>
          <w:bCs/>
        </w:rPr>
        <w:t xml:space="preserve">Status</w:t>
      </w:r>
      <w:r>
        <w:t xml:space="preserve"> as things happen: PROSPECT → INVITED → SCHEDULED → COMPLETED, or DECLINED / NO_SHOW. Only valid next statuses are shown; NO_SHOW can be rescheduled.</w:t>
      </w:r>
    </w:p>
    <w:p>
      <w:pPr>
        <w:keepNext/>
        <w:spacing w:after="40" w:before="80"/>
        <w:jc w:val="center"/>
      </w:pPr>
      <w:r>
        <w:drawing>
          <wp:inline distT="0" distB="0" distL="0" distR="0">
            <wp:extent cx="5334000" cy="3752850"/>
            <wp:effectExtent t="0" r="0" b="0" l="0"/>
            <wp:docPr id="1" name="kii_detail.jpg" descr="KII record: status, consent, transcript and coding." title="KII record: status, consent, transcript and 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752850"/>
                    </a:xfrm>
                    <a:prstGeom prst="rect">
                      <a:avLst/>
                    </a:prstGeom>
                  </pic:spPr>
                </pic:pic>
              </a:graphicData>
            </a:graphic>
          </wp:inline>
        </w:drawing>
      </w:r>
    </w:p>
    <w:p>
      <w:pPr>
        <w:spacing w:after="180"/>
        <w:jc w:val="center"/>
      </w:pPr>
      <w:r>
        <w:rPr>
          <w:b/>
          <w:bCs/>
          <w:color w:val="5B6670"/>
          <w:sz w:val="17"/>
          <w:szCs w:val="17"/>
        </w:rPr>
        <w:t xml:space="preserve">Figure 40. </w:t>
      </w:r>
      <w:r>
        <w:rPr>
          <w:i/>
          <w:iCs/>
          <w:color w:val="5B6670"/>
          <w:sz w:val="17"/>
          <w:szCs w:val="17"/>
        </w:rPr>
        <w:t xml:space="preserve">KII record: status, consent, transcript and coding.</w:t>
      </w:r>
    </w:p>
    <w:p>
      <w:pPr>
        <w:pStyle w:val="ListParagraph"/>
        <w:numPr>
          <w:ilvl w:val="0"/>
          <w:numId w:val="23"/>
        </w:numPr>
        <w:spacing w:after="80" w:line="276"/>
      </w:pPr>
      <w:r>
        <w:t xml:space="preserve">Before the interview starts, select </w:t>
      </w:r>
      <w:r>
        <w:rPr>
          <w:b/>
          <w:bCs/>
        </w:rPr>
        <w:t xml:space="preserve">Record participation consent</w:t>
      </w:r>
      <w:r>
        <w:t xml:space="preserve">. If the interview will be recorded, also select </w:t>
      </w:r>
      <w:r>
        <w:rPr>
          <w:b/>
          <w:bCs/>
        </w:rPr>
        <w:t xml:space="preserve">Record recording consent</w:t>
      </w:r>
      <w:r>
        <w:t xml:space="preserve"> — the two are always separate.</w:t>
      </w:r>
    </w:p>
    <w:p>
      <w:pPr>
        <w:pStyle w:val="ListParagraph"/>
        <w:numPr>
          <w:ilvl w:val="0"/>
          <w:numId w:val="23"/>
        </w:numPr>
        <w:spacing w:after="80" w:line="276"/>
      </w:pPr>
      <w:r>
        <w:t xml:space="preserve">When marking </w:t>
      </w:r>
      <w:r>
        <w:rPr>
          <w:b/>
          <w:bCs/>
        </w:rPr>
        <w:t xml:space="preserve">COMPLETED</w:t>
      </w:r>
      <w:r>
        <w:t xml:space="preserve">, tick </w:t>
      </w:r>
      <w:r>
        <w:rPr>
          <w:b/>
          <w:bCs/>
        </w:rPr>
        <w:t xml:space="preserve">Recording made</w:t>
      </w:r>
      <w:r>
        <w:t xml:space="preserve"> only if a recording exists. The portal refuses a recorded completion without recording consent.</w:t>
      </w:r>
    </w:p>
    <w:p>
      <w:pPr>
        <w:pStyle w:val="ListParagraph"/>
        <w:numPr>
          <w:ilvl w:val="0"/>
          <w:numId w:val="23"/>
        </w:numPr>
        <w:spacing w:after="80" w:line="276"/>
      </w:pPr>
      <w:r>
        <w:t xml:space="preserve">Advance </w:t>
      </w:r>
      <w:r>
        <w:rPr>
          <w:b/>
          <w:bCs/>
        </w:rPr>
        <w:t xml:space="preserve">Transcript</w:t>
      </w:r>
      <w:r>
        <w:t xml:space="preserve"> (NOT_STARTED → IN_PROGRESS → VERIFIED → ANONYMISED) and </w:t>
      </w:r>
      <w:r>
        <w:rPr>
          <w:b/>
          <w:bCs/>
        </w:rPr>
        <w:t xml:space="preserve">Coding</w:t>
      </w:r>
      <w:r>
        <w:t xml:space="preserve"> (NOT_STARTED → IN_PROGRESS → COMPLETE) as the work progresses.</w:t>
      </w:r>
    </w:p>
    <w:p>
      <w:pPr>
        <w:pStyle w:val="ListParagraph"/>
        <w:numPr>
          <w:ilvl w:val="0"/>
          <w:numId w:val="23"/>
        </w:numPr>
        <w:spacing w:after="80" w:line="276"/>
      </w:pPr>
      <w:r>
        <w:t xml:space="preserve">Complete the </w:t>
      </w:r>
      <w:r>
        <w:rPr>
          <w:b/>
          <w:bCs/>
        </w:rPr>
        <w:t xml:space="preserve">KII Guide</w:t>
      </w:r>
      <w:r>
        <w:t xml:space="preserve"> form in KoboToolbox using the KII ID (see the next section). The </w:t>
      </w:r>
      <w:r>
        <w:rPr>
          <w:b/>
          <w:bCs/>
        </w:rPr>
        <w:t xml:space="preserve">Completed KII form (KoboToolbox)</w:t>
      </w:r>
      <w:r>
        <w:t xml:space="preserve"> panel then links to its PDF, and at the next sync (within 15 minutes, or at once with </w:t>
      </w:r>
      <w:r>
        <w:rPr>
          <w:b/>
          <w:bCs/>
        </w:rPr>
        <w:t xml:space="preserve">Sync now</w:t>
      </w:r>
      <w:r>
        <w:t xml:space="preserve"> on </w:t>
      </w:r>
      <w:r>
        <w:rPr>
          <w:b/>
          <w:bCs/>
        </w:rPr>
        <w:t xml:space="preserve">Form PDFs</w:t>
      </w:r>
      <w:r>
        <w:t xml:space="preserve">) the portal sets </w:t>
      </w:r>
      <w:r>
        <w:rPr>
          <w:b/>
          <w:bCs/>
        </w:rPr>
        <w:t xml:space="preserve">Coding</w:t>
      </w:r>
      <w:r>
        <w:t xml:space="preserve"> to COMPLETE for you.</w:t>
      </w:r>
    </w:p>
    <w:p>
      <w:pPr>
        <w:spacing w:after="80"/>
      </w:pPr>
    </w:p>
    <w:p>
      <w:pPr>
        <w:pStyle w:val="Heading2"/>
      </w:pPr>
      <w:r>
        <w:t xml:space="preserve">7.16c Opening the KII Guide with the KII ID filled in</w:t>
      </w:r>
    </w:p>
    <w:p>
      <w:pPr>
        <w:pStyle w:val="ListParagraph"/>
        <w:numPr>
          <w:ilvl w:val="0"/>
          <w:numId w:val="24"/>
        </w:numPr>
        <w:spacing w:after="80" w:line="276"/>
      </w:pPr>
      <w:r>
        <w:t xml:space="preserve">Record </w:t>
      </w:r>
      <w:r>
        <w:rPr>
          <w:b/>
          <w:bCs/>
        </w:rPr>
        <w:t xml:space="preserve">participation consent</w:t>
      </w:r>
      <w:r>
        <w:t xml:space="preserve"> first. Until you do, the </w:t>
      </w:r>
      <w:r>
        <w:rPr>
          <w:b/>
          <w:bCs/>
        </w:rPr>
        <w:t xml:space="preserve">Coding</w:t>
      </w:r>
      <w:r>
        <w:t xml:space="preserve"> panel says “Record participation consent first” and the interview link is withheld.</w:t>
      </w:r>
    </w:p>
    <w:p>
      <w:pPr>
        <w:keepNext/>
        <w:spacing w:after="40" w:before="80"/>
        <w:jc w:val="center"/>
      </w:pPr>
      <w:r>
        <w:drawing>
          <wp:inline distT="0" distB="0" distL="0" distR="0">
            <wp:extent cx="5334000" cy="523875"/>
            <wp:effectExtent t="0" r="0" b="0" l="0"/>
            <wp:docPr id="1" name="kii_coding_locked.jpg" descr="Before consent: no interview link." title="Before consent: no interview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523875"/>
                    </a:xfrm>
                    <a:prstGeom prst="rect">
                      <a:avLst/>
                    </a:prstGeom>
                  </pic:spPr>
                </pic:pic>
              </a:graphicData>
            </a:graphic>
          </wp:inline>
        </w:drawing>
      </w:r>
    </w:p>
    <w:p>
      <w:pPr>
        <w:spacing w:after="180"/>
        <w:jc w:val="center"/>
      </w:pPr>
      <w:r>
        <w:rPr>
          <w:b/>
          <w:bCs/>
          <w:color w:val="5B6670"/>
          <w:sz w:val="17"/>
          <w:szCs w:val="17"/>
        </w:rPr>
        <w:t xml:space="preserve">Figure 41. </w:t>
      </w:r>
      <w:r>
        <w:rPr>
          <w:i/>
          <w:iCs/>
          <w:color w:val="5B6670"/>
          <w:sz w:val="17"/>
          <w:szCs w:val="17"/>
        </w:rPr>
        <w:t xml:space="preserve">Before consent: no interview link.</w:t>
      </w:r>
    </w:p>
    <w:p>
      <w:pPr>
        <w:pStyle w:val="ListParagraph"/>
        <w:numPr>
          <w:ilvl w:val="0"/>
          <w:numId w:val="24"/>
        </w:numPr>
        <w:spacing w:after="80" w:line="276"/>
      </w:pPr>
      <w:r>
        <w:t xml:space="preserve">Once consent is recorded, the panel offers </w:t>
      </w:r>
      <w:r>
        <w:rPr>
          <w:b/>
          <w:bCs/>
        </w:rPr>
        <w:t xml:space="preserve">Continue this interview</w:t>
      </w:r>
      <w:r>
        <w:t xml:space="preserve">. Select it: the KoboToolbox KII Guide opens in a new tab with the KII ID already entered, so it can never be mistyped and the completed form always matches this record.</w:t>
      </w:r>
    </w:p>
    <w:p>
      <w:pPr>
        <w:keepNext/>
        <w:spacing w:after="40" w:before="80"/>
        <w:jc w:val="center"/>
      </w:pPr>
      <w:r>
        <w:drawing>
          <wp:inline distT="0" distB="0" distL="0" distR="0">
            <wp:extent cx="5334000" cy="742950"/>
            <wp:effectExtent t="0" r="0" b="0" l="0"/>
            <wp:docPr id="1" name="kii_coding_ready.jpg" descr="After consent: Continue this interview." title="After consent: Continue this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742950"/>
                    </a:xfrm>
                    <a:prstGeom prst="rect">
                      <a:avLst/>
                    </a:prstGeom>
                  </pic:spPr>
                </pic:pic>
              </a:graphicData>
            </a:graphic>
          </wp:inline>
        </w:drawing>
      </w:r>
    </w:p>
    <w:p>
      <w:pPr>
        <w:spacing w:after="180"/>
        <w:jc w:val="center"/>
      </w:pPr>
      <w:r>
        <w:rPr>
          <w:b/>
          <w:bCs/>
          <w:color w:val="5B6670"/>
          <w:sz w:val="17"/>
          <w:szCs w:val="17"/>
        </w:rPr>
        <w:t xml:space="preserve">Figure 42. </w:t>
      </w:r>
      <w:r>
        <w:rPr>
          <w:i/>
          <w:iCs/>
          <w:color w:val="5B6670"/>
          <w:sz w:val="17"/>
          <w:szCs w:val="17"/>
        </w:rPr>
        <w:t xml:space="preserve">After consent: Continue this interview.</w:t>
      </w:r>
    </w:p>
    <w:p>
      <w:pPr>
        <w:pStyle w:val="ListParagraph"/>
        <w:numPr>
          <w:ilvl w:val="0"/>
          <w:numId w:val="24"/>
        </w:numPr>
        <w:spacing w:after="80" w:line="276"/>
      </w:pPr>
      <w:r>
        <w:t xml:space="preserve">Complete the interview in the form as usual.</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What the link carries</w:t>
            </w:r>
          </w:p>
          <w:p>
            <w:pPr>
              <w:spacing w:after="40" w:line="264"/>
            </w:pPr>
            <w:r>
              <w:rPr>
                <w:sz w:val="19"/>
                <w:szCs w:val="19"/>
              </w:rPr>
              <w:t xml:space="preserve">Only the KII ID and your own username. It never carries the participant's name, role or organisation, so nothing identifying is left in a web address or your browser history.</w:t>
            </w:r>
          </w:p>
        </w:tc>
      </w:tr>
    </w:tbl>
    <w:p>
      <w:pPr>
        <w:pStyle w:val="Heading2"/>
      </w:pPr>
      <w:r>
        <w:t xml:space="preserve">7.16d Finding an informant's contact details with AI</w:t>
      </w:r>
    </w:p>
    <w:p>
      <w:pPr>
        <w:spacing w:after="120" w:line="288"/>
      </w:pPr>
      <w:r>
        <w:t xml:space="preserve">Most KII records have no phone or email yet. The contact finder searches public sources for the informant's organisation's published phone number and email, and for the informant's own </w:t>
      </w:r>
      <w:r>
        <w:rPr>
          <w:b/>
          <w:bCs/>
        </w:rPr>
        <w:t xml:space="preserve">work</w:t>
      </w:r>
      <w:r>
        <w:t xml:space="preserve"> email or phone where their organisation (or an official register) publishes it. For a record still called “… (contact not yet identified)”, it looks for whoever currently holds the role, with their phone or email. A name found without a phone or email is not kept. It only proposes: nothing reaches the record until you accept it.</w:t>
      </w:r>
    </w:p>
    <w:p>
      <w:pPr>
        <w:pStyle w:val="ListParagraph"/>
        <w:numPr>
          <w:ilvl w:val="0"/>
          <w:numId w:val="25"/>
        </w:numPr>
        <w:spacing w:after="80" w:line="276"/>
      </w:pPr>
      <w:r>
        <w:t xml:space="preserve">Open the record (</w:t>
      </w:r>
      <w:r>
        <w:rPr>
          <w:b/>
          <w:bCs/>
        </w:rPr>
        <w:t xml:space="preserve">KII Register → Manage</w:t>
      </w:r>
      <w:r>
        <w:t xml:space="preserve">) and find </w:t>
      </w:r>
      <w:r>
        <w:rPr>
          <w:b/>
          <w:bCs/>
        </w:rPr>
        <w:t xml:space="preserve">Find contact details with AI</w:t>
      </w:r>
      <w:r>
        <w:t xml:space="preserve">, above </w:t>
      </w:r>
      <w:r>
        <w:rPr>
          <w:b/>
          <w:bCs/>
        </w:rPr>
        <w:t xml:space="preserve">Invite (self-service link)</w:t>
      </w:r>
      <w:r>
        <w:t xml:space="preserve">.</w:t>
      </w:r>
    </w:p>
    <w:p>
      <w:pPr>
        <w:pStyle w:val="ListParagraph"/>
        <w:numPr>
          <w:ilvl w:val="0"/>
          <w:numId w:val="25"/>
        </w:numPr>
        <w:spacing w:after="80" w:line="276"/>
      </w:pPr>
      <w:r>
        <w:t xml:space="preserve">Select </w:t>
      </w:r>
      <w:r>
        <w:rPr>
          <w:b/>
          <w:bCs/>
        </w:rPr>
        <w:t xml:space="preserve">Find contact details</w:t>
      </w:r>
      <w:r>
        <w:t xml:space="preserve">. Searches run one at a time, about a minute each; if others are ahead the button reads </w:t>
      </w:r>
      <w:r>
        <w:rPr>
          <w:b/>
          <w:bCs/>
        </w:rPr>
        <w:t xml:space="preserve">Waiting in line…</w:t>
      </w:r>
      <w:r>
        <w:t xml:space="preserve">. You can leave the page and come back.</w:t>
      </w:r>
    </w:p>
    <w:p>
      <w:pPr>
        <w:pStyle w:val="ListParagraph"/>
        <w:numPr>
          <w:ilvl w:val="0"/>
          <w:numId w:val="25"/>
        </w:numPr>
        <w:spacing w:after="80" w:line="276"/>
      </w:pPr>
      <w:r>
        <w:t xml:space="preserve">Under </w:t>
      </w:r>
      <w:r>
        <w:rPr>
          <w:b/>
          <w:bCs/>
        </w:rPr>
        <w:t xml:space="preserve">To review</w:t>
      </w:r>
      <w:r>
        <w:t xml:space="preserve">, check each finding against the page and passage shown, then </w:t>
      </w:r>
      <w:r>
        <w:rPr>
          <w:b/>
          <w:bCs/>
        </w:rPr>
        <w:t xml:space="preserve">Accept</w:t>
      </w:r>
      <w:r>
        <w:t xml:space="preserve"> or </w:t>
      </w:r>
      <w:r>
        <w:rPr>
          <w:b/>
          <w:bCs/>
        </w:rPr>
        <w:t xml:space="preserve">Reject</w:t>
      </w:r>
      <w:r>
        <w:t xml:space="preserve">. An organisation phone or email, or the informant's work contact, fills the record's </w:t>
      </w:r>
      <w:r>
        <w:rPr>
          <w:b/>
          <w:bCs/>
        </w:rPr>
        <w:t xml:space="preserve">Phone</w:t>
      </w:r>
      <w:r>
        <w:t xml:space="preserve"> or </w:t>
      </w:r>
      <w:r>
        <w:rPr>
          <w:b/>
          <w:bCs/>
        </w:rPr>
        <w:t xml:space="preserve">Email</w:t>
      </w:r>
      <w:r>
        <w:t xml:space="preserve">, but never over a different one already there (correct that under </w:t>
      </w:r>
      <w:r>
        <w:rPr>
          <w:b/>
          <w:bCs/>
        </w:rPr>
        <w:t xml:space="preserve">Record details</w:t>
      </w:r>
      <w:r>
        <w:t xml:space="preserve">). A person found for an unidentified record becomes its informant: the name and role on the record change to theirs.</w:t>
      </w:r>
    </w:p>
    <w:p>
      <w:pPr>
        <w:pStyle w:val="ListParagraph"/>
        <w:numPr>
          <w:ilvl w:val="0"/>
          <w:numId w:val="25"/>
        </w:numPr>
        <w:spacing w:after="80" w:line="276"/>
      </w:pPr>
      <w:r>
        <w:t xml:space="preserve">For many records at once, use </w:t>
      </w:r>
      <w:r>
        <w:rPr>
          <w:b/>
          <w:bCs/>
        </w:rPr>
        <w:t xml:space="preserve">Find contact details with AI</w:t>
      </w:r>
      <w:r>
        <w:t xml:space="preserve"> on the </w:t>
      </w:r>
      <w:r>
        <w:rPr>
          <w:b/>
          <w:bCs/>
        </w:rPr>
        <w:t xml:space="preserve">KII Register</w:t>
      </w:r>
      <w:r>
        <w:t xml:space="preserve">: choose </w:t>
      </w:r>
      <w:r>
        <w:rPr>
          <w:b/>
          <w:bCs/>
        </w:rPr>
        <w:t xml:space="preserve">How many records</w:t>
      </w:r>
      <w:r>
        <w:t xml:space="preserve"> (up to 25) and </w:t>
      </w:r>
      <w:r>
        <w:rPr>
          <w:b/>
          <w:bCs/>
        </w:rPr>
        <w:t xml:space="preserve">Find contacts</w:t>
      </w:r>
      <w:r>
        <w:t xml:space="preserve">. It shows the batch's progress and lists every record with </w:t>
      </w:r>
      <w:r>
        <w:rPr>
          <w:b/>
          <w:bCs/>
        </w:rPr>
        <w:t xml:space="preserve">Findings to review</w:t>
      </w:r>
      <w:r>
        <w:t xml:space="preserve">, each with a link to its page. One KII batch runs at a time.</w:t>
      </w:r>
    </w:p>
    <w:p>
      <w:pPr>
        <w:pStyle w:val="ListParagraph"/>
        <w:numPr>
          <w:ilvl w:val="0"/>
          <w:numId w:val="25"/>
        </w:numPr>
        <w:spacing w:after="80" w:line="276"/>
      </w:pPr>
      <w:r>
        <w:t xml:space="preserve">When a record has a phone, WhatsApp number or email, send the informant their link (next section).</w:t>
      </w:r>
    </w:p>
    <w:p>
      <w:pPr>
        <w:spacing w:after="80"/>
      </w:pPr>
    </w:p>
    <w:p>
      <w:pPr>
        <w:pStyle w:val="Heading3"/>
      </w:pPr>
      <w:r>
        <w:t xml:space="preserve">Importing background research done in ChatGPT</w:t>
      </w:r>
    </w:p>
    <w:p>
      <w:pPr>
        <w:spacing w:after="120" w:line="288"/>
      </w:pPr>
      <w:r>
        <w:t xml:space="preserve">If you researched organisations in ChatGPT with the KII research pack (its Fill A Contacts, Fill B PROIT facts and Fill C Interview prep sheets), the PI or Field Coordinator can load the returned Excel file in one go. Nothing goes onto a record directly: it lands in the same review lists as the portal's own AI.</w:t>
      </w:r>
    </w:p>
    <w:p>
      <w:pPr>
        <w:pStyle w:val="ListParagraph"/>
        <w:numPr>
          <w:ilvl w:val="0"/>
          <w:numId w:val="26"/>
        </w:numPr>
        <w:spacing w:after="80" w:line="276"/>
      </w:pPr>
      <w:r>
        <w:t xml:space="preserve">On the </w:t>
      </w:r>
      <w:r>
        <w:rPr>
          <w:b/>
          <w:bCs/>
        </w:rPr>
        <w:t xml:space="preserve">KII Register</w:t>
      </w:r>
      <w:r>
        <w:t xml:space="preserve">, find </w:t>
      </w:r>
      <w:r>
        <w:rPr>
          <w:b/>
          <w:bCs/>
        </w:rPr>
        <w:t xml:space="preserve">Import background research (ChatGPT workbook)</w:t>
      </w:r>
      <w:r>
        <w:t xml:space="preserve">, choose the Excel file and select </w:t>
      </w:r>
      <w:r>
        <w:rPr>
          <w:b/>
          <w:bCs/>
        </w:rPr>
        <w:t xml:space="preserve">Check file</w:t>
      </w:r>
      <w:r>
        <w:t xml:space="preserve">. The portal lists, per KII ID, how many contact suggestions, PROIT findings and interview notes the file would add, with any warnings (an unknown KII ID, a field the portal doesn't pre-fill, a fact without a source link). Nothing is saved yet.</w:t>
      </w:r>
    </w:p>
    <w:p>
      <w:pPr>
        <w:pStyle w:val="ListParagraph"/>
        <w:numPr>
          <w:ilvl w:val="0"/>
          <w:numId w:val="26"/>
        </w:numPr>
        <w:spacing w:after="80" w:line="276"/>
      </w:pPr>
      <w:r>
        <w:t xml:space="preserve">Select </w:t>
      </w:r>
      <w:r>
        <w:rPr>
          <w:b/>
          <w:bCs/>
        </w:rPr>
        <w:t xml:space="preserve">Import N records</w:t>
      </w:r>
      <w:r>
        <w:t xml:space="preserve">.</w:t>
      </w:r>
    </w:p>
    <w:p>
      <w:pPr>
        <w:pStyle w:val="ListParagraph"/>
        <w:numPr>
          <w:ilvl w:val="0"/>
          <w:numId w:val="26"/>
        </w:numPr>
        <w:spacing w:after="80" w:line="276"/>
      </w:pPr>
      <w:r>
        <w:t xml:space="preserve">Open each record: contacts are under </w:t>
      </w:r>
      <w:r>
        <w:rPr>
          <w:b/>
          <w:bCs/>
        </w:rPr>
        <w:t xml:space="preserve">Find contact details with AI → To review</w:t>
      </w:r>
      <w:r>
        <w:t xml:space="preserve">, facts under </w:t>
      </w:r>
      <w:r>
        <w:rPr>
          <w:b/>
          <w:bCs/>
        </w:rPr>
        <w:t xml:space="preserve">Pre-Interview Profile (PROIT) → AI research → To review</w:t>
      </w:r>
      <w:r>
        <w:t xml:space="preserve">. Open each source, then </w:t>
      </w:r>
      <w:r>
        <w:rPr>
          <w:b/>
          <w:bCs/>
        </w:rPr>
        <w:t xml:space="preserve">Accept</w:t>
      </w:r>
      <w:r>
        <w:t xml:space="preserve">, edit and accept, or </w:t>
      </w:r>
      <w:r>
        <w:rPr>
          <w:b/>
          <w:bCs/>
        </w:rPr>
        <w:t xml:space="preserve">Reject</w:t>
      </w:r>
      <w:r>
        <w:t xml:space="preserve">. The interview notes are in the KII adaptive gap engine, marked “Imported … check”.</w:t>
      </w:r>
    </w:p>
    <w:p>
      <w:pPr>
        <w:pStyle w:val="ListParagraph"/>
        <w:numPr>
          <w:ilvl w:val="0"/>
          <w:numId w:val="26"/>
        </w:numPr>
        <w:spacing w:after="80" w:line="276"/>
      </w:pPr>
      <w:r>
        <w:t xml:space="preserve">When the profile is right, lock it and send the invitation.</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Safe to repeat</w:t>
            </w:r>
          </w:p>
          <w:p>
            <w:pPr>
              <w:spacing w:after="40" w:line="264"/>
            </w:pPr>
            <w:r>
              <w:rPr>
                <w:sz w:val="19"/>
                <w:szCs w:val="19"/>
              </w:rPr>
              <w:t xml:space="preserve">Importing the same file again adds nothing new, example rows are ignored, and a locked PROIT profile is never changed.</w:t>
            </w:r>
          </w:p>
        </w:tc>
      </w:tr>
    </w:tbl>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Work contacts only</w:t>
            </w:r>
          </w:p>
          <w:p>
            <w:pPr>
              <w:spacing w:after="40" w:line="264"/>
            </w:pPr>
            <w:r>
              <w:rPr>
                <w:sz w:val="19"/>
                <w:szCs w:val="19"/>
              </w:rPr>
              <w:t xml:space="preserve">Only the organisation's name and type and the informant's name and role are sent to the AI provider, never a contact detail already on file.</w:t>
            </w:r>
          </w:p>
          <w:p>
            <w:pPr>
              <w:spacing w:after="40" w:line="264"/>
            </w:pPr>
            <w:r>
              <w:rPr>
                <w:sz w:val="19"/>
                <w:szCs w:val="19"/>
              </w:rPr>
              <w:t xml:space="preserve">A personal mobile, a personal email or a personal social-media profile is never proposed, and anything that does not appear in the passage quoted from its page is removed automatically. For a named informant, findings about anyone else are removed too.</w:t>
            </w:r>
          </w:p>
          <w:p>
            <w:pPr>
              <w:spacing w:after="40" w:line="264"/>
            </w:pPr>
            <w:r>
              <w:rPr>
                <w:sz w:val="19"/>
                <w:szCs w:val="19"/>
              </w:rPr>
              <w:t xml:space="preserve">Searching, accepting and rejecting are open to the PI, Field Coordinator and KII RA; the Supervisor can see the findings. Every decision is recorded in the audit log, without the contact values.</w:t>
            </w:r>
          </w:p>
        </w:tc>
      </w:tr>
    </w:tbl>
    <w:p>
      <w:pPr>
        <w:pStyle w:val="Heading2"/>
      </w:pPr>
      <w:r>
        <w:t xml:space="preserve">7.16e Sending the informant their own link (self-service)</w:t>
      </w:r>
    </w:p>
    <w:p>
      <w:pPr>
        <w:spacing w:after="120" w:line="288"/>
      </w:pPr>
      <w:r>
        <w:t xml:space="preserve">Some informants would rather complete the interview alone, in their own time, than do a live call. The </w:t>
      </w:r>
      <w:r>
        <w:rPr>
          <w:b/>
          <w:bCs/>
        </w:rPr>
        <w:t xml:space="preserve">Invite</w:t>
      </w:r>
      <w:r>
        <w:t xml:space="preserve"> panel on the record sends them a personal link they can open unsupervised -- the same idea as a Main-400 invitation, but for a KII.</w:t>
      </w:r>
    </w:p>
    <w:p>
      <w:pPr>
        <w:pStyle w:val="ListParagraph"/>
        <w:numPr>
          <w:ilvl w:val="0"/>
          <w:numId w:val="27"/>
        </w:numPr>
        <w:spacing w:after="80" w:line="276"/>
      </w:pPr>
      <w:r>
        <w:t xml:space="preserve">Under </w:t>
      </w:r>
      <w:r>
        <w:rPr>
          <w:b/>
          <w:bCs/>
        </w:rPr>
        <w:t xml:space="preserve">Record details</w:t>
      </w:r>
      <w:r>
        <w:t xml:space="preserve">, enter the informant's </w:t>
      </w:r>
      <w:r>
        <w:rPr>
          <w:b/>
          <w:bCs/>
        </w:rPr>
        <w:t xml:space="preserve">Phone</w:t>
      </w:r>
      <w:r>
        <w:t xml:space="preserve">, </w:t>
      </w:r>
      <w:r>
        <w:rPr>
          <w:b/>
          <w:bCs/>
        </w:rPr>
        <w:t xml:space="preserve">WhatsApp number</w:t>
      </w:r>
      <w:r>
        <w:t xml:space="preserve"> or </w:t>
      </w:r>
      <w:r>
        <w:rPr>
          <w:b/>
          <w:bCs/>
        </w:rPr>
        <w:t xml:space="preserve">Email</w:t>
      </w:r>
      <w:r>
        <w:t xml:space="preserve"> and select </w:t>
      </w:r>
      <w:r>
        <w:rPr>
          <w:b/>
          <w:bCs/>
        </w:rPr>
        <w:t xml:space="preserve">Save details</w:t>
      </w:r>
      <w:r>
        <w:t xml:space="preserve">. At least one is needed to send a link.</w:t>
      </w:r>
    </w:p>
    <w:p>
      <w:pPr>
        <w:keepNext/>
        <w:spacing w:after="40" w:before="80"/>
        <w:jc w:val="center"/>
      </w:pPr>
      <w:r>
        <w:drawing>
          <wp:inline distT="0" distB="0" distL="0" distR="0">
            <wp:extent cx="5334000" cy="3752850"/>
            <wp:effectExtent t="0" r="0" b="0" l="0"/>
            <wp:docPr id="1" name="kii_detail.jpg" descr="Record details: phone, WhatsApp number and email." title="Record details: phone, WhatsApp number and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752850"/>
                    </a:xfrm>
                    <a:prstGeom prst="rect">
                      <a:avLst/>
                    </a:prstGeom>
                  </pic:spPr>
                </pic:pic>
              </a:graphicData>
            </a:graphic>
          </wp:inline>
        </w:drawing>
      </w:r>
    </w:p>
    <w:p>
      <w:pPr>
        <w:spacing w:after="180"/>
        <w:jc w:val="center"/>
      </w:pPr>
      <w:r>
        <w:rPr>
          <w:b/>
          <w:bCs/>
          <w:color w:val="5B6670"/>
          <w:sz w:val="17"/>
          <w:szCs w:val="17"/>
        </w:rPr>
        <w:t xml:space="preserve">Figure 43. </w:t>
      </w:r>
      <w:r>
        <w:rPr>
          <w:i/>
          <w:iCs/>
          <w:color w:val="5B6670"/>
          <w:sz w:val="17"/>
          <w:szCs w:val="17"/>
        </w:rPr>
        <w:t xml:space="preserve">Record details: phone, WhatsApp number and email.</w:t>
      </w:r>
    </w:p>
    <w:p>
      <w:pPr>
        <w:pStyle w:val="ListParagraph"/>
        <w:numPr>
          <w:ilvl w:val="0"/>
          <w:numId w:val="27"/>
        </w:numPr>
        <w:spacing w:after="80" w:line="276"/>
      </w:pPr>
      <w:r>
        <w:t xml:space="preserve">Under </w:t>
      </w:r>
      <w:r>
        <w:rPr>
          <w:b/>
          <w:bCs/>
        </w:rPr>
        <w:t xml:space="preserve">Invite (self-service link)</w:t>
      </w:r>
      <w:r>
        <w:t xml:space="preserve">, choose a </w:t>
      </w:r>
      <w:r>
        <w:rPr>
          <w:b/>
          <w:bCs/>
        </w:rPr>
        <w:t xml:space="preserve">Channel</w:t>
      </w:r>
      <w:r>
        <w:t xml:space="preserve"> and select </w:t>
      </w:r>
      <w:r>
        <w:rPr>
          <w:b/>
          <w:bCs/>
        </w:rPr>
        <w:t xml:space="preserve">Send link</w:t>
      </w:r>
      <w:r>
        <w:t xml:space="preserve">. The personal link, its manual code and ready-made WhatsApp/SMS/email messages appear -- the same panel used for Main-400 invitations. Each names the informant's organisation (“Hello Tendai Moyo (CBZ Bank).”); a record still marked “contact not yet identified” is greeted by the organisation's name and says which role you would like to interview.</w:t>
      </w:r>
    </w:p>
    <w:p>
      <w:pPr>
        <w:pStyle w:val="ListParagraph"/>
        <w:numPr>
          <w:ilvl w:val="0"/>
          <w:numId w:val="27"/>
        </w:numPr>
        <w:spacing w:after="80" w:line="276"/>
      </w:pPr>
      <w:r>
        <w:t xml:space="preserve">Send it on every channel the informant has, before you leave the page: </w:t>
      </w:r>
      <w:r>
        <w:rPr>
          <w:b/>
          <w:bCs/>
        </w:rPr>
        <w:t xml:space="preserve">Send via WhatsApp</w:t>
      </w:r>
      <w:r>
        <w:t xml:space="preserve">, </w:t>
      </w:r>
      <w:r>
        <w:rPr>
          <w:b/>
          <w:bCs/>
        </w:rPr>
        <w:t xml:space="preserve">Email from study address</w:t>
      </w:r>
      <w:r>
        <w:t xml:space="preserve"> (if email is set up), </w:t>
      </w:r>
      <w:r>
        <w:rPr>
          <w:b/>
          <w:bCs/>
        </w:rPr>
        <w:t xml:space="preserve">Send by SMS</w:t>
      </w:r>
      <w:r>
        <w:t xml:space="preserve"> or </w:t>
      </w:r>
      <w:r>
        <w:rPr>
          <w:b/>
          <w:bCs/>
        </w:rPr>
        <w:t xml:space="preserve">Open in email app</w:t>
      </w:r>
      <w:r>
        <w:t xml:space="preserve">, or </w:t>
      </w:r>
      <w:r>
        <w:rPr>
          <w:b/>
          <w:bCs/>
        </w:rPr>
        <w:t xml:space="preserve">Copy message</w:t>
      </w:r>
      <w:r>
        <w:t xml:space="preserve"> for anything else. It is the same link on each, and all of them keep working.</w:t>
      </w:r>
    </w:p>
    <w:p>
      <w:pPr>
        <w:spacing w:after="80"/>
      </w:pPr>
    </w:p>
    <w:p>
      <w:pPr>
        <w:spacing w:after="120" w:line="288"/>
      </w:pPr>
      <w:r>
        <w:t xml:space="preserve">The informant opens the link, reads a short Key Informant Interview information sheet, agrees to take part, and is taken straight to the KII Guide with the KII ID already filled in -- no account, no app, nothing identifying in the link. Once they consent, </w:t>
      </w:r>
      <w:r>
        <w:rPr>
          <w:b/>
          <w:bCs/>
        </w:rPr>
        <w:t xml:space="preserve">Record participation consent</w:t>
      </w:r>
      <w:r>
        <w:t xml:space="preserve"> on this page updates to </w:t>
      </w:r>
      <w:r>
        <w:rPr>
          <w:b/>
          <w:bCs/>
        </w:rPr>
        <w:t xml:space="preserve">GIVEN</w:t>
      </w:r>
      <w:r>
        <w:t xml:space="preserve"> on its own, and </w:t>
      </w:r>
      <w:r>
        <w:rPr>
          <w:b/>
          <w:bCs/>
        </w:rPr>
        <w:t xml:space="preserve">Continue this interview</w:t>
      </w:r>
      <w:r>
        <w:t xml:space="preserve"> above becomes available too, exactly as if an RA had recorded it.</w:t>
      </w: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Sending a new link replaces the old one</w:t>
            </w:r>
          </w:p>
          <w:p>
            <w:pPr>
              <w:spacing w:after="40" w:line="264"/>
            </w:pPr>
            <w:r>
              <w:rPr>
                <w:sz w:val="19"/>
                <w:szCs w:val="19"/>
              </w:rPr>
              <w:t xml:space="preserve">Issuing another link for the same informant (for example after 14 days, or if they ask for a resend) immediately retires the previous one -- only one link is ever live per KII record, the same rule as Main-400 invitations.</w:t>
            </w:r>
          </w:p>
        </w:tc>
      </w:tr>
    </w:tbl>
    <w:p>
      <w:pPr>
        <w:pStyle w:val="Heading3"/>
      </w:pPr>
      <w:r>
        <w:t xml:space="preserve">Ask first: introduce the interview, then send the link automatically</w:t>
      </w:r>
    </w:p>
    <w:p>
      <w:pPr>
        <w:spacing w:after="120" w:line="288"/>
      </w:pPr>
      <w:r>
        <w:t xml:space="preserve">As for Main-400, a KII informant can be asked first instead of receiving the link straight away. They get a short WhatsApp message in Happyson Saina's name about a confidential key informant interview of about 30 minutes, with </w:t>
      </w:r>
      <w:r>
        <w:rPr>
          <w:b/>
          <w:bCs/>
        </w:rPr>
        <w:t xml:space="preserve">Yes, send it</w:t>
      </w:r>
      <w:r>
        <w:t xml:space="preserve"> and </w:t>
      </w:r>
      <w:r>
        <w:rPr>
          <w:b/>
          <w:bCs/>
        </w:rPr>
        <w:t xml:space="preserve">No, thank you</w:t>
      </w:r>
      <w:r>
        <w:t xml:space="preserve"> buttons. A record with no named informant is greeted by its organisation's name. Until Meta approves the KII introduction template, and where WhatsApp isn't set up, it goes by SMS with a link that opens the study's WhatsApp chat with “YES” typed in. If it can't reach them at all and an email is on file, the portal emails them their link instead and the record moves to INVITED; with no email, it is listed to phone.</w:t>
      </w:r>
    </w:p>
    <w:p>
      <w:pPr>
        <w:pStyle w:val="ListParagraph"/>
        <w:numPr>
          <w:ilvl w:val="0"/>
          <w:numId w:val="28"/>
        </w:numPr>
        <w:spacing w:after="80" w:line="276"/>
      </w:pPr>
      <w:r>
        <w:t xml:space="preserve">For one informant: open the record and, under </w:t>
      </w:r>
      <w:r>
        <w:rPr>
          <w:b/>
          <w:bCs/>
        </w:rPr>
        <w:t xml:space="preserve">Ask first (introduction)</w:t>
      </w:r>
      <w:r>
        <w:t xml:space="preserve">, select </w:t>
      </w:r>
      <w:r>
        <w:rPr>
          <w:b/>
          <w:bCs/>
        </w:rPr>
        <w:t xml:space="preserve">Send introduction</w:t>
      </w:r>
      <w:r>
        <w:t xml:space="preserve">. The record must not be invited yet (PROSPECT) and must have a mobile number. For many: on </w:t>
      </w:r>
      <w:r>
        <w:rPr>
          <w:b/>
          <w:bCs/>
        </w:rPr>
        <w:t xml:space="preserve">Send KII invitations</w:t>
      </w:r>
      <w:r>
        <w:t xml:space="preserve">, choose </w:t>
      </w:r>
      <w:r>
        <w:rPr>
          <w:b/>
          <w:bCs/>
        </w:rPr>
        <w:t xml:space="preserve">Ask first (introduction)</w:t>
      </w:r>
      <w:r>
        <w:t xml:space="preserve"> (next section).</w:t>
      </w:r>
    </w:p>
    <w:p>
      <w:pPr>
        <w:pStyle w:val="ListParagraph"/>
        <w:numPr>
          <w:ilvl w:val="0"/>
          <w:numId w:val="28"/>
        </w:numPr>
        <w:spacing w:after="80" w:line="276"/>
      </w:pPr>
      <w:r>
        <w:rPr>
          <w:b/>
          <w:bCs/>
        </w:rPr>
        <w:t xml:space="preserve">They reply YES:</w:t>
      </w:r>
      <w:r>
        <w:t xml:space="preserve"> the portal issues their personal link and sends it back in the same WhatsApp chat straight away, and the record moves to </w:t>
      </w:r>
      <w:r>
        <w:rPr>
          <w:b/>
          <w:bCs/>
        </w:rPr>
        <w:t xml:space="preserve">INVITED</w:t>
      </w:r>
      <w:r>
        <w:t xml:space="preserve">. From there their consent, fact check, KII Guide and coding are recorded by themselves.</w:t>
      </w:r>
    </w:p>
    <w:p>
      <w:pPr>
        <w:pStyle w:val="ListParagraph"/>
        <w:numPr>
          <w:ilvl w:val="0"/>
          <w:numId w:val="28"/>
        </w:numPr>
        <w:spacing w:after="80" w:line="276"/>
      </w:pPr>
      <w:r>
        <w:rPr>
          <w:b/>
          <w:bCs/>
        </w:rPr>
        <w:t xml:space="preserve">They reply NO</w:t>
      </w:r>
      <w:r>
        <w:t xml:space="preserve"> (or STOP, Hapana, Aihwa, Cha): the record moves to </w:t>
      </w:r>
      <w:r>
        <w:rPr>
          <w:b/>
          <w:bCs/>
        </w:rPr>
        <w:t xml:space="preserve">DECLINED</w:t>
      </w:r>
      <w:r>
        <w:t xml:space="preserve">, any open link is revoked, and they get one message saying they won't be contacted again.</w:t>
      </w:r>
    </w:p>
    <w:p>
      <w:pPr>
        <w:pStyle w:val="ListParagraph"/>
        <w:numPr>
          <w:ilvl w:val="0"/>
          <w:numId w:val="28"/>
        </w:numPr>
        <w:spacing w:after="80" w:line="276"/>
      </w:pPr>
      <w:r>
        <w:rPr>
          <w:b/>
          <w:bCs/>
        </w:rPr>
        <w:t xml:space="preserve">They write anything else:</w:t>
      </w:r>
      <w:r>
        <w:t xml:space="preserve"> nothing is sent automatically; the message waits on </w:t>
      </w:r>
      <w:r>
        <w:rPr>
          <w:b/>
          <w:bCs/>
        </w:rPr>
        <w:t xml:space="preserve">Communications</w:t>
      </w:r>
      <w:r>
        <w:t xml:space="preserve"> for you to answer yourself.</w:t>
      </w:r>
    </w:p>
    <w:p>
      <w:pPr>
        <w:pStyle w:val="ListParagraph"/>
        <w:numPr>
          <w:ilvl w:val="0"/>
          <w:numId w:val="28"/>
        </w:numPr>
        <w:spacing w:after="80" w:line="276"/>
      </w:pPr>
      <w:r>
        <w:rPr>
          <w:b/>
          <w:bCs/>
        </w:rPr>
        <w:t xml:space="preserve">No reply:</w:t>
      </w:r>
      <w:r>
        <w:t xml:space="preserve"> one reminder after 3 days; after 4 more days with no answer, the record is listed on the </w:t>
      </w:r>
      <w:r>
        <w:rPr>
          <w:b/>
          <w:bCs/>
        </w:rPr>
        <w:t xml:space="preserve">KII Register</w:t>
      </w:r>
      <w:r>
        <w:t xml:space="preserve"> under </w:t>
      </w:r>
      <w:r>
        <w:rPr>
          <w:b/>
          <w:bCs/>
        </w:rPr>
        <w:t xml:space="preserve">Asked, no reply: phone them</w:t>
      </w:r>
      <w:r>
        <w:t xml:space="preserve">.</w:t>
      </w:r>
    </w:p>
    <w:p>
      <w:pPr>
        <w:spacing w:after="80"/>
      </w:pPr>
    </w:p>
    <w:p>
      <w:pPr>
        <w:pStyle w:val="Heading3"/>
      </w:pPr>
      <w:r>
        <w:t xml:space="preserve">Sending KII invitations in batches (PI and Field Coordinator)</w:t>
      </w:r>
    </w:p>
    <w:p>
      <w:pPr>
        <w:spacing w:after="120" w:line="288"/>
      </w:pPr>
      <w:r>
        <w:t xml:space="preserve">Instead of opening each record, the PI or Field Coordinator can have the portal send the links. Only records </w:t>
      </w:r>
      <w:r>
        <w:rPr>
          <w:b/>
          <w:bCs/>
        </w:rPr>
        <w:t xml:space="preserve">never invited</w:t>
      </w:r>
      <w:r>
        <w:t xml:space="preserve"> (PROSPECT) with a contact and no open link are included, Core-60 first, then Reserve-30, then the additional organisations, each in KII ID order. Each gets </w:t>
      </w:r>
      <w:r>
        <w:rPr>
          <w:b/>
          <w:bCs/>
        </w:rPr>
        <w:t xml:space="preserve">one</w:t>
      </w:r>
      <w:r>
        <w:t xml:space="preserve"> link (valid 14 days) and code, sent on every way chosen that it has a contact for, and moves to </w:t>
      </w:r>
      <w:r>
        <w:rPr>
          <w:b/>
          <w:bCs/>
        </w:rPr>
        <w:t xml:space="preserve">INVITED</w:t>
      </w:r>
      <w:r>
        <w:t xml:space="preserve">. From then on the informant's consent, fact check, KII Guide and coding are recorded by themselves.</w:t>
      </w:r>
    </w:p>
    <w:p>
      <w:pPr>
        <w:pStyle w:val="ListParagraph"/>
        <w:numPr>
          <w:ilvl w:val="0"/>
          <w:numId w:val="29"/>
        </w:numPr>
        <w:spacing w:after="80" w:line="276"/>
      </w:pPr>
      <w:r>
        <w:t xml:space="preserve">Open </w:t>
      </w:r>
      <w:r>
        <w:rPr>
          <w:b/>
          <w:bCs/>
        </w:rPr>
        <w:t xml:space="preserve">KII Register</w:t>
      </w:r>
      <w:r>
        <w:t xml:space="preserve"> and find </w:t>
      </w:r>
      <w:r>
        <w:rPr>
          <w:b/>
          <w:bCs/>
        </w:rPr>
        <w:t xml:space="preserve">Send KII invitations</w:t>
      </w:r>
      <w:r>
        <w:t xml:space="preserve">.</w:t>
      </w:r>
    </w:p>
    <w:p>
      <w:pPr>
        <w:pStyle w:val="ListParagraph"/>
        <w:numPr>
          <w:ilvl w:val="0"/>
          <w:numId w:val="29"/>
        </w:numPr>
        <w:spacing w:after="80" w:line="276"/>
      </w:pPr>
      <w:r>
        <w:t xml:space="preserve">Under </w:t>
      </w:r>
      <w:r>
        <w:rPr>
          <w:b/>
          <w:bCs/>
        </w:rPr>
        <w:t xml:space="preserve">How</w:t>
      </w:r>
      <w:r>
        <w:t xml:space="preserve">, choose </w:t>
      </w:r>
      <w:r>
        <w:rPr>
          <w:b/>
          <w:bCs/>
        </w:rPr>
        <w:t xml:space="preserve">Ask first (introduction)</w:t>
      </w:r>
      <w:r>
        <w:t xml:space="preserve"> to send the introduction (a YES then sends each link by itself), or </w:t>
      </w:r>
      <w:r>
        <w:rPr>
          <w:b/>
          <w:bCs/>
        </w:rPr>
        <w:t xml:space="preserve">Send the invitation now</w:t>
      </w:r>
      <w:r>
        <w:t xml:space="preserve"> to send the links straight away.</w:t>
      </w:r>
    </w:p>
    <w:p>
      <w:pPr>
        <w:pStyle w:val="ListParagraph"/>
        <w:numPr>
          <w:ilvl w:val="0"/>
          <w:numId w:val="29"/>
        </w:numPr>
        <w:spacing w:after="80" w:line="276"/>
      </w:pPr>
      <w:r>
        <w:t xml:space="preserve">Under </w:t>
      </w:r>
      <w:r>
        <w:rPr>
          <w:b/>
          <w:bCs/>
        </w:rPr>
        <w:t xml:space="preserve">From</w:t>
      </w:r>
      <w:r>
        <w:t xml:space="preserve">, tick the groups to invite: </w:t>
      </w:r>
      <w:r>
        <w:rPr>
          <w:b/>
          <w:bCs/>
        </w:rPr>
        <w:t xml:space="preserve">Core-60</w:t>
      </w:r>
      <w:r>
        <w:t xml:space="preserve">, </w:t>
      </w:r>
      <w:r>
        <w:rPr>
          <w:b/>
          <w:bCs/>
        </w:rPr>
        <w:t xml:space="preserve">Reserve-30</w:t>
      </w:r>
      <w:r>
        <w:t xml:space="preserve"> and/or </w:t>
      </w:r>
      <w:r>
        <w:rPr>
          <w:b/>
          <w:bCs/>
        </w:rPr>
        <w:t xml:space="preserve">Additional organisations</w:t>
      </w:r>
      <w:r>
        <w:t xml:space="preserve">, each with how many are ready. Tick </w:t>
      </w:r>
      <w:r>
        <w:rPr>
          <w:b/>
          <w:bCs/>
        </w:rPr>
        <w:t xml:space="preserve">Named informants only</w:t>
      </w:r>
      <w:r>
        <w:t xml:space="preserve"> to leave out records still marked “contact not yet identified” (those go to the organisation and ask for the role).</w:t>
      </w:r>
    </w:p>
    <w:p>
      <w:pPr>
        <w:pStyle w:val="ListParagraph"/>
        <w:numPr>
          <w:ilvl w:val="0"/>
          <w:numId w:val="29"/>
        </w:numPr>
        <w:spacing w:after="80" w:line="276"/>
      </w:pPr>
      <w:r>
        <w:t xml:space="preserve">Under </w:t>
      </w:r>
      <w:r>
        <w:rPr>
          <w:b/>
          <w:bCs/>
        </w:rPr>
        <w:t xml:space="preserve">Send by</w:t>
      </w:r>
      <w:r>
        <w:t xml:space="preserve">, tick </w:t>
      </w:r>
      <w:r>
        <w:rPr>
          <w:b/>
          <w:bCs/>
        </w:rPr>
        <w:t xml:space="preserve">Email</w:t>
      </w:r>
      <w:r>
        <w:t xml:space="preserve">, and </w:t>
      </w:r>
      <w:r>
        <w:rPr>
          <w:b/>
          <w:bCs/>
        </w:rPr>
        <w:t xml:space="preserve">SMS</w:t>
      </w:r>
      <w:r>
        <w:t xml:space="preserve"> or </w:t>
      </w:r>
      <w:r>
        <w:rPr>
          <w:b/>
          <w:bCs/>
        </w:rPr>
        <w:t xml:space="preserve">WhatsApp</w:t>
      </w:r>
      <w:r>
        <w:t xml:space="preserve"> once they are set up and Meta has approved the KII invitation template.</w:t>
      </w:r>
    </w:p>
    <w:p>
      <w:pPr>
        <w:pStyle w:val="ListParagraph"/>
        <w:numPr>
          <w:ilvl w:val="0"/>
          <w:numId w:val="29"/>
        </w:numPr>
        <w:spacing w:after="80" w:line="276"/>
      </w:pPr>
      <w:r>
        <w:t xml:space="preserve">Open </w:t>
      </w:r>
      <w:r>
        <w:rPr>
          <w:b/>
          <w:bCs/>
        </w:rPr>
        <w:t xml:space="preserve">Next in line</w:t>
      </w:r>
      <w:r>
        <w:t xml:space="preserve"> to check the first records, with partly hidden addresses and numbers. Type </w:t>
      </w:r>
      <w:r>
        <w:rPr>
          <w:b/>
          <w:bCs/>
        </w:rPr>
        <w:t xml:space="preserve">How many</w:t>
      </w:r>
      <w:r>
        <w:t xml:space="preserve"> (up to 100) and select </w:t>
      </w:r>
      <w:r>
        <w:rPr>
          <w:b/>
          <w:bCs/>
        </w:rPr>
        <w:t xml:space="preserve">Review and send</w:t>
      </w:r>
      <w:r>
        <w:t xml:space="preserve">, then </w:t>
      </w:r>
      <w:r>
        <w:rPr>
          <w:b/>
          <w:bCs/>
        </w:rPr>
        <w:t xml:space="preserve">Send N invitations</w:t>
      </w:r>
      <w:r>
        <w:t xml:space="preserve">.</w:t>
      </w:r>
    </w:p>
    <w:p>
      <w:pPr>
        <w:pStyle w:val="ListParagraph"/>
        <w:numPr>
          <w:ilvl w:val="0"/>
          <w:numId w:val="29"/>
        </w:numPr>
        <w:spacing w:after="80" w:line="276"/>
      </w:pPr>
      <w:r>
        <w:t xml:space="preserve">The panel shows progress, then sent, failed and skipped. Open </w:t>
      </w:r>
      <w:r>
        <w:rPr>
          <w:b/>
          <w:bCs/>
        </w:rPr>
        <w:t xml:space="preserve">Record by record</w:t>
      </w:r>
      <w:r>
        <w:t xml:space="preserve"> for each KII ID and the reason for any failure. A record where nothing got through keeps no link, stays PROSPECT, and is tried again by the next batch.</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Still a self-administered interview, not a recorded one</w:t>
            </w:r>
          </w:p>
          <w:p>
            <w:pPr>
              <w:spacing w:after="40" w:line="264"/>
            </w:pPr>
            <w:r>
              <w:rPr>
                <w:sz w:val="19"/>
                <w:szCs w:val="19"/>
              </w:rPr>
              <w:t xml:space="preserve">Nobody is present on a self-service session, so there is nothing to record and no recording consent is asked for on this path. If the informant would rather be interviewed live and recorded, arrange that by phone, WhatsApp or video call instead, and record both consents the usual way (above).</w:t>
            </w:r>
          </w:p>
        </w:tc>
      </w:tr>
    </w:tbl>
    <w:p>
      <w:pPr>
        <w:pStyle w:val="Heading2"/>
      </w:pPr>
      <w:r>
        <w:t xml:space="preserve">7.17 Document records (PI, FC, Documentary RA)</w:t>
      </w:r>
    </w:p>
    <w:p>
      <w:pPr>
        <w:spacing w:after="120" w:line="288"/>
      </w:pPr>
      <w:r>
        <w:t xml:space="preserve">You do not need to type the details of a document. Upload it and the AI reads it, fills in the record, drafts the whole KoboToolbox coding form, and waits for you to review. (This needs AI drafting to be switched on; otherwise use “Adding a document by hand” below.)</w:t>
      </w:r>
    </w:p>
    <w:p>
      <w:pPr>
        <w:pStyle w:val="ListParagraph"/>
        <w:numPr>
          <w:ilvl w:val="0"/>
          <w:numId w:val="30"/>
        </w:numPr>
        <w:spacing w:after="80" w:line="276"/>
      </w:pPr>
      <w:r>
        <w:t xml:space="preserve">Select </w:t>
      </w:r>
      <w:r>
        <w:rPr>
          <w:b/>
          <w:bCs/>
        </w:rPr>
        <w:t xml:space="preserve">Documents → New document</w:t>
      </w:r>
      <w:r>
        <w:t xml:space="preserve">. At the top is the box </w:t>
      </w:r>
      <w:r>
        <w:rPr>
          <w:b/>
          <w:bCs/>
        </w:rPr>
        <w:t xml:space="preserve">Fastest: upload the document</w:t>
      </w:r>
      <w:r>
        <w:t xml:space="preserve">.</w:t>
      </w:r>
    </w:p>
    <w:p>
      <w:pPr>
        <w:keepNext/>
        <w:spacing w:after="40" w:before="80"/>
        <w:jc w:val="center"/>
      </w:pPr>
      <w:r>
        <w:drawing>
          <wp:inline distT="0" distB="0" distL="0" distR="0">
            <wp:extent cx="5334000" cy="4248150"/>
            <wp:effectExtent t="0" r="0" b="0" l="0"/>
            <wp:docPr id="1" name="doc_new.jpg" descr="New document: upload the file and let the AI do the rest." title="New document: upload the file and let the AI do the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4248150"/>
                    </a:xfrm>
                    <a:prstGeom prst="rect">
                      <a:avLst/>
                    </a:prstGeom>
                  </pic:spPr>
                </pic:pic>
              </a:graphicData>
            </a:graphic>
          </wp:inline>
        </w:drawing>
      </w:r>
    </w:p>
    <w:p>
      <w:pPr>
        <w:spacing w:after="180"/>
        <w:jc w:val="center"/>
      </w:pPr>
      <w:r>
        <w:rPr>
          <w:b/>
          <w:bCs/>
          <w:color w:val="5B6670"/>
          <w:sz w:val="17"/>
          <w:szCs w:val="17"/>
        </w:rPr>
        <w:t xml:space="preserve">Figure 44. </w:t>
      </w:r>
      <w:r>
        <w:rPr>
          <w:i/>
          <w:iCs/>
          <w:color w:val="5B6670"/>
          <w:sz w:val="17"/>
          <w:szCs w:val="17"/>
        </w:rPr>
        <w:t xml:space="preserve">New document: upload the file and let the AI do the rest.</w:t>
      </w:r>
    </w:p>
    <w:p>
      <w:pPr>
        <w:pStyle w:val="ListParagraph"/>
        <w:numPr>
          <w:ilvl w:val="0"/>
          <w:numId w:val="30"/>
        </w:numPr>
        <w:spacing w:after="80" w:line="276"/>
      </w:pPr>
      <w:r>
        <w:t xml:space="preserve">Choose the file: a PDF, a Word (.docx) or Excel (.xlsx) file, a text or CSV file, or a JPG or PNG scan or photo (up to 20 MB). Nothing else is required.</w:t>
      </w:r>
    </w:p>
    <w:p>
      <w:pPr>
        <w:pStyle w:val="ListParagraph"/>
        <w:numPr>
          <w:ilvl w:val="0"/>
          <w:numId w:val="30"/>
        </w:numPr>
        <w:spacing w:after="80" w:line="276"/>
      </w:pPr>
      <w:r>
        <w:t xml:space="preserve">Optional (open </w:t>
      </w:r>
      <w:r>
        <w:rPr>
          <w:b/>
          <w:bCs/>
        </w:rPr>
        <w:t xml:space="preserve">Optional: title, pages to read</w:t>
      </w:r>
      <w:r>
        <w:t xml:space="preserve">): a </w:t>
      </w:r>
      <w:r>
        <w:rPr>
          <w:b/>
          <w:bCs/>
        </w:rPr>
        <w:t xml:space="preserve">Title</w:t>
      </w:r>
      <w:r>
        <w:t xml:space="preserve"> if you want your own; </w:t>
      </w:r>
      <w:r>
        <w:rPr>
          <w:b/>
          <w:bCs/>
        </w:rPr>
        <w:t xml:space="preserve">Pages to read</w:t>
      </w:r>
      <w:r>
        <w:t xml:space="preserve"> if you are coding one chapter of a long PDF, for example </w:t>
      </w:r>
      <w:r>
        <w:rPr>
          <w:rFonts w:ascii="Consolas" w:cs="Consolas" w:eastAsia="Consolas" w:hAnsi="Consolas"/>
          <w:b w:val="false"/>
          <w:bCs w:val="false"/>
          <w:color w:val="122238"/>
          <w:sz w:val="19"/>
          <w:szCs w:val="19"/>
        </w:rPr>
        <w:t xml:space="preserve">290-340</w:t>
      </w:r>
      <w:r>
        <w:t xml:space="preserve">; or tick </w:t>
      </w:r>
      <w:r>
        <w:rPr>
          <w:b/>
          <w:bCs/>
        </w:rPr>
        <w:t xml:space="preserve">Read the whole document in parts</w:t>
      </w:r>
      <w:r>
        <w:t xml:space="preserve"> for a PDF over 100 pages (see “Coding a very long document” below).</w:t>
      </w:r>
    </w:p>
    <w:p>
      <w:pPr>
        <w:pStyle w:val="ListParagraph"/>
        <w:numPr>
          <w:ilvl w:val="0"/>
          <w:numId w:val="30"/>
        </w:numPr>
        <w:spacing w:after="80" w:line="276"/>
      </w:pPr>
      <w:r>
        <w:t xml:space="preserve">Select </w:t>
      </w:r>
      <w:r>
        <w:rPr>
          <w:b/>
          <w:bCs/>
        </w:rPr>
        <w:t xml:space="preserve">Upload and auto-fill</w:t>
      </w:r>
      <w:r>
        <w:t xml:space="preserve">. The record is created straight away and the review screen opens, showing “Step 1 of 2: reading the document’s details”, then “Step 2 of 2: drafting the coding form”. You can leave the page; the draft will be there when you return.</w:t>
      </w:r>
    </w:p>
    <w:p>
      <w:pPr>
        <w:pStyle w:val="ListParagraph"/>
        <w:numPr>
          <w:ilvl w:val="0"/>
          <w:numId w:val="30"/>
        </w:numPr>
        <w:spacing w:after="80" w:line="276"/>
      </w:pPr>
      <w:r>
        <w:t xml:space="preserve">The AI has filled in the title, author, date, document type, geographic scope, value chain and source it found in the document, and left blank anything the document does not state. Check them on the record page under </w:t>
      </w:r>
      <w:r>
        <w:rPr>
          <w:b/>
          <w:bCs/>
        </w:rPr>
        <w:t xml:space="preserve">Record details</w:t>
      </w:r>
      <w:r>
        <w:t xml:space="preserve"> and correct anything wrong; a correction shows in the draft at once and is used when you submit.</w:t>
      </w:r>
    </w:p>
    <w:p>
      <w:pPr>
        <w:pStyle w:val="ListParagraph"/>
        <w:numPr>
          <w:ilvl w:val="0"/>
          <w:numId w:val="30"/>
        </w:numPr>
        <w:spacing w:after="80" w:line="276"/>
      </w:pPr>
      <w:r>
        <w:t xml:space="preserve">You still make the human decisions: assess </w:t>
      </w:r>
      <w:r>
        <w:rPr>
          <w:b/>
          <w:bCs/>
        </w:rPr>
        <w:t xml:space="preserve">authenticity</w:t>
      </w:r>
      <w:r>
        <w:t xml:space="preserve"> (Verified or Disputed) and </w:t>
      </w:r>
      <w:r>
        <w:rPr>
          <w:b/>
          <w:bCs/>
        </w:rPr>
        <w:t xml:space="preserve">Include</w:t>
      </w:r>
      <w:r>
        <w:t xml:space="preserve"> or </w:t>
      </w:r>
      <w:r>
        <w:rPr>
          <w:b/>
          <w:bCs/>
        </w:rPr>
        <w:t xml:space="preserve">Exclude</w:t>
      </w:r>
      <w:r>
        <w:t xml:space="preserve"> the document, as described below.</w:t>
      </w:r>
    </w:p>
    <w:p>
      <w:pPr>
        <w:pStyle w:val="ListParagraph"/>
        <w:numPr>
          <w:ilvl w:val="0"/>
          <w:numId w:val="30"/>
        </w:numPr>
        <w:spacing w:after="80" w:line="276"/>
      </w:pPr>
      <w:r>
        <w:t xml:space="preserve">Review every section of the draft, </w:t>
      </w:r>
      <w:r>
        <w:rPr>
          <w:b/>
          <w:bCs/>
        </w:rPr>
        <w:t xml:space="preserve">Save changes</w:t>
      </w:r>
      <w:r>
        <w:t xml:space="preserve">, then </w:t>
      </w:r>
      <w:r>
        <w:rPr>
          <w:b/>
          <w:bCs/>
        </w:rPr>
        <w:t xml:space="preserve">Submit to KoboToolbox</w:t>
      </w:r>
      <w:r>
        <w:t xml:space="preserve"> (see “Auto-fill: the AI drafts, you review”). The portal keeps its own copy of the completed form; </w:t>
      </w:r>
      <w:r>
        <w:rPr>
          <w:b/>
          <w:bCs/>
        </w:rPr>
        <w:t xml:space="preserve">Sync now</w:t>
      </w:r>
      <w:r>
        <w:t xml:space="preserve"> on </w:t>
      </w:r>
      <w:r>
        <w:rPr>
          <w:b/>
          <w:bCs/>
        </w:rPr>
        <w:t xml:space="preserve">Form PDFs</w:t>
      </w:r>
      <w:r>
        <w:t xml:space="preserve"> confirms the portal and KoboToolbox match.</w:t>
      </w:r>
    </w:p>
    <w:p>
      <w:pPr>
        <w:spacing w:after="80"/>
      </w:pPr>
    </w:p>
    <w:p>
      <w:pPr>
        <w:pStyle w:val="Heading2"/>
      </w:pPr>
      <w:r>
        <w:t xml:space="preserve">7.17a Coding another chapter of the same document (Copy for another chapter)</w:t>
      </w:r>
    </w:p>
    <w:p>
      <w:pPr>
        <w:spacing w:after="120" w:line="288"/>
      </w:pPr>
      <w:r>
        <w:t xml:space="preserve">A long report holds several evidence units. Give each chapter you want coded its own record, so each gets its own ratings, its own DOC ID and its own row in the export. You do not upload the file again or retype the details:</w:t>
      </w:r>
    </w:p>
    <w:p>
      <w:pPr>
        <w:pStyle w:val="ListParagraph"/>
        <w:numPr>
          <w:ilvl w:val="0"/>
          <w:numId w:val="31"/>
        </w:numPr>
        <w:spacing w:after="80" w:line="276"/>
      </w:pPr>
      <w:r>
        <w:t xml:space="preserve">Open the record of the document and, under </w:t>
      </w:r>
      <w:r>
        <w:rPr>
          <w:b/>
          <w:bCs/>
        </w:rPr>
        <w:t xml:space="preserve">Copy for another chapter</w:t>
      </w:r>
      <w:r>
        <w:t xml:space="preserve">, enter the chapter's </w:t>
      </w:r>
      <w:r>
        <w:rPr>
          <w:b/>
          <w:bCs/>
        </w:rPr>
        <w:t xml:space="preserve">Pages to read</w:t>
      </w:r>
      <w:r>
        <w:t xml:space="preserve"> (for example </w:t>
      </w:r>
      <w:r>
        <w:rPr>
          <w:rFonts w:ascii="Consolas" w:cs="Consolas" w:eastAsia="Consolas" w:hAnsi="Consolas"/>
          <w:b w:val="false"/>
          <w:bCs w:val="false"/>
          <w:color w:val="122238"/>
          <w:sz w:val="19"/>
          <w:szCs w:val="19"/>
        </w:rPr>
        <w:t xml:space="preserve">290-340</w:t>
      </w:r>
      <w:r>
        <w:t xml:space="preserve">) and, if you like, a </w:t>
      </w:r>
      <w:r>
        <w:rPr>
          <w:b/>
          <w:bCs/>
        </w:rPr>
        <w:t xml:space="preserve">Chapter title</w:t>
      </w:r>
      <w:r>
        <w:t xml:space="preserve">. Leave the title empty and the AI names the part from its pages, for example “Title – Chapter 6: Agriculture (pp. 290-340)”.</w:t>
      </w:r>
    </w:p>
    <w:p>
      <w:pPr>
        <w:keepNext/>
        <w:spacing w:after="40" w:before="80"/>
        <w:jc w:val="center"/>
      </w:pPr>
      <w:r>
        <w:drawing>
          <wp:inline distT="0" distB="0" distL="0" distR="0">
            <wp:extent cx="5334000" cy="1019175"/>
            <wp:effectExtent t="0" r="0" b="0" l="0"/>
            <wp:docPr id="1" name="doc_copy_chapter.jpg" descr="Copy for another chapter: pages, and an optional title." title="Copy for another chapter: pages, and an optiona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1019175"/>
                    </a:xfrm>
                    <a:prstGeom prst="rect">
                      <a:avLst/>
                    </a:prstGeom>
                  </pic:spPr>
                </pic:pic>
              </a:graphicData>
            </a:graphic>
          </wp:inline>
        </w:drawing>
      </w:r>
    </w:p>
    <w:p>
      <w:pPr>
        <w:spacing w:after="180"/>
        <w:jc w:val="center"/>
      </w:pPr>
      <w:r>
        <w:rPr>
          <w:b/>
          <w:bCs/>
          <w:color w:val="5B6670"/>
          <w:sz w:val="17"/>
          <w:szCs w:val="17"/>
        </w:rPr>
        <w:t xml:space="preserve">Figure 45. </w:t>
      </w:r>
      <w:r>
        <w:rPr>
          <w:i/>
          <w:iCs/>
          <w:color w:val="5B6670"/>
          <w:sz w:val="17"/>
          <w:szCs w:val="17"/>
        </w:rPr>
        <w:t xml:space="preserve">Copy for another chapter: pages, and an optional title.</w:t>
      </w:r>
    </w:p>
    <w:p>
      <w:pPr>
        <w:pStyle w:val="ListParagraph"/>
        <w:numPr>
          <w:ilvl w:val="0"/>
          <w:numId w:val="31"/>
        </w:numPr>
        <w:spacing w:after="80" w:line="276"/>
      </w:pPr>
      <w:r>
        <w:t xml:space="preserve">Select </w:t>
      </w:r>
      <w:r>
        <w:rPr>
          <w:b/>
          <w:bCs/>
        </w:rPr>
        <w:t xml:space="preserve">Copy and auto-fill</w:t>
      </w:r>
      <w:r>
        <w:t xml:space="preserve"> (or </w:t>
      </w:r>
      <w:r>
        <w:rPr>
          <w:b/>
          <w:bCs/>
        </w:rPr>
        <w:t xml:space="preserve">Copy record</w:t>
      </w:r>
      <w:r>
        <w:t xml:space="preserve"> if AI drafting is not switched on). A new record is created with the same author, date, source, type and scope, and </w:t>
      </w:r>
      <w:r>
        <w:rPr>
          <w:b/>
          <w:bCs/>
        </w:rPr>
        <w:t xml:space="preserve">its own copy of the file</w:t>
      </w:r>
      <w:r>
        <w:t xml:space="preserve">, so removing or replacing one file never affects the other.</w:t>
      </w:r>
    </w:p>
    <w:p>
      <w:pPr>
        <w:pStyle w:val="ListParagraph"/>
        <w:numPr>
          <w:ilvl w:val="0"/>
          <w:numId w:val="31"/>
        </w:numPr>
        <w:spacing w:after="80" w:line="276"/>
      </w:pPr>
      <w:r>
        <w:t xml:space="preserve">With AI drafting on, the new record's review screen opens and the AI starts drafting that chapter. Review, save and submit it as usual.</w:t>
      </w:r>
    </w:p>
    <w:p>
      <w:pPr>
        <w:pStyle w:val="ListParagraph"/>
        <w:numPr>
          <w:ilvl w:val="0"/>
          <w:numId w:val="31"/>
        </w:numPr>
        <w:spacing w:after="80" w:line="276"/>
      </w:pPr>
      <w:r>
        <w:t xml:space="preserve">Authenticity and Include or Exclude are </w:t>
      </w:r>
      <w:r>
        <w:rPr>
          <w:b/>
          <w:bCs/>
        </w:rPr>
        <w:t xml:space="preserve">not</w:t>
      </w:r>
      <w:r>
        <w:t xml:space="preserve"> copied: assess each chapter on its own. Repeat for every chapter you want coded.</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Copy needs a file</w:t>
            </w:r>
          </w:p>
          <w:p>
            <w:pPr>
              <w:spacing w:after="40" w:line="264"/>
            </w:pPr>
            <w:r>
              <w:rPr>
                <w:sz w:val="19"/>
                <w:szCs w:val="19"/>
              </w:rPr>
              <w:t xml:space="preserve">The </w:t>
            </w:r>
            <w:r>
              <w:rPr>
                <w:b/>
                <w:bCs/>
                <w:sz w:val="19"/>
                <w:szCs w:val="19"/>
              </w:rPr>
              <w:t xml:space="preserve">Copy for another chapter</w:t>
            </w:r>
            <w:r>
              <w:rPr>
                <w:sz w:val="19"/>
                <w:szCs w:val="19"/>
              </w:rPr>
              <w:t xml:space="preserve"> panel appears once a record has its source file. A title or pages is required, and a long PDF needs a page range (or the whole-document option). If the pages are not valid nothing is created.</w:t>
            </w:r>
          </w:p>
        </w:tc>
      </w:tr>
    </w:tbl>
    <w:p>
      <w:pPr>
        <w:pStyle w:val="Heading2"/>
      </w:pPr>
      <w:r>
        <w:t xml:space="preserve">7.17b Adding a document by hand</w:t>
      </w:r>
    </w:p>
    <w:p>
      <w:pPr>
        <w:pStyle w:val="ListParagraph"/>
        <w:numPr>
          <w:ilvl w:val="0"/>
          <w:numId w:val="32"/>
        </w:numPr>
        <w:spacing w:after="80" w:line="276"/>
      </w:pPr>
      <w:r>
        <w:t xml:space="preserve">Select </w:t>
      </w:r>
      <w:r>
        <w:rPr>
          <w:b/>
          <w:bCs/>
        </w:rPr>
        <w:t xml:space="preserve">Documents → New document</w:t>
      </w:r>
      <w:r>
        <w:t xml:space="preserve"> and, below </w:t>
      </w:r>
      <w:r>
        <w:rPr>
          <w:b/>
          <w:bCs/>
        </w:rPr>
        <w:t xml:space="preserve">Or enter the details yourself</w:t>
      </w:r>
      <w:r>
        <w:t xml:space="preserve">, fill in </w:t>
      </w:r>
      <w:r>
        <w:rPr>
          <w:b/>
          <w:bCs/>
        </w:rPr>
        <w:t xml:space="preserve">Title</w:t>
      </w:r>
      <w:r>
        <w:t xml:space="preserve">, </w:t>
      </w:r>
      <w:r>
        <w:rPr>
          <w:b/>
          <w:bCs/>
        </w:rPr>
        <w:t xml:space="preserve">Author / speaker</w:t>
      </w:r>
      <w:r>
        <w:t xml:space="preserve">, </w:t>
      </w:r>
      <w:r>
        <w:rPr>
          <w:b/>
          <w:bCs/>
        </w:rPr>
        <w:t xml:space="preserve">Source URL / reference</w:t>
      </w:r>
      <w:r>
        <w:t xml:space="preserve">, </w:t>
      </w:r>
      <w:r>
        <w:rPr>
          <w:b/>
          <w:bCs/>
        </w:rPr>
        <w:t xml:space="preserve">Document type</w:t>
      </w:r>
      <w:r>
        <w:t xml:space="preserve"> (OFFICIAL, SECONDARY or PLATFORM), </w:t>
      </w:r>
      <w:r>
        <w:rPr>
          <w:b/>
          <w:bCs/>
        </w:rPr>
        <w:t xml:space="preserve">Geographic scope</w:t>
      </w:r>
      <w:r>
        <w:t xml:space="preserve"> and an </w:t>
      </w:r>
      <w:r>
        <w:rPr>
          <w:b/>
          <w:bCs/>
        </w:rPr>
        <w:t xml:space="preserve">Evidence extract</w:t>
      </w:r>
      <w:r>
        <w:t xml:space="preserve">, then select </w:t>
      </w:r>
      <w:r>
        <w:rPr>
          <w:b/>
          <w:bCs/>
        </w:rPr>
        <w:t xml:space="preserve">Create document record</w:t>
      </w:r>
      <w:r>
        <w:t xml:space="preserve">. The document ID (e.g. DOC-0025) is generated.</w:t>
      </w:r>
    </w:p>
    <w:p>
      <w:pPr>
        <w:pStyle w:val="ListParagraph"/>
        <w:numPr>
          <w:ilvl w:val="0"/>
          <w:numId w:val="32"/>
        </w:numPr>
        <w:spacing w:after="80" w:line="276"/>
      </w:pPr>
      <w:r>
        <w:t xml:space="preserve">Then attach the source file (below). If AI drafting is on, ticking </w:t>
      </w:r>
      <w:r>
        <w:rPr>
          <w:b/>
          <w:bCs/>
        </w:rPr>
        <w:t xml:space="preserve">Start Auto-fill as soon as the file is uploaded</w:t>
      </w:r>
      <w:r>
        <w:t xml:space="preserve"> sends you straight to the draft.</w:t>
      </w:r>
    </w:p>
    <w:p>
      <w:pPr>
        <w:spacing w:after="80"/>
      </w:pPr>
    </w:p>
    <w:p>
      <w:pPr>
        <w:pStyle w:val="Heading2"/>
      </w:pPr>
      <w:r>
        <w:t xml:space="preserve">7.17c Correcting a record's details</w:t>
      </w:r>
    </w:p>
    <w:p>
      <w:pPr>
        <w:pStyle w:val="ListParagraph"/>
        <w:numPr>
          <w:ilvl w:val="0"/>
          <w:numId w:val="33"/>
        </w:numPr>
        <w:spacing w:after="80" w:line="276"/>
      </w:pPr>
      <w:r>
        <w:t xml:space="preserve">Open the record. Under </w:t>
      </w:r>
      <w:r>
        <w:rPr>
          <w:b/>
          <w:bCs/>
        </w:rPr>
        <w:t xml:space="preserve">Record details</w:t>
      </w:r>
      <w:r>
        <w:t xml:space="preserve"> you can edit the title, author, publication or event date, source URL or reference, geographic scope, value chain and document type.</w:t>
      </w:r>
    </w:p>
    <w:p>
      <w:pPr>
        <w:keepNext/>
        <w:spacing w:after="40" w:before="80"/>
        <w:jc w:val="center"/>
      </w:pPr>
      <w:r>
        <w:drawing>
          <wp:inline distT="0" distB="0" distL="0" distR="0">
            <wp:extent cx="5334000" cy="2038350"/>
            <wp:effectExtent t="0" r="0" b="0" l="0"/>
            <wp:docPr id="1" name="doc_record_details.jpg" descr="Record details: the details the AI filled in, ready to check." title="Record details: the details the AI filled in, ready to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2038350"/>
                    </a:xfrm>
                    <a:prstGeom prst="rect">
                      <a:avLst/>
                    </a:prstGeom>
                  </pic:spPr>
                </pic:pic>
              </a:graphicData>
            </a:graphic>
          </wp:inline>
        </w:drawing>
      </w:r>
    </w:p>
    <w:p>
      <w:pPr>
        <w:spacing w:after="180"/>
        <w:jc w:val="center"/>
      </w:pPr>
      <w:r>
        <w:rPr>
          <w:b/>
          <w:bCs/>
          <w:color w:val="5B6670"/>
          <w:sz w:val="17"/>
          <w:szCs w:val="17"/>
        </w:rPr>
        <w:t xml:space="preserve">Figure 46. </w:t>
      </w:r>
      <w:r>
        <w:rPr>
          <w:i/>
          <w:iCs/>
          <w:color w:val="5B6670"/>
          <w:sz w:val="17"/>
          <w:szCs w:val="17"/>
        </w:rPr>
        <w:t xml:space="preserve">Record details: the details the AI filled in, ready to check.</w:t>
      </w:r>
    </w:p>
    <w:p>
      <w:pPr>
        <w:pStyle w:val="ListParagraph"/>
        <w:numPr>
          <w:ilvl w:val="0"/>
          <w:numId w:val="33"/>
        </w:numPr>
        <w:spacing w:after="80" w:line="276"/>
      </w:pPr>
      <w:r>
        <w:t xml:space="preserve">Select </w:t>
      </w:r>
      <w:r>
        <w:rPr>
          <w:b/>
          <w:bCs/>
        </w:rPr>
        <w:t xml:space="preserve">Save details</w:t>
      </w:r>
      <w:r>
        <w:t xml:space="preserve">. The details appear in the coding form's Section A: on the review screen they show in grey, and the corrected values are the ones submitted to KoboToolbox.</w:t>
      </w:r>
    </w:p>
    <w:p>
      <w:pPr>
        <w:spacing w:after="80"/>
      </w:pPr>
    </w:p>
    <w:p>
      <w:pPr>
        <w:pStyle w:val="Heading2"/>
      </w:pPr>
      <w:r>
        <w:t xml:space="preserve">7.17d Attaching the source file, and removing a wrong one</w:t>
      </w:r>
    </w:p>
    <w:p>
      <w:pPr>
        <w:pStyle w:val="ListParagraph"/>
        <w:numPr>
          <w:ilvl w:val="0"/>
          <w:numId w:val="34"/>
        </w:numPr>
        <w:spacing w:after="80" w:line="276"/>
      </w:pPr>
      <w:r>
        <w:t xml:space="preserve">On the document's page, under </w:t>
      </w:r>
      <w:r>
        <w:rPr>
          <w:b/>
          <w:bCs/>
        </w:rPr>
        <w:t xml:space="preserve">Source file</w:t>
      </w:r>
      <w:r>
        <w:t xml:space="preserve">, select </w:t>
      </w:r>
      <w:r>
        <w:rPr>
          <w:b/>
          <w:bCs/>
        </w:rPr>
        <w:t xml:space="preserve">Choose File</w:t>
      </w:r>
      <w:r>
        <w:t xml:space="preserve"> and pick the source: a PDF, a scan or photo (JPG or PNG), a Word (.docx) or Excel (.xlsx) file, or a text or CSV file. Audio and video can be attached as a reference. The limit is 20 MB. The file is stored privately on the server.</w:t>
      </w:r>
    </w:p>
    <w:p>
      <w:pPr>
        <w:keepNext/>
        <w:spacing w:after="40" w:before="80"/>
        <w:jc w:val="center"/>
      </w:pPr>
      <w:r>
        <w:drawing>
          <wp:inline distT="0" distB="0" distL="0" distR="0">
            <wp:extent cx="5334000" cy="952500"/>
            <wp:effectExtent t="0" r="0" b="0" l="0"/>
            <wp:docPr id="1" name="doc_source_file.jpg" descr="Source file: the file name, size and date, with Remove file beside it." title="Source file: the file name, size and date, with Remove file besid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952500"/>
                    </a:xfrm>
                    <a:prstGeom prst="rect">
                      <a:avLst/>
                    </a:prstGeom>
                  </pic:spPr>
                </pic:pic>
              </a:graphicData>
            </a:graphic>
          </wp:inline>
        </w:drawing>
      </w:r>
    </w:p>
    <w:p>
      <w:pPr>
        <w:spacing w:after="180"/>
        <w:jc w:val="center"/>
      </w:pPr>
      <w:r>
        <w:rPr>
          <w:b/>
          <w:bCs/>
          <w:color w:val="5B6670"/>
          <w:sz w:val="17"/>
          <w:szCs w:val="17"/>
        </w:rPr>
        <w:t xml:space="preserve">Figure 47. </w:t>
      </w:r>
      <w:r>
        <w:rPr>
          <w:i/>
          <w:iCs/>
          <w:color w:val="5B6670"/>
          <w:sz w:val="17"/>
          <w:szCs w:val="17"/>
        </w:rPr>
        <w:t xml:space="preserve">Source file: the file name, size and date, with Remove file beside it.</w:t>
      </w:r>
    </w:p>
    <w:p>
      <w:pPr>
        <w:pStyle w:val="ListParagraph"/>
        <w:numPr>
          <w:ilvl w:val="0"/>
          <w:numId w:val="34"/>
        </w:numPr>
        <w:spacing w:after="80" w:line="276"/>
      </w:pPr>
      <w:r>
        <w:t xml:space="preserve">A bar shows how much of the file has been sent. A large file on a slow connection can take a minute or two: wait until it says </w:t>
      </w:r>
      <w:r>
        <w:rPr>
          <w:b/>
          <w:bCs/>
        </w:rPr>
        <w:t xml:space="preserve">Saving…</w:t>
      </w:r>
      <w:r>
        <w:t xml:space="preserve"> and the file name appears. If </w:t>
      </w:r>
      <w:r>
        <w:rPr>
          <w:b/>
          <w:bCs/>
        </w:rPr>
        <w:t xml:space="preserve">Start Auto-fill as soon as the file is uploaded</w:t>
      </w:r>
      <w:r>
        <w:t xml:space="preserve"> is ticked (it is by default), the review screen then opens and the AI starts reading.</w:t>
      </w:r>
    </w:p>
    <w:p>
      <w:pPr>
        <w:pStyle w:val="ListParagraph"/>
        <w:numPr>
          <w:ilvl w:val="0"/>
          <w:numId w:val="34"/>
        </w:numPr>
        <w:spacing w:after="80" w:line="276"/>
      </w:pPr>
      <w:r>
        <w:t xml:space="preserve">Attached the wrong one? Select the red </w:t>
      </w:r>
      <w:r>
        <w:rPr>
          <w:b/>
          <w:bCs/>
        </w:rPr>
        <w:t xml:space="preserve">Remove file</w:t>
      </w:r>
      <w:r>
        <w:t xml:space="preserve"> link beside the file name and confirm. The file is deleted from the server and the record says “No file uploaded yet”. Then choose the right file.</w:t>
      </w:r>
    </w:p>
    <w:p>
      <w:pPr>
        <w:pStyle w:val="ListParagraph"/>
        <w:numPr>
          <w:ilvl w:val="0"/>
          <w:numId w:val="34"/>
        </w:numPr>
        <w:spacing w:after="80" w:line="276"/>
      </w:pPr>
      <w:r>
        <w:t xml:space="preserve">Choosing another file straight away also replaces the old one.</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What goes with a removed file</w:t>
            </w:r>
          </w:p>
          <w:p>
            <w:pPr>
              <w:spacing w:after="40" w:line="264"/>
            </w:pPr>
            <w:r>
              <w:rPr>
                <w:sz w:val="19"/>
                <w:szCs w:val="19"/>
              </w:rPr>
              <w:t xml:space="preserve">An AI draft (see below) made from the removed or replaced file is discarded too, so a draft of the wrong document can never be reviewed and submitted for the right one. A draft that has already been submitted to KoboToolbox is kept as the record of what was filed. Removals are recorded in the audit log with the file name.</w:t>
            </w:r>
          </w:p>
        </w:tc>
      </w:tr>
    </w:tbl>
    <w:p>
      <w:pPr>
        <w:pStyle w:val="Heading2"/>
      </w:pPr>
      <w:r>
        <w:t xml:space="preserve">7.17e Assessing and including a document</w:t>
      </w:r>
    </w:p>
    <w:p>
      <w:pPr>
        <w:pStyle w:val="ListParagraph"/>
        <w:numPr>
          <w:ilvl w:val="0"/>
          <w:numId w:val="35"/>
        </w:numPr>
        <w:spacing w:after="80" w:line="276"/>
      </w:pPr>
      <w:r>
        <w:t xml:space="preserve">In </w:t>
      </w:r>
      <w:r>
        <w:rPr>
          <w:b/>
          <w:bCs/>
        </w:rPr>
        <w:t xml:space="preserve">Documents</w:t>
      </w:r>
      <w:r>
        <w:t xml:space="preserve">, select </w:t>
      </w:r>
      <w:r>
        <w:rPr>
          <w:b/>
          <w:bCs/>
        </w:rPr>
        <w:t xml:space="preserve">Manage</w:t>
      </w:r>
      <w:r>
        <w:t xml:space="preserve"> on the record.</w:t>
      </w:r>
    </w:p>
    <w:p>
      <w:pPr>
        <w:keepNext/>
        <w:spacing w:after="40" w:before="80"/>
        <w:jc w:val="center"/>
      </w:pPr>
      <w:r>
        <w:drawing>
          <wp:inline distT="0" distB="0" distL="0" distR="0">
            <wp:extent cx="5334000" cy="3333750"/>
            <wp:effectExtent t="0" r="0" b="0" l="0"/>
            <wp:docPr id="1" name="doc_register.jpg" descr="Documentary Evidence Corpus." title="Documentary Evidence Cor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48. </w:t>
      </w:r>
      <w:r>
        <w:rPr>
          <w:i/>
          <w:iCs/>
          <w:color w:val="5B6670"/>
          <w:sz w:val="17"/>
          <w:szCs w:val="17"/>
        </w:rPr>
        <w:t xml:space="preserve">Documentary Evidence Corpus.</w:t>
      </w:r>
    </w:p>
    <w:p>
      <w:pPr>
        <w:pStyle w:val="ListParagraph"/>
        <w:numPr>
          <w:ilvl w:val="0"/>
          <w:numId w:val="35"/>
        </w:numPr>
        <w:spacing w:after="80" w:line="276"/>
      </w:pPr>
      <w:r>
        <w:t xml:space="preserve">Assess authenticity: select </w:t>
      </w:r>
      <w:r>
        <w:rPr>
          <w:b/>
          <w:bCs/>
        </w:rPr>
        <w:t xml:space="preserve">Mark verified</w:t>
      </w:r>
      <w:r>
        <w:t xml:space="preserve"> or </w:t>
      </w:r>
      <w:r>
        <w:rPr>
          <w:b/>
          <w:bCs/>
        </w:rPr>
        <w:t xml:space="preserve">Mark disputed</w:t>
      </w:r>
      <w:r>
        <w:t xml:space="preserve">.</w:t>
      </w:r>
    </w:p>
    <w:p>
      <w:pPr>
        <w:keepNext/>
        <w:spacing w:after="40" w:before="80"/>
        <w:jc w:val="center"/>
      </w:pPr>
      <w:r>
        <w:drawing>
          <wp:inline distT="0" distB="0" distL="0" distR="0">
            <wp:extent cx="5334000" cy="3419475"/>
            <wp:effectExtent t="0" r="0" b="0" l="0"/>
            <wp:docPr id="1" name="doc_detail.jpg" descr="Document record: authenticity, QA status, memo and coding form." title="Document record: authenticity, QA status, memo and codi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34000" cy="3419475"/>
                    </a:xfrm>
                    <a:prstGeom prst="rect">
                      <a:avLst/>
                    </a:prstGeom>
                  </pic:spPr>
                </pic:pic>
              </a:graphicData>
            </a:graphic>
          </wp:inline>
        </w:drawing>
      </w:r>
    </w:p>
    <w:p>
      <w:pPr>
        <w:spacing w:after="180"/>
        <w:jc w:val="center"/>
      </w:pPr>
      <w:r>
        <w:rPr>
          <w:b/>
          <w:bCs/>
          <w:color w:val="5B6670"/>
          <w:sz w:val="17"/>
          <w:szCs w:val="17"/>
        </w:rPr>
        <w:t xml:space="preserve">Figure 49. </w:t>
      </w:r>
      <w:r>
        <w:rPr>
          <w:i/>
          <w:iCs/>
          <w:color w:val="5B6670"/>
          <w:sz w:val="17"/>
          <w:szCs w:val="17"/>
        </w:rPr>
        <w:t xml:space="preserve">Document record: authenticity, QA status, memo and coding form.</w:t>
      </w:r>
    </w:p>
    <w:p>
      <w:pPr>
        <w:pStyle w:val="ListParagraph"/>
        <w:numPr>
          <w:ilvl w:val="0"/>
          <w:numId w:val="35"/>
        </w:numPr>
        <w:spacing w:after="80" w:line="276"/>
      </w:pPr>
      <w:r>
        <w:t xml:space="preserve">Set the QA status: </w:t>
      </w:r>
      <w:r>
        <w:rPr>
          <w:b/>
          <w:bCs/>
        </w:rPr>
        <w:t xml:space="preserve">Include</w:t>
      </w:r>
      <w:r>
        <w:t xml:space="preserve"> or </w:t>
      </w:r>
      <w:r>
        <w:rPr>
          <w:b/>
          <w:bCs/>
        </w:rPr>
        <w:t xml:space="preserve">Exclude</w:t>
      </w:r>
      <w:r>
        <w:t xml:space="preserve">. A document cannot be included until authenticity has been assessed.</w:t>
      </w:r>
    </w:p>
    <w:p>
      <w:pPr>
        <w:pStyle w:val="ListParagraph"/>
        <w:numPr>
          <w:ilvl w:val="0"/>
          <w:numId w:val="35"/>
        </w:numPr>
        <w:spacing w:after="80" w:line="276"/>
      </w:pPr>
      <w:r>
        <w:t xml:space="preserve">Write the </w:t>
      </w:r>
      <w:r>
        <w:rPr>
          <w:b/>
          <w:bCs/>
        </w:rPr>
        <w:t xml:space="preserve">Interpretive memo</w:t>
      </w:r>
      <w:r>
        <w:t xml:space="preserve"> (dispute reasons, interpretation notes) and select </w:t>
      </w:r>
      <w:r>
        <w:rPr>
          <w:b/>
          <w:bCs/>
        </w:rPr>
        <w:t xml:space="preserve">Save memo</w:t>
      </w:r>
      <w:r>
        <w:t xml:space="preserve">.</w:t>
      </w:r>
    </w:p>
    <w:p>
      <w:pPr>
        <w:pStyle w:val="ListParagraph"/>
        <w:numPr>
          <w:ilvl w:val="0"/>
          <w:numId w:val="35"/>
        </w:numPr>
        <w:spacing w:after="80" w:line="276"/>
      </w:pPr>
      <w:r>
        <w:t xml:space="preserve">Code the document (next two sections). The completed form's PDF then appears on the record, under </w:t>
      </w:r>
      <w:r>
        <w:rPr>
          <w:b/>
          <w:bCs/>
        </w:rPr>
        <w:t xml:space="preserve">Completed coding form (KoboToolbox)</w:t>
      </w:r>
      <w:r>
        <w:t xml:space="preserve">.</w:t>
      </w:r>
    </w:p>
    <w:p>
      <w:pPr>
        <w:spacing w:after="80"/>
      </w:pPr>
    </w:p>
    <w:p>
      <w:pPr>
        <w:pStyle w:val="Heading2"/>
      </w:pPr>
      <w:r>
        <w:t xml:space="preserve">7.17f Coding a document: two ways</w:t>
      </w:r>
    </w:p>
    <w:p>
      <w:pPr>
        <w:spacing w:after="120" w:line="288"/>
      </w:pPr>
      <w:r>
        <w:t xml:space="preserve">The </w:t>
      </w:r>
      <w:r>
        <w:rPr>
          <w:b/>
          <w:bCs/>
        </w:rPr>
        <w:t xml:space="preserve">Coding</w:t>
      </w:r>
      <w:r>
        <w:t xml:space="preserve"> panel offers two buttons for the Document, Digital Platform &amp; Media Analysis Tool:</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4706"/>
        <w:gridCol w:w="2824"/>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Button</w:t>
            </w:r>
          </w:p>
        </w:tc>
        <w:tc>
          <w:tcPr>
            <w:tcW w:type="dxa" w:w="4706"/>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does</w:t>
            </w:r>
          </w:p>
        </w:tc>
        <w:tc>
          <w:tcPr>
            <w:tcW w:type="dxa" w:w="2824"/>
            <w:shd w:fill="1B3350" w:color="auto" w:val="clear"/>
            <w:tcMar>
              <w:top w:type="dxa" w:w="70"/>
              <w:left w:type="dxa" w:w="110"/>
              <w:bottom w:type="dxa" w:w="70"/>
              <w:right w:type="dxa" w:w="110"/>
            </w:tcMar>
            <w:vAlign w:val="top"/>
          </w:tcPr>
          <w:p>
            <w:pPr>
              <w:spacing w:after="40"/>
            </w:pPr>
            <w:r>
              <w:rPr>
                <w:b/>
                <w:bCs/>
                <w:color w:val="FFFFFF"/>
                <w:sz w:val="19"/>
                <w:szCs w:val="19"/>
              </w:rPr>
              <w:t xml:space="preserve">Use it when</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Code this document</w:t>
            </w:r>
          </w:p>
        </w:tc>
        <w:tc>
          <w:tcPr>
            <w:tcW w:type="dxa" w:w="4706"/>
            <w:tcMar>
              <w:top w:type="dxa" w:w="70"/>
              <w:left w:type="dxa" w:w="110"/>
              <w:bottom w:type="dxa" w:w="70"/>
              <w:right w:type="dxa" w:w="110"/>
            </w:tcMar>
            <w:vAlign w:val="top"/>
          </w:tcPr>
          <w:p>
            <w:pPr>
              <w:spacing w:after="40"/>
            </w:pPr>
            <w:r>
              <w:rPr>
                <w:b w:val="false"/>
                <w:bCs w:val="false"/>
                <w:sz w:val="19"/>
                <w:szCs w:val="19"/>
              </w:rPr>
              <w:t xml:space="preserve">Opens the KoboToolbox Document Analysis Tool with the DOC ID, title, author, date and source already filled in. You answer every other question yourself.</w:t>
            </w:r>
          </w:p>
        </w:tc>
        <w:tc>
          <w:tcPr>
            <w:tcW w:type="dxa" w:w="2824"/>
            <w:tcMar>
              <w:top w:type="dxa" w:w="70"/>
              <w:left w:type="dxa" w:w="110"/>
              <w:bottom w:type="dxa" w:w="70"/>
              <w:right w:type="dxa" w:w="110"/>
            </w:tcMar>
            <w:vAlign w:val="top"/>
          </w:tcPr>
          <w:p>
            <w:pPr>
              <w:spacing w:after="40"/>
            </w:pPr>
            <w:r>
              <w:rPr>
                <w:b w:val="false"/>
                <w:bCs w:val="false"/>
                <w:sz w:val="19"/>
                <w:szCs w:val="19"/>
              </w:rPr>
              <w:t xml:space="preserve">You code by hand, or the source cannot be read by the AI.</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Auto-fill</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Has the AI read the uploaded source file and draft answers to the whole form. You review, edit and submit.</w:t>
            </w:r>
          </w:p>
        </w:tc>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A source file is uploaded and you want a fast first draft. The button only appears once the administrator has switched AI drafting on.</w:t>
            </w:r>
          </w:p>
        </w:tc>
      </w:tr>
    </w:tbl>
    <w:p>
      <w:pPr>
        <w:spacing w:after="120"/>
      </w:pPr>
    </w:p>
    <w:p>
      <w:pPr>
        <w:keepNext/>
        <w:spacing w:after="40" w:before="80"/>
        <w:jc w:val="center"/>
      </w:pPr>
      <w:r>
        <w:drawing>
          <wp:inline distT="0" distB="0" distL="0" distR="0">
            <wp:extent cx="5715000" cy="904875"/>
            <wp:effectExtent t="0" r="0" b="0" l="0"/>
            <wp:docPr id="1" name="doc_coding_buttons.jpg" descr="The Coding panel: Code this document, and Auto-fill." title="The Coding panel: Code this document, and Auto-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904875"/>
                    </a:xfrm>
                    <a:prstGeom prst="rect">
                      <a:avLst/>
                    </a:prstGeom>
                  </pic:spPr>
                </pic:pic>
              </a:graphicData>
            </a:graphic>
          </wp:inline>
        </w:drawing>
      </w:r>
    </w:p>
    <w:p>
      <w:pPr>
        <w:spacing w:after="180"/>
        <w:jc w:val="center"/>
      </w:pPr>
      <w:r>
        <w:rPr>
          <w:b/>
          <w:bCs/>
          <w:color w:val="5B6670"/>
          <w:sz w:val="17"/>
          <w:szCs w:val="17"/>
        </w:rPr>
        <w:t xml:space="preserve">Figure 50. </w:t>
      </w:r>
      <w:r>
        <w:rPr>
          <w:i/>
          <w:iCs/>
          <w:color w:val="5B6670"/>
          <w:sz w:val="17"/>
          <w:szCs w:val="17"/>
        </w:rPr>
        <w:t xml:space="preserve">The Coding panel: Code this document, and Auto-fill.</w:t>
      </w:r>
    </w:p>
    <w:p>
      <w:pPr>
        <w:pStyle w:val="Heading2"/>
      </w:pPr>
      <w:r>
        <w:t xml:space="preserve">7.17g Auto-fill: the AI drafts, you review</w:t>
      </w:r>
    </w:p>
    <w:p>
      <w:pPr>
        <w:pStyle w:val="ListParagraph"/>
        <w:numPr>
          <w:ilvl w:val="0"/>
          <w:numId w:val="36"/>
        </w:numPr>
        <w:spacing w:after="80" w:line="276"/>
      </w:pPr>
      <w:r>
        <w:t xml:space="preserve">Attach the source file (above). Select </w:t>
      </w:r>
      <w:r>
        <w:rPr>
          <w:b/>
          <w:bCs/>
        </w:rPr>
        <w:t xml:space="preserve">Auto-fill</w:t>
      </w:r>
      <w:r>
        <w:t xml:space="preserve"> in the </w:t>
      </w:r>
      <w:r>
        <w:rPr>
          <w:b/>
          <w:bCs/>
        </w:rPr>
        <w:t xml:space="preserve">Coding</w:t>
      </w:r>
      <w:r>
        <w:t xml:space="preserve"> panel; the review screen opens.</w:t>
      </w:r>
    </w:p>
    <w:p>
      <w:pPr>
        <w:pStyle w:val="ListParagraph"/>
        <w:numPr>
          <w:ilvl w:val="0"/>
          <w:numId w:val="36"/>
        </w:numPr>
        <w:spacing w:after="80" w:line="276"/>
      </w:pPr>
      <w:r>
        <w:t xml:space="preserve">If the file is a PDF of more than 100 pages, enter the </w:t>
      </w:r>
      <w:r>
        <w:rPr>
          <w:b/>
          <w:bCs/>
        </w:rPr>
        <w:t xml:space="preserve">Pages to read</w:t>
      </w:r>
      <w:r>
        <w:t xml:space="preserve">, for example </w:t>
      </w:r>
      <w:r>
        <w:rPr>
          <w:rFonts w:ascii="Consolas" w:cs="Consolas" w:eastAsia="Consolas" w:hAnsi="Consolas"/>
          <w:b w:val="false"/>
          <w:bCs w:val="false"/>
          <w:color w:val="122238"/>
          <w:sz w:val="19"/>
          <w:szCs w:val="19"/>
        </w:rPr>
        <w:t xml:space="preserve">10-90</w:t>
      </w:r>
      <w:r>
        <w:t xml:space="preserve">. The AI reads up to 100 pages at a time, so either choose the pages that make up this evidence unit, such as one chapter, or tick </w:t>
      </w:r>
      <w:r>
        <w:rPr>
          <w:b/>
          <w:bCs/>
        </w:rPr>
        <w:t xml:space="preserve">Read the whole document in parts</w:t>
      </w:r>
      <w:r>
        <w:t xml:space="preserve"> (see “Coding a very long document” below). Its locators use the original page numbers. For shorter files, leave the box empty to read everything.</w:t>
      </w:r>
    </w:p>
    <w:p>
      <w:pPr>
        <w:keepNext/>
        <w:spacing w:after="40" w:before="80"/>
        <w:jc w:val="center"/>
      </w:pPr>
      <w:r>
        <w:drawing>
          <wp:inline distT="0" distB="0" distL="0" distR="0">
            <wp:extent cx="5334000" cy="2667000"/>
            <wp:effectExtent t="0" r="0" b="0" l="0"/>
            <wp:docPr id="1" name="doc_autofill_pages.jpg" descr="A 240-page PDF: enter a page range, or read the whole document in parts." title="A 240-page PDF: enter a page range, or read the whole document in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34000" cy="2667000"/>
                    </a:xfrm>
                    <a:prstGeom prst="rect">
                      <a:avLst/>
                    </a:prstGeom>
                  </pic:spPr>
                </pic:pic>
              </a:graphicData>
            </a:graphic>
          </wp:inline>
        </w:drawing>
      </w:r>
    </w:p>
    <w:p>
      <w:pPr>
        <w:spacing w:after="180"/>
        <w:jc w:val="center"/>
      </w:pPr>
      <w:r>
        <w:rPr>
          <w:b/>
          <w:bCs/>
          <w:color w:val="5B6670"/>
          <w:sz w:val="17"/>
          <w:szCs w:val="17"/>
        </w:rPr>
        <w:t xml:space="preserve">Figure 51. </w:t>
      </w:r>
      <w:r>
        <w:rPr>
          <w:i/>
          <w:iCs/>
          <w:color w:val="5B6670"/>
          <w:sz w:val="17"/>
          <w:szCs w:val="17"/>
        </w:rPr>
        <w:t xml:space="preserve">A 240-page PDF: enter a page range, or read the whole document in parts.</w:t>
      </w:r>
    </w:p>
    <w:p>
      <w:pPr>
        <w:pStyle w:val="ListParagraph"/>
        <w:numPr>
          <w:ilvl w:val="0"/>
          <w:numId w:val="36"/>
        </w:numPr>
        <w:spacing w:after="80" w:line="276"/>
      </w:pPr>
      <w:r>
        <w:t xml:space="preserve">Select </w:t>
      </w:r>
      <w:r>
        <w:rPr>
          <w:b/>
          <w:bCs/>
        </w:rPr>
        <w:t xml:space="preserve">Generate AI draft</w:t>
      </w:r>
      <w:r>
        <w:t xml:space="preserve">. The AI reads in the background, usually one to five minutes. You can leave the page and come back; the draft will be there.</w:t>
      </w:r>
    </w:p>
    <w:p>
      <w:pPr>
        <w:keepNext/>
        <w:spacing w:after="40" w:before="80"/>
        <w:jc w:val="center"/>
      </w:pPr>
      <w:r>
        <w:drawing>
          <wp:inline distT="0" distB="0" distL="0" distR="0">
            <wp:extent cx="5334000" cy="1752600"/>
            <wp:effectExtent t="0" r="0" b="0" l="0"/>
            <wp:docPr id="1" name="doc_autofill_running.jpg" descr="The AI is reading the document." title="The AI is reading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34000" cy="1752600"/>
                    </a:xfrm>
                    <a:prstGeom prst="rect">
                      <a:avLst/>
                    </a:prstGeom>
                  </pic:spPr>
                </pic:pic>
              </a:graphicData>
            </a:graphic>
          </wp:inline>
        </w:drawing>
      </w:r>
    </w:p>
    <w:p>
      <w:pPr>
        <w:spacing w:after="180"/>
        <w:jc w:val="center"/>
      </w:pPr>
      <w:r>
        <w:rPr>
          <w:b/>
          <w:bCs/>
          <w:color w:val="5B6670"/>
          <w:sz w:val="17"/>
          <w:szCs w:val="17"/>
        </w:rPr>
        <w:t xml:space="preserve">Figure 52. </w:t>
      </w:r>
      <w:r>
        <w:rPr>
          <w:i/>
          <w:iCs/>
          <w:color w:val="5B6670"/>
          <w:sz w:val="17"/>
          <w:szCs w:val="17"/>
        </w:rPr>
        <w:t xml:space="preserve">The AI is reading the document.</w:t>
      </w:r>
    </w:p>
    <w:p>
      <w:pPr>
        <w:pStyle w:val="ListParagraph"/>
        <w:numPr>
          <w:ilvl w:val="0"/>
          <w:numId w:val="36"/>
        </w:numPr>
        <w:spacing w:after="80" w:line="276"/>
      </w:pPr>
      <w:r>
        <w:t xml:space="preserve">Read the draft. It has every section of the KoboToolbox form, A to L. The DOC ID, author, title, date and source come from the record and cannot be changed here; everything else you can edit.</w:t>
      </w:r>
    </w:p>
    <w:p>
      <w:pPr>
        <w:keepNext/>
        <w:spacing w:after="40" w:before="80"/>
        <w:jc w:val="center"/>
      </w:pPr>
      <w:r>
        <w:drawing>
          <wp:inline distT="0" distB="0" distL="0" distR="0">
            <wp:extent cx="5334000" cy="4581525"/>
            <wp:effectExtent t="0" r="0" b="0" l="0"/>
            <wp:docPr id="1" name="doc_autofill_review.jpg" descr="The review screen: the draft, ready to check and edit." title="The review screen: the draft, ready to check and 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334000" cy="4581525"/>
                    </a:xfrm>
                    <a:prstGeom prst="rect">
                      <a:avLst/>
                    </a:prstGeom>
                  </pic:spPr>
                </pic:pic>
              </a:graphicData>
            </a:graphic>
          </wp:inline>
        </w:drawing>
      </w:r>
    </w:p>
    <w:p>
      <w:pPr>
        <w:spacing w:after="180"/>
        <w:jc w:val="center"/>
      </w:pPr>
      <w:r>
        <w:rPr>
          <w:b/>
          <w:bCs/>
          <w:color w:val="5B6670"/>
          <w:sz w:val="17"/>
          <w:szCs w:val="17"/>
        </w:rPr>
        <w:t xml:space="preserve">Figure 53. </w:t>
      </w:r>
      <w:r>
        <w:rPr>
          <w:i/>
          <w:iCs/>
          <w:color w:val="5B6670"/>
          <w:sz w:val="17"/>
          <w:szCs w:val="17"/>
        </w:rPr>
        <w:t xml:space="preserve">The review screen: the draft, ready to check and edit.</w:t>
      </w:r>
    </w:p>
    <w:p>
      <w:pPr>
        <w:pStyle w:val="ListParagraph"/>
        <w:numPr>
          <w:ilvl w:val="0"/>
          <w:numId w:val="36"/>
        </w:numPr>
        <w:spacing w:after="80" w:line="276"/>
      </w:pPr>
      <w:r>
        <w:t xml:space="preserve">Check the judgements, not just the facts: the strength ratings (Sections D and H), the hypothesis codes (Section K) and the locators. Open the source and confirm a few page or paragraph references.</w:t>
      </w:r>
    </w:p>
    <w:p>
      <w:pPr>
        <w:keepNext/>
        <w:spacing w:after="40" w:before="80"/>
        <w:jc w:val="center"/>
      </w:pPr>
      <w:r>
        <w:drawing>
          <wp:inline distT="0" distB="0" distL="0" distR="0">
            <wp:extent cx="5334000" cy="3838575"/>
            <wp:effectExtent t="0" r="0" b="0" l="0"/>
            <wp:docPr id="1" name="doc_autofill_section_d.jpg" descr="Section D: ratings and locators, all editable." title="Section D: ratings and locators, all edi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334000" cy="3838575"/>
                    </a:xfrm>
                    <a:prstGeom prst="rect">
                      <a:avLst/>
                    </a:prstGeom>
                  </pic:spPr>
                </pic:pic>
              </a:graphicData>
            </a:graphic>
          </wp:inline>
        </w:drawing>
      </w:r>
    </w:p>
    <w:p>
      <w:pPr>
        <w:spacing w:after="180"/>
        <w:jc w:val="center"/>
      </w:pPr>
      <w:r>
        <w:rPr>
          <w:b/>
          <w:bCs/>
          <w:color w:val="5B6670"/>
          <w:sz w:val="17"/>
          <w:szCs w:val="17"/>
        </w:rPr>
        <w:t xml:space="preserve">Figure 54. </w:t>
      </w:r>
      <w:r>
        <w:rPr>
          <w:i/>
          <w:iCs/>
          <w:color w:val="5B6670"/>
          <w:sz w:val="17"/>
          <w:szCs w:val="17"/>
        </w:rPr>
        <w:t xml:space="preserve">Section D: ratings and locators, all editable.</w:t>
      </w:r>
    </w:p>
    <w:p>
      <w:pPr>
        <w:pStyle w:val="ListParagraph"/>
        <w:numPr>
          <w:ilvl w:val="0"/>
          <w:numId w:val="36"/>
        </w:numPr>
        <w:spacing w:after="80" w:line="276"/>
      </w:pPr>
      <w:r>
        <w:t xml:space="preserve">Check the numbers in Section J against the source. Add or remove metrics as needed.</w:t>
      </w:r>
    </w:p>
    <w:p>
      <w:pPr>
        <w:keepNext/>
        <w:spacing w:after="40" w:before="80"/>
        <w:jc w:val="center"/>
      </w:pPr>
      <w:r>
        <w:drawing>
          <wp:inline distT="0" distB="0" distL="0" distR="0">
            <wp:extent cx="5334000" cy="3838575"/>
            <wp:effectExtent t="0" r="0" b="0" l="0"/>
            <wp:docPr id="1" name="doc_autofill_section_j.jpg" descr="Section J: quantitative metrics." title="Section J: quantitativ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34000" cy="3838575"/>
                    </a:xfrm>
                    <a:prstGeom prst="rect">
                      <a:avLst/>
                    </a:prstGeom>
                  </pic:spPr>
                </pic:pic>
              </a:graphicData>
            </a:graphic>
          </wp:inline>
        </w:drawing>
      </w:r>
    </w:p>
    <w:p>
      <w:pPr>
        <w:spacing w:after="180"/>
        <w:jc w:val="center"/>
      </w:pPr>
      <w:r>
        <w:rPr>
          <w:b/>
          <w:bCs/>
          <w:color w:val="5B6670"/>
          <w:sz w:val="17"/>
          <w:szCs w:val="17"/>
        </w:rPr>
        <w:t xml:space="preserve">Figure 55. </w:t>
      </w:r>
      <w:r>
        <w:rPr>
          <w:i/>
          <w:iCs/>
          <w:color w:val="5B6670"/>
          <w:sz w:val="17"/>
          <w:szCs w:val="17"/>
        </w:rPr>
        <w:t xml:space="preserve">Section J: quantitative metrics.</w:t>
      </w:r>
    </w:p>
    <w:p>
      <w:pPr>
        <w:pStyle w:val="ListParagraph"/>
        <w:numPr>
          <w:ilvl w:val="0"/>
          <w:numId w:val="36"/>
        </w:numPr>
        <w:spacing w:after="80" w:line="276"/>
      </w:pPr>
      <w:r>
        <w:t xml:space="preserve">Select </w:t>
      </w:r>
      <w:r>
        <w:rPr>
          <w:b/>
          <w:bCs/>
        </w:rPr>
        <w:t xml:space="preserve">Save changes</w:t>
      </w:r>
      <w:r>
        <w:t xml:space="preserve"> to keep your edits and finish later. When you are satisfied, select </w:t>
      </w:r>
      <w:r>
        <w:rPr>
          <w:b/>
          <w:bCs/>
        </w:rPr>
        <w:t xml:space="preserve">Submit to KoboToolbox</w:t>
      </w:r>
      <w:r>
        <w:t xml:space="preserve"> and confirm. Your reviewed answers are sent as a completed record.</w:t>
      </w:r>
    </w:p>
    <w:p>
      <w:pPr>
        <w:pStyle w:val="ListParagraph"/>
        <w:numPr>
          <w:ilvl w:val="0"/>
          <w:numId w:val="36"/>
        </w:numPr>
        <w:spacing w:after="80" w:line="276"/>
      </w:pPr>
      <w:r>
        <w:t xml:space="preserve">The record appears at once under </w:t>
      </w:r>
      <w:r>
        <w:rPr>
          <w:b/>
          <w:bCs/>
        </w:rPr>
        <w:t xml:space="preserve">Completed coding form (KoboToolbox)</w:t>
      </w:r>
      <w:r>
        <w:t xml:space="preserve"> on the document page and in </w:t>
      </w:r>
      <w:r>
        <w:rPr>
          <w:b/>
          <w:bCs/>
        </w:rPr>
        <w:t xml:space="preserve">Form PDFs</w:t>
      </w:r>
      <w:r>
        <w:t xml:space="preserve">, found by its DOC ID. The portal's copy of the Document Analysis Tool is refreshed the moment you submit. If a coding you submitted is later deleted in KoboToolbox, the next sync (automatic, or </w:t>
      </w:r>
      <w:r>
        <w:rPr>
          <w:b/>
          <w:bCs/>
        </w:rPr>
        <w:t xml:space="preserve">Sync now</w:t>
      </w:r>
      <w:r>
        <w:t xml:space="preserve"> on </w:t>
      </w:r>
      <w:r>
        <w:rPr>
          <w:b/>
          <w:bCs/>
        </w:rPr>
        <w:t xml:space="preserve">Form PDFs</w:t>
      </w:r>
      <w:r>
        <w:t xml:space="preserve">) unlocks the document so it can be coded again.</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The draft is a starting point, not a finding</w:t>
            </w:r>
          </w:p>
          <w:p>
            <w:pPr>
              <w:spacing w:after="40" w:line="264"/>
            </w:pPr>
            <w:r>
              <w:rPr>
                <w:sz w:val="19"/>
                <w:szCs w:val="19"/>
              </w:rPr>
              <w:t xml:space="preserve">Sections D to K are this study's documentary analysis. The AI drafts them; you are responsible for them. Change any rating you disagree with. A draft where everything is rated as strongly supportive deserves a second look.</w:t>
            </w:r>
          </w:p>
          <w:p>
            <w:pPr>
              <w:spacing w:after="40" w:line="264"/>
            </w:pPr>
            <w:r>
              <w:rPr>
                <w:sz w:val="19"/>
                <w:szCs w:val="19"/>
              </w:rPr>
              <w:t xml:space="preserve">Nothing reaches KoboToolbox until you select </w:t>
            </w:r>
            <w:r>
              <w:rPr>
                <w:b/>
                <w:bCs/>
                <w:sz w:val="19"/>
                <w:szCs w:val="19"/>
              </w:rPr>
              <w:t xml:space="preserve">Submit</w:t>
            </w:r>
            <w:r>
              <w:rPr>
                <w:sz w:val="19"/>
                <w:szCs w:val="19"/>
              </w:rPr>
              <w:t xml:space="preserve">. Each draft and submission is recorded in the audit log, so the study can say exactly which records were AI-assisted.</w:t>
            </w:r>
          </w:p>
          <w:p>
            <w:pPr>
              <w:spacing w:after="40" w:line="264"/>
            </w:pPr>
            <w:r>
              <w:rPr>
                <w:sz w:val="19"/>
                <w:szCs w:val="19"/>
              </w:rPr>
              <w:t xml:space="preserve">Submit once. A second submission would create a duplicate record for the document, and the screen shows “Already submitted” to stop it.</w:t>
            </w:r>
          </w:p>
        </w:tc>
      </w:tr>
    </w:tbl>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635"/>
        <w:gridCol w:w="4141"/>
        <w:gridCol w:w="2636"/>
      </w:tblGrid>
      <w:tr>
        <w:trPr>
          <w:tblHeader/>
        </w:trPr>
        <w:tc>
          <w:tcPr>
            <w:tcW w:type="dxa" w:w="2635"/>
            <w:shd w:fill="1B3350" w:color="auto" w:val="clear"/>
            <w:tcMar>
              <w:top w:type="dxa" w:w="70"/>
              <w:left w:type="dxa" w:w="110"/>
              <w:bottom w:type="dxa" w:w="70"/>
              <w:right w:type="dxa" w:w="110"/>
            </w:tcMar>
            <w:vAlign w:val="top"/>
          </w:tcPr>
          <w:p>
            <w:pPr>
              <w:spacing w:after="40"/>
            </w:pPr>
            <w:r>
              <w:rPr>
                <w:b/>
                <w:bCs/>
                <w:color w:val="FFFFFF"/>
                <w:sz w:val="19"/>
                <w:szCs w:val="19"/>
              </w:rPr>
              <w:t xml:space="preserve">File type</w:t>
            </w:r>
          </w:p>
        </w:tc>
        <w:tc>
          <w:tcPr>
            <w:tcW w:type="dxa" w:w="4141"/>
            <w:shd w:fill="1B3350" w:color="auto" w:val="clear"/>
            <w:tcMar>
              <w:top w:type="dxa" w:w="70"/>
              <w:left w:type="dxa" w:w="110"/>
              <w:bottom w:type="dxa" w:w="70"/>
              <w:right w:type="dxa" w:w="110"/>
            </w:tcMar>
            <w:vAlign w:val="top"/>
          </w:tcPr>
          <w:p>
            <w:pPr>
              <w:spacing w:after="40"/>
            </w:pPr>
            <w:r>
              <w:rPr>
                <w:b/>
                <w:bCs/>
                <w:color w:val="FFFFFF"/>
                <w:sz w:val="19"/>
                <w:szCs w:val="19"/>
              </w:rPr>
              <w:t xml:space="preserve">Can the AI read it?</w:t>
            </w:r>
          </w:p>
        </w:tc>
        <w:tc>
          <w:tcPr>
            <w:tcW w:type="dxa" w:w="2636"/>
            <w:shd w:fill="1B3350" w:color="auto" w:val="clear"/>
            <w:tcMar>
              <w:top w:type="dxa" w:w="70"/>
              <w:left w:type="dxa" w:w="110"/>
              <w:bottom w:type="dxa" w:w="70"/>
              <w:right w:type="dxa" w:w="110"/>
            </w:tcMar>
            <w:vAlign w:val="top"/>
          </w:tcPr>
          <w:p>
            <w:pPr>
              <w:spacing w:after="40"/>
            </w:pPr>
            <w:r>
              <w:rPr>
                <w:b/>
                <w:bCs/>
                <w:color w:val="FFFFFF"/>
                <w:sz w:val="19"/>
                <w:szCs w:val="19"/>
              </w:rPr>
              <w:t xml:space="preserve">Locators</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PDF</w:t>
            </w:r>
          </w:p>
        </w:tc>
        <w:tc>
          <w:tcPr>
            <w:tcW w:type="dxa" w:w="4141"/>
            <w:tcMar>
              <w:top w:type="dxa" w:w="70"/>
              <w:left w:type="dxa" w:w="110"/>
              <w:bottom w:type="dxa" w:w="70"/>
              <w:right w:type="dxa" w:w="110"/>
            </w:tcMar>
            <w:vAlign w:val="top"/>
          </w:tcPr>
          <w:p>
            <w:pPr>
              <w:spacing w:after="40"/>
            </w:pPr>
            <w:r>
              <w:rPr>
                <w:b w:val="false"/>
                <w:bCs w:val="false"/>
                <w:sz w:val="19"/>
                <w:szCs w:val="19"/>
              </w:rPr>
              <w:t xml:space="preserve">Yes, up to 100 pages at a time; longer files by page range, or read whole in parts (up to 1,500 pages).</w:t>
            </w:r>
          </w:p>
        </w:tc>
        <w:tc>
          <w:tcPr>
            <w:tcW w:type="dxa" w:w="2636"/>
            <w:tcMar>
              <w:top w:type="dxa" w:w="70"/>
              <w:left w:type="dxa" w:w="110"/>
              <w:bottom w:type="dxa" w:w="70"/>
              <w:right w:type="dxa" w:w="110"/>
            </w:tcMar>
            <w:vAlign w:val="top"/>
          </w:tcPr>
          <w:p>
            <w:pPr>
              <w:spacing w:after="40"/>
            </w:pPr>
            <w:r>
              <w:rPr>
                <w:b w:val="false"/>
                <w:bCs w:val="false"/>
                <w:sz w:val="19"/>
                <w:szCs w:val="19"/>
              </w:rPr>
              <w:t xml:space="preserve">Original page and paragraph numbers.</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JPG, PNG (scan or photo)</w:t>
            </w:r>
          </w:p>
        </w:tc>
        <w:tc>
          <w:tcPr>
            <w:tcW w:type="dxa" w:w="4141"/>
            <w:shd w:fill="F8FAFB" w:color="auto" w:val="clear"/>
            <w:tcMar>
              <w:top w:type="dxa" w:w="70"/>
              <w:left w:type="dxa" w:w="110"/>
              <w:bottom w:type="dxa" w:w="70"/>
              <w:right w:type="dxa" w:w="110"/>
            </w:tcMar>
            <w:vAlign w:val="top"/>
          </w:tcPr>
          <w:p>
            <w:pPr>
              <w:spacing w:after="40"/>
            </w:pPr>
            <w:r>
              <w:rPr>
                <w:b w:val="false"/>
                <w:bCs w:val="false"/>
                <w:sz w:val="19"/>
                <w:szCs w:val="19"/>
              </w:rPr>
              <w:t xml:space="preserve">Yes. Very large photos are shrunk automatically.</w:t>
            </w:r>
          </w:p>
        </w:tc>
        <w:tc>
          <w:tcPr>
            <w:tcW w:type="dxa" w:w="2636"/>
            <w:shd w:fill="F8FAFB" w:color="auto" w:val="clear"/>
            <w:tcMar>
              <w:top w:type="dxa" w:w="70"/>
              <w:left w:type="dxa" w:w="110"/>
              <w:bottom w:type="dxa" w:w="70"/>
              <w:right w:type="dxa" w:w="110"/>
            </w:tcMar>
            <w:vAlign w:val="top"/>
          </w:tcPr>
          <w:p>
            <w:pPr>
              <w:spacing w:after="40"/>
            </w:pPr>
            <w:r>
              <w:rPr>
                <w:b w:val="false"/>
                <w:bCs w:val="false"/>
                <w:sz w:val="19"/>
                <w:szCs w:val="19"/>
              </w:rPr>
              <w:t xml:space="preserve">Whatever the image shows.</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Word (.docx), Excel (.xlsx), text, CSV</w:t>
            </w:r>
          </w:p>
        </w:tc>
        <w:tc>
          <w:tcPr>
            <w:tcW w:type="dxa" w:w="4141"/>
            <w:tcMar>
              <w:top w:type="dxa" w:w="70"/>
              <w:left w:type="dxa" w:w="110"/>
              <w:bottom w:type="dxa" w:w="70"/>
              <w:right w:type="dxa" w:w="110"/>
            </w:tcMar>
            <w:vAlign w:val="top"/>
          </w:tcPr>
          <w:p>
            <w:pPr>
              <w:spacing w:after="40"/>
            </w:pPr>
            <w:r>
              <w:rPr>
                <w:b w:val="false"/>
                <w:bCs w:val="false"/>
                <w:sz w:val="19"/>
                <w:szCs w:val="19"/>
              </w:rPr>
              <w:t xml:space="preserve">Yes, as text.</w:t>
            </w:r>
          </w:p>
        </w:tc>
        <w:tc>
          <w:tcPr>
            <w:tcW w:type="dxa" w:w="2636"/>
            <w:tcMar>
              <w:top w:type="dxa" w:w="70"/>
              <w:left w:type="dxa" w:w="110"/>
              <w:bottom w:type="dxa" w:w="70"/>
              <w:right w:type="dxa" w:w="110"/>
            </w:tcMar>
            <w:vAlign w:val="top"/>
          </w:tcPr>
          <w:p>
            <w:pPr>
              <w:spacing w:after="40"/>
            </w:pPr>
            <w:r>
              <w:rPr>
                <w:b w:val="false"/>
                <w:bCs w:val="false"/>
                <w:sz w:val="19"/>
                <w:szCs w:val="19"/>
              </w:rPr>
              <w:t xml:space="preserve">No page numbers: headings, paragraph or section numbers, sheet names.</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Audio or video</w:t>
            </w:r>
          </w:p>
        </w:tc>
        <w:tc>
          <w:tcPr>
            <w:tcW w:type="dxa" w:w="4141"/>
            <w:shd w:fill="F8FAFB" w:color="auto" w:val="clear"/>
            <w:tcMar>
              <w:top w:type="dxa" w:w="70"/>
              <w:left w:type="dxa" w:w="110"/>
              <w:bottom w:type="dxa" w:w="70"/>
              <w:right w:type="dxa" w:w="110"/>
            </w:tcMar>
            <w:vAlign w:val="top"/>
          </w:tcPr>
          <w:p>
            <w:pPr>
              <w:spacing w:after="40"/>
            </w:pPr>
            <w:r>
              <w:rPr>
                <w:b w:val="false"/>
                <w:bCs w:val="false"/>
                <w:sz w:val="19"/>
                <w:szCs w:val="19"/>
              </w:rPr>
              <w:t xml:space="preserve">No. Upload a transcript (PDF, Word or text) and keep the recording as the source reference.</w:t>
            </w:r>
          </w:p>
        </w:tc>
        <w:tc>
          <w:tcPr>
            <w:tcW w:type="dxa" w:w="2636"/>
            <w:shd w:fill="F8FAFB" w:color="auto" w:val="clear"/>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Old .doc or .xls</w:t>
            </w:r>
          </w:p>
        </w:tc>
        <w:tc>
          <w:tcPr>
            <w:tcW w:type="dxa" w:w="4141"/>
            <w:tcMar>
              <w:top w:type="dxa" w:w="70"/>
              <w:left w:type="dxa" w:w="110"/>
              <w:bottom w:type="dxa" w:w="70"/>
              <w:right w:type="dxa" w:w="110"/>
            </w:tcMar>
            <w:vAlign w:val="top"/>
          </w:tcPr>
          <w:p>
            <w:pPr>
              <w:spacing w:after="40"/>
            </w:pPr>
            <w:r>
              <w:rPr>
                <w:b w:val="false"/>
                <w:bCs w:val="false"/>
                <w:sz w:val="19"/>
                <w:szCs w:val="19"/>
              </w:rPr>
              <w:t xml:space="preserve">No. Save as a PDF or as .docx / .xlsx and upload that.</w:t>
            </w:r>
          </w:p>
        </w:tc>
        <w:tc>
          <w:tcPr>
            <w:tcW w:type="dxa" w:w="2636"/>
            <w:tcMar>
              <w:top w:type="dxa" w:w="70"/>
              <w:left w:type="dxa" w:w="110"/>
              <w:bottom w:type="dxa" w:w="70"/>
              <w:right w:type="dxa" w:w="110"/>
            </w:tcMar>
            <w:vAlign w:val="top"/>
          </w:tcPr>
          <w:p>
            <w:pPr>
              <w:spacing w:after="40"/>
            </w:pPr>
            <w:r>
              <w:rPr>
                <w:b w:val="false"/>
                <w:bCs w:val="false"/>
                <w:sz w:val="19"/>
                <w:szCs w:val="19"/>
              </w:rPr>
              <w:t xml:space="preserve">-</w:t>
            </w:r>
          </w:p>
        </w:tc>
      </w:tr>
    </w:tbl>
    <w:p>
      <w:pPr>
        <w:spacing w:after="120"/>
      </w:pPr>
    </w:p>
    <w:p>
      <w:pPr>
        <w:pStyle w:val="Heading3"/>
      </w:pPr>
      <w:r>
        <w:t xml:space="preserve">Coding a very long document</w:t>
      </w:r>
    </w:p>
    <w:p>
      <w:pPr>
        <w:spacing w:after="120" w:line="288"/>
      </w:pPr>
      <w:r>
        <w:t xml:space="preserve">The AI can take in 100 pages at a time. A report of several hundred or a thousand pages therefore needs one of two approaches:</w:t>
      </w:r>
    </w:p>
    <w:p>
      <w:pPr>
        <w:pStyle w:val="ListParagraph"/>
        <w:numPr>
          <w:ilvl w:val="0"/>
          <w:numId w:val="2"/>
        </w:numPr>
        <w:spacing w:after="60" w:line="276"/>
      </w:pPr>
      <w:r>
        <w:rPr>
          <w:b/>
          <w:bCs/>
        </w:rPr>
        <w:t xml:space="preserve">One record per chapter (recommended).</w:t>
      </w:r>
      <w:r>
        <w:t xml:space="preserve"> Make a record for each part you want coded, for example “NDS2 – Agriculture chapter”: upload the PDF once, then use </w:t>
      </w:r>
      <w:r>
        <w:rPr>
          <w:b/>
          <w:bCs/>
        </w:rPr>
        <w:t xml:space="preserve">Copy for another chapter</w:t>
      </w:r>
      <w:r>
        <w:t xml:space="preserve"> on that record for every further part, entering each part's page range (see “Coding another chapter of the same document” above). Review and submit each one. Each part gets its own DOC ID, its own coding and its own row in the Excel export.</w:t>
      </w:r>
    </w:p>
    <w:p>
      <w:pPr>
        <w:pStyle w:val="ListParagraph"/>
        <w:numPr>
          <w:ilvl w:val="0"/>
          <w:numId w:val="2"/>
        </w:numPr>
        <w:spacing w:after="60" w:line="276"/>
      </w:pPr>
      <w:r>
        <w:rPr>
          <w:b/>
          <w:bCs/>
        </w:rPr>
        <w:t xml:space="preserve">Read the whole document in parts.</w:t>
      </w:r>
      <w:r>
        <w:t xml:space="preserve"> Tick </w:t>
      </w:r>
      <w:r>
        <w:rPr>
          <w:b/>
          <w:bCs/>
        </w:rPr>
        <w:t xml:space="preserve">Read the whole document in parts</w:t>
      </w:r>
      <w:r>
        <w:t xml:space="preserve">. Leave </w:t>
      </w:r>
      <w:r>
        <w:rPr>
          <w:b/>
          <w:bCs/>
        </w:rPr>
        <w:t xml:space="preserve">Pages to read</w:t>
      </w:r>
      <w:r>
        <w:t xml:space="preserve"> empty for every page, or enter a longer range such as </w:t>
      </w:r>
      <w:r>
        <w:rPr>
          <w:rFonts w:ascii="Consolas" w:cs="Consolas" w:eastAsia="Consolas" w:hAnsi="Consolas"/>
          <w:b w:val="false"/>
          <w:bCs w:val="false"/>
          <w:color w:val="122238"/>
          <w:sz w:val="19"/>
          <w:szCs w:val="19"/>
        </w:rPr>
        <w:t xml:space="preserve">1-600</w:t>
      </w:r>
      <w:r>
        <w:t xml:space="preserve"> (up to 1,500 pages). The AI codes each part of about 80 pages, then combines them into one draft for the record. The screen tells you how many parts it will take and asks you to confirm, then shows progress (“Read part 3 of 8”, then “Combining the parts into one draft”). Expect roughly ten to thirty minutes, and you can leave the page.</w:t>
      </w:r>
    </w:p>
    <w:p>
      <w:pPr>
        <w:spacing w:after="6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A combined draft needs extra care</w:t>
            </w:r>
          </w:p>
          <w:p>
            <w:pPr>
              <w:spacing w:after="40" w:line="264"/>
            </w:pPr>
            <w:r>
              <w:rPr>
                <w:sz w:val="19"/>
                <w:szCs w:val="19"/>
              </w:rPr>
              <w:t xml:space="preserve">Because the ratings are judged across the parts rather than from every page at once, check the strength ratings (Sections D and H), the hypothesis codes (Section K) and the locators more carefully than for a single chapter. The draft states which pages it covers; confirm that this is the evidence unit you meant.</w:t>
            </w:r>
          </w:p>
          <w:p>
            <w:pPr>
              <w:spacing w:after="40" w:line="264"/>
            </w:pPr>
            <w:r>
              <w:rPr>
                <w:sz w:val="19"/>
                <w:szCs w:val="19"/>
              </w:rPr>
              <w:t xml:space="preserve">A whole-document read costs about the number of parts plus one times an ordinary draft. If any part fails, the whole draft fails and nothing is saved, so you never receive a coding that silently skipped pages.</w:t>
            </w:r>
          </w:p>
          <w:p>
            <w:pPr>
              <w:spacing w:after="40" w:line="264"/>
            </w:pPr>
            <w:r>
              <w:rPr>
                <w:sz w:val="19"/>
                <w:szCs w:val="19"/>
              </w:rPr>
              <w:t xml:space="preserve">Whether a whole-document coding is appropriate for a given source is a methodology decision for the PI; for a report that covers many topics, one record per chapter usually gives a sharper analysis.</w:t>
            </w:r>
          </w:p>
        </w:tc>
      </w:tr>
    </w:tbl>
    <w:p>
      <w:pPr>
        <w:pStyle w:val="Heading3"/>
      </w:pPr>
      <w:r>
        <w:t xml:space="preserve">If Auto-fill shows a message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3294"/>
        <w:gridCol w:w="3294"/>
      </w:tblGrid>
      <w:tr>
        <w:trPr>
          <w:tblHeader/>
        </w:trPr>
        <w:tc>
          <w:tcPr>
            <w:tcW w:type="dxa" w:w="2824"/>
            <w:shd w:fill="1B3350" w:color="auto" w:val="clear"/>
            <w:tcMar>
              <w:top w:type="dxa" w:w="70"/>
              <w:left w:type="dxa" w:w="110"/>
              <w:bottom w:type="dxa" w:w="70"/>
              <w:right w:type="dxa" w:w="110"/>
            </w:tcMar>
            <w:vAlign w:val="top"/>
          </w:tcPr>
          <w:p>
            <w:pPr>
              <w:spacing w:after="40"/>
            </w:pPr>
            <w:r>
              <w:rPr>
                <w:b/>
                <w:bCs/>
                <w:color w:val="FFFFFF"/>
                <w:sz w:val="19"/>
                <w:szCs w:val="19"/>
              </w:rPr>
              <w:t xml:space="preserve">You see</w:t>
            </w:r>
          </w:p>
        </w:tc>
        <w:tc>
          <w:tcPr>
            <w:tcW w:type="dxa" w:w="3294"/>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means</w:t>
            </w:r>
          </w:p>
        </w:tc>
        <w:tc>
          <w:tcPr>
            <w:tcW w:type="dxa" w:w="3294"/>
            <w:shd w:fill="1B3350" w:color="auto" w:val="clear"/>
            <w:tcMar>
              <w:top w:type="dxa" w:w="70"/>
              <w:left w:type="dxa" w:w="110"/>
              <w:bottom w:type="dxa" w:w="70"/>
              <w:right w:type="dxa" w:w="110"/>
            </w:tcMar>
            <w:vAlign w:val="top"/>
          </w:tcPr>
          <w:p>
            <w:pPr>
              <w:spacing w:after="40"/>
            </w:pPr>
            <w:r>
              <w:rPr>
                <w:b/>
                <w:bCs/>
                <w:color w:val="FFFFFF"/>
                <w:sz w:val="19"/>
                <w:szCs w:val="19"/>
              </w:rPr>
              <w:t xml:space="preserve">What to do</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“Pages to read (required)”, or “This PDF has N pages…”</w:t>
            </w:r>
          </w:p>
        </w:tc>
        <w:tc>
          <w:tcPr>
            <w:tcW w:type="dxa" w:w="3294"/>
            <w:tcMar>
              <w:top w:type="dxa" w:w="70"/>
              <w:left w:type="dxa" w:w="110"/>
              <w:bottom w:type="dxa" w:w="70"/>
              <w:right w:type="dxa" w:w="110"/>
            </w:tcMar>
            <w:vAlign w:val="top"/>
          </w:tcPr>
          <w:p>
            <w:pPr>
              <w:spacing w:after="40"/>
            </w:pPr>
            <w:r>
              <w:rPr>
                <w:b w:val="false"/>
                <w:bCs w:val="false"/>
                <w:sz w:val="19"/>
                <w:szCs w:val="19"/>
              </w:rPr>
              <w:t xml:space="preserve">The PDF is longer than 100 pages.</w:t>
            </w:r>
          </w:p>
        </w:tc>
        <w:tc>
          <w:tcPr>
            <w:tcW w:type="dxa" w:w="3294"/>
            <w:tcMar>
              <w:top w:type="dxa" w:w="70"/>
              <w:left w:type="dxa" w:w="110"/>
              <w:bottom w:type="dxa" w:w="70"/>
              <w:right w:type="dxa" w:w="110"/>
            </w:tcMar>
            <w:vAlign w:val="top"/>
          </w:tcPr>
          <w:p>
            <w:pPr>
              <w:spacing w:after="40"/>
            </w:pPr>
            <w:r>
              <w:rPr>
                <w:b w:val="false"/>
                <w:bCs w:val="false"/>
                <w:sz w:val="19"/>
                <w:szCs w:val="19"/>
              </w:rPr>
              <w:t xml:space="preserve">Enter a page range of up to 100 pages, or tick </w:t>
            </w:r>
            <w:r>
              <w:rPr>
                <w:b w:val="false"/>
                <w:bCs w:val="false"/>
                <w:sz w:val="19"/>
                <w:szCs w:val="19"/>
              </w:rPr>
              <w:t xml:space="preserve">Read the whole document in parts</w:t>
            </w:r>
            <w:r>
              <w:rPr>
                <w:b w:val="false"/>
                <w:bCs w:val="false"/>
                <w:sz w:val="19"/>
                <w:szCs w:val="19"/>
              </w:rPr>
              <w:t xml:space="preserve">.</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“…over the 1500-page ceiling…”</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The PDF is longer than the most that can be read in one draft.</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Enter a page range, or make one record per chapter.</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“Step 1 of 2…” or “Step 2 of 2…”</w:t>
            </w:r>
          </w:p>
        </w:tc>
        <w:tc>
          <w:tcPr>
            <w:tcW w:type="dxa" w:w="3294"/>
            <w:tcMar>
              <w:top w:type="dxa" w:w="70"/>
              <w:left w:type="dxa" w:w="110"/>
              <w:bottom w:type="dxa" w:w="70"/>
              <w:right w:type="dxa" w:w="110"/>
            </w:tcMar>
            <w:vAlign w:val="top"/>
          </w:tcPr>
          <w:p>
            <w:pPr>
              <w:spacing w:after="40"/>
            </w:pPr>
            <w:r>
              <w:rPr>
                <w:b w:val="false"/>
                <w:bCs w:val="false"/>
                <w:sz w:val="19"/>
                <w:szCs w:val="19"/>
              </w:rPr>
              <w:t xml:space="preserve">A record made by Quick add is being filled in and drafted. Nothing is wrong.</w:t>
            </w:r>
          </w:p>
        </w:tc>
        <w:tc>
          <w:tcPr>
            <w:tcW w:type="dxa" w:w="3294"/>
            <w:tcMar>
              <w:top w:type="dxa" w:w="70"/>
              <w:left w:type="dxa" w:w="110"/>
              <w:bottom w:type="dxa" w:w="70"/>
              <w:right w:type="dxa" w:w="110"/>
            </w:tcMar>
            <w:vAlign w:val="top"/>
          </w:tcPr>
          <w:p>
            <w:pPr>
              <w:spacing w:after="40"/>
            </w:pPr>
            <w:r>
              <w:rPr>
                <w:b w:val="false"/>
                <w:bCs w:val="false"/>
                <w:sz w:val="19"/>
                <w:szCs w:val="19"/>
              </w:rPr>
              <w:t xml:space="preserve">Wait, or leave the page and come back.</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A detail in Section A is wrong or blank</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The AI reads only what the document states, and can mistake a title or date.</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Correct it under </w:t>
            </w:r>
            <w:r>
              <w:rPr>
                <w:b w:val="false"/>
                <w:bCs w:val="false"/>
                <w:sz w:val="19"/>
                <w:szCs w:val="19"/>
              </w:rPr>
              <w:t xml:space="preserve">Record details</w:t>
            </w:r>
            <w:r>
              <w:rPr>
                <w:b w:val="false"/>
                <w:bCs w:val="false"/>
                <w:sz w:val="19"/>
                <w:szCs w:val="19"/>
              </w:rPr>
              <w:t xml:space="preserve"> on the record page; the draft and the submission use the corrected value.</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Quick add says the file can't be used</w:t>
            </w:r>
          </w:p>
        </w:tc>
        <w:tc>
          <w:tcPr>
            <w:tcW w:type="dxa" w:w="3294"/>
            <w:tcMar>
              <w:top w:type="dxa" w:w="70"/>
              <w:left w:type="dxa" w:w="110"/>
              <w:bottom w:type="dxa" w:w="70"/>
              <w:right w:type="dxa" w:w="110"/>
            </w:tcMar>
            <w:vAlign w:val="top"/>
          </w:tcPr>
          <w:p>
            <w:pPr>
              <w:spacing w:after="40"/>
            </w:pPr>
            <w:r>
              <w:rPr>
                <w:b w:val="false"/>
                <w:bCs w:val="false"/>
                <w:sz w:val="19"/>
                <w:szCs w:val="19"/>
              </w:rPr>
              <w:t xml:space="preserve">Unsupported type (for example audio), a damaged file, or a long PDF with no pages chosen.</w:t>
            </w:r>
          </w:p>
        </w:tc>
        <w:tc>
          <w:tcPr>
            <w:tcW w:type="dxa" w:w="3294"/>
            <w:tcMar>
              <w:top w:type="dxa" w:w="70"/>
              <w:left w:type="dxa" w:w="110"/>
              <w:bottom w:type="dxa" w:w="70"/>
              <w:right w:type="dxa" w:w="110"/>
            </w:tcMar>
            <w:vAlign w:val="top"/>
          </w:tcPr>
          <w:p>
            <w:pPr>
              <w:spacing w:after="40"/>
            </w:pPr>
            <w:r>
              <w:rPr>
                <w:b w:val="false"/>
                <w:bCs w:val="false"/>
                <w:sz w:val="19"/>
                <w:szCs w:val="19"/>
              </w:rPr>
              <w:t xml:space="preserve">Read the message: convert the file, enter a page range, or tick </w:t>
            </w:r>
            <w:r>
              <w:rPr>
                <w:b w:val="false"/>
                <w:bCs w:val="false"/>
                <w:sz w:val="19"/>
                <w:szCs w:val="19"/>
              </w:rPr>
              <w:t xml:space="preserve">Read the whole document in parts</w:t>
            </w:r>
            <w:r>
              <w:rPr>
                <w:b w:val="false"/>
                <w:bCs w:val="false"/>
                <w:sz w:val="19"/>
                <w:szCs w:val="19"/>
              </w:rPr>
              <w:t xml:space="preserve">. No record is created when this happens.</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“Reconcile the pre-interview profile first…” when accepting a questionnaire, or a KII's coding will not complete</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The case has a locked pre-interview profile with facts not yet verified with the respondent or not reconciled.</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Open the case (or KII record) → Interview sheet; verify every fact, and ask the coordinator to reconcile the corrected ones.</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“Read part 4 of 12” or “Combining the parts…”</w:t>
            </w:r>
          </w:p>
        </w:tc>
        <w:tc>
          <w:tcPr>
            <w:tcW w:type="dxa" w:w="3294"/>
            <w:tcMar>
              <w:top w:type="dxa" w:w="70"/>
              <w:left w:type="dxa" w:w="110"/>
              <w:bottom w:type="dxa" w:w="70"/>
              <w:right w:type="dxa" w:w="110"/>
            </w:tcMar>
            <w:vAlign w:val="top"/>
          </w:tcPr>
          <w:p>
            <w:pPr>
              <w:spacing w:after="40"/>
            </w:pPr>
            <w:r>
              <w:rPr>
                <w:b w:val="false"/>
                <w:bCs w:val="false"/>
                <w:sz w:val="19"/>
                <w:szCs w:val="19"/>
              </w:rPr>
              <w:t xml:space="preserve">A long document is being read in parts. Nothing is wrong.</w:t>
            </w:r>
          </w:p>
        </w:tc>
        <w:tc>
          <w:tcPr>
            <w:tcW w:type="dxa" w:w="3294"/>
            <w:tcMar>
              <w:top w:type="dxa" w:w="70"/>
              <w:left w:type="dxa" w:w="110"/>
              <w:bottom w:type="dxa" w:w="70"/>
              <w:right w:type="dxa" w:w="110"/>
            </w:tcMar>
            <w:vAlign w:val="top"/>
          </w:tcPr>
          <w:p>
            <w:pPr>
              <w:spacing w:after="40"/>
            </w:pPr>
            <w:r>
              <w:rPr>
                <w:b w:val="false"/>
                <w:bCs w:val="false"/>
                <w:sz w:val="19"/>
                <w:szCs w:val="19"/>
              </w:rPr>
              <w:t xml:space="preserve">Wait, or leave the page and come back.</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“The AI's answer was cut off…”</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The range was too big to answer in one go.</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Try a narrower range.</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“A draft is already being generated”</w:t>
            </w:r>
          </w:p>
        </w:tc>
        <w:tc>
          <w:tcPr>
            <w:tcW w:type="dxa" w:w="3294"/>
            <w:tcMar>
              <w:top w:type="dxa" w:w="70"/>
              <w:left w:type="dxa" w:w="110"/>
              <w:bottom w:type="dxa" w:w="70"/>
              <w:right w:type="dxa" w:w="110"/>
            </w:tcMar>
            <w:vAlign w:val="top"/>
          </w:tcPr>
          <w:p>
            <w:pPr>
              <w:spacing w:after="40"/>
            </w:pPr>
            <w:r>
              <w:rPr>
                <w:b w:val="false"/>
                <w:bCs w:val="false"/>
                <w:sz w:val="19"/>
                <w:szCs w:val="19"/>
              </w:rPr>
              <w:t xml:space="preserve">You or a colleague already started one.</w:t>
            </w:r>
          </w:p>
        </w:tc>
        <w:tc>
          <w:tcPr>
            <w:tcW w:type="dxa" w:w="3294"/>
            <w:tcMar>
              <w:top w:type="dxa" w:w="70"/>
              <w:left w:type="dxa" w:w="110"/>
              <w:bottom w:type="dxa" w:w="70"/>
              <w:right w:type="dxa" w:w="110"/>
            </w:tcMar>
            <w:vAlign w:val="top"/>
          </w:tcPr>
          <w:p>
            <w:pPr>
              <w:spacing w:after="40"/>
            </w:pPr>
            <w:r>
              <w:rPr>
                <w:b w:val="false"/>
                <w:bCs w:val="false"/>
                <w:sz w:val="19"/>
                <w:szCs w:val="19"/>
              </w:rPr>
              <w:t xml:space="preserve">Wait for it to finish (about five minutes; up to half an hour for a document read in parts).</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“The last attempt failed: …”</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The AI request did not complete.</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Select </w:t>
            </w:r>
            <w:r>
              <w:rPr>
                <w:b w:val="false"/>
                <w:bCs w:val="false"/>
                <w:sz w:val="19"/>
                <w:szCs w:val="19"/>
              </w:rPr>
              <w:t xml:space="preserve">Generate AI draft</w:t>
            </w:r>
            <w:r>
              <w:rPr>
                <w:b w:val="false"/>
                <w:bCs w:val="false"/>
                <w:sz w:val="19"/>
                <w:szCs w:val="19"/>
              </w:rPr>
              <w:t xml:space="preserve"> again. If it keeps failing, tell the administrator the message.</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“The AI account has run out of credit…”</w:t>
            </w:r>
          </w:p>
        </w:tc>
        <w:tc>
          <w:tcPr>
            <w:tcW w:type="dxa" w:w="3294"/>
            <w:tcMar>
              <w:top w:type="dxa" w:w="70"/>
              <w:left w:type="dxa" w:w="110"/>
              <w:bottom w:type="dxa" w:w="70"/>
              <w:right w:type="dxa" w:w="110"/>
            </w:tcMar>
            <w:vAlign w:val="top"/>
          </w:tcPr>
          <w:p>
            <w:pPr>
              <w:spacing w:after="40"/>
            </w:pPr>
            <w:r>
              <w:rPr>
                <w:b w:val="false"/>
                <w:bCs w:val="false"/>
                <w:sz w:val="19"/>
                <w:szCs w:val="19"/>
              </w:rPr>
              <w:t xml:space="preserve">The study's AI account has no funds left.</w:t>
            </w:r>
          </w:p>
        </w:tc>
        <w:tc>
          <w:tcPr>
            <w:tcW w:type="dxa" w:w="3294"/>
            <w:tcMar>
              <w:top w:type="dxa" w:w="70"/>
              <w:left w:type="dxa" w:w="110"/>
              <w:bottom w:type="dxa" w:w="70"/>
              <w:right w:type="dxa" w:w="110"/>
            </w:tcMar>
            <w:vAlign w:val="top"/>
          </w:tcPr>
          <w:p>
            <w:pPr>
              <w:spacing w:after="40"/>
            </w:pPr>
            <w:r>
              <w:rPr>
                <w:b w:val="false"/>
                <w:bCs w:val="false"/>
                <w:sz w:val="19"/>
                <w:szCs w:val="19"/>
              </w:rPr>
              <w:t xml:space="preserve">Tell the administrator, who adds credit on the AI provider's billing page (Meta, for the Muse model); nothing else to do on this screen.</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No </w:t>
            </w:r>
            <w:r>
              <w:rPr>
                <w:b w:val="false"/>
                <w:bCs w:val="false"/>
                <w:sz w:val="19"/>
                <w:szCs w:val="19"/>
              </w:rPr>
              <w:t xml:space="preserve">Auto-fill</w:t>
            </w:r>
            <w:r>
              <w:rPr>
                <w:b w:val="false"/>
                <w:bCs w:val="false"/>
                <w:sz w:val="19"/>
                <w:szCs w:val="19"/>
              </w:rPr>
              <w:t xml:space="preserve"> button</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AI drafting has not been switched on, or there is no source file yet.</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Attach the file; otherwise ask the administrator.</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Submit</w:t>
            </w:r>
            <w:r>
              <w:rPr>
                <w:b w:val="false"/>
                <w:bCs w:val="false"/>
                <w:sz w:val="19"/>
                <w:szCs w:val="19"/>
              </w:rPr>
              <w:t xml:space="preserve"> is refused by KoboToolbox</w:t>
            </w:r>
          </w:p>
        </w:tc>
        <w:tc>
          <w:tcPr>
            <w:tcW w:type="dxa" w:w="3294"/>
            <w:tcMar>
              <w:top w:type="dxa" w:w="70"/>
              <w:left w:type="dxa" w:w="110"/>
              <w:bottom w:type="dxa" w:w="70"/>
              <w:right w:type="dxa" w:w="110"/>
            </w:tcMar>
            <w:vAlign w:val="top"/>
          </w:tcPr>
          <w:p>
            <w:pPr>
              <w:spacing w:after="40"/>
            </w:pPr>
            <w:r>
              <w:rPr>
                <w:b w:val="false"/>
                <w:bCs w:val="false"/>
                <w:sz w:val="19"/>
                <w:szCs w:val="19"/>
              </w:rPr>
              <w:t xml:space="preserve">KoboToolbox did not accept the record.</w:t>
            </w:r>
          </w:p>
        </w:tc>
        <w:tc>
          <w:tcPr>
            <w:tcW w:type="dxa" w:w="3294"/>
            <w:tcMar>
              <w:top w:type="dxa" w:w="70"/>
              <w:left w:type="dxa" w:w="110"/>
              <w:bottom w:type="dxa" w:w="70"/>
              <w:right w:type="dxa" w:w="110"/>
            </w:tcMar>
            <w:vAlign w:val="top"/>
          </w:tcPr>
          <w:p>
            <w:pPr>
              <w:spacing w:after="40"/>
            </w:pPr>
            <w:r>
              <w:rPr>
                <w:b w:val="false"/>
                <w:bCs w:val="false"/>
                <w:sz w:val="19"/>
                <w:szCs w:val="19"/>
              </w:rPr>
              <w:t xml:space="preserve">Tell the administrator; your draft is kept.</w:t>
            </w:r>
          </w:p>
        </w:tc>
      </w:tr>
    </w:tbl>
    <w:p>
      <w:pPr>
        <w:spacing w:after="12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Cost</w:t>
            </w:r>
          </w:p>
          <w:p>
            <w:pPr>
              <w:spacing w:after="40" w:line="264"/>
            </w:pPr>
            <w:r>
              <w:rPr>
                <w:sz w:val="19"/>
                <w:szCs w:val="19"/>
              </w:rPr>
              <w:t xml:space="preserve">Each draft is a paid request on the study's AI account. A short chapter costs little; a full 100 pages costs several times more; a whole document read in parts costs about the number of parts plus one times an ordinary draft. Choose the pages you need.</w:t>
            </w:r>
          </w:p>
        </w:tc>
      </w:tr>
    </w:tbl>
    <w:p>
      <w:pPr>
        <w:pStyle w:val="Heading2"/>
      </w:pPr>
      <w:r>
        <w:t xml:space="preserve">7.18 Logging costs (PI, FC)</w:t>
      </w:r>
    </w:p>
    <w:p>
      <w:pPr>
        <w:pStyle w:val="ListParagraph"/>
        <w:numPr>
          <w:ilvl w:val="0"/>
          <w:numId w:val="37"/>
        </w:numPr>
        <w:spacing w:after="80" w:line="276"/>
      </w:pPr>
      <w:r>
        <w:t xml:space="preserve">Select </w:t>
      </w:r>
      <w:r>
        <w:rPr>
          <w:b/>
          <w:bCs/>
        </w:rPr>
        <w:t xml:space="preserve">Cost</w:t>
      </w:r>
      <w:r>
        <w:t xml:space="preserve">. The top shows total spend, cost per QA-passed questionnaire and cost per completed KII, with spend by category.</w:t>
      </w:r>
    </w:p>
    <w:p>
      <w:pPr>
        <w:keepNext/>
        <w:spacing w:after="40" w:before="80"/>
        <w:jc w:val="center"/>
      </w:pPr>
      <w:r>
        <w:drawing>
          <wp:inline distT="0" distB="0" distL="0" distR="0">
            <wp:extent cx="5334000" cy="3752850"/>
            <wp:effectExtent t="0" r="0" b="0" l="0"/>
            <wp:docPr id="1" name="adm_cost.jpg" descr="Cost Dashboard and the Log a cost event form." title="Cost Dashboard and the Log a cost ev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34000" cy="3752850"/>
                    </a:xfrm>
                    <a:prstGeom prst="rect">
                      <a:avLst/>
                    </a:prstGeom>
                  </pic:spPr>
                </pic:pic>
              </a:graphicData>
            </a:graphic>
          </wp:inline>
        </w:drawing>
      </w:r>
    </w:p>
    <w:p>
      <w:pPr>
        <w:spacing w:after="180"/>
        <w:jc w:val="center"/>
      </w:pPr>
      <w:r>
        <w:rPr>
          <w:b/>
          <w:bCs/>
          <w:color w:val="5B6670"/>
          <w:sz w:val="17"/>
          <w:szCs w:val="17"/>
        </w:rPr>
        <w:t xml:space="preserve">Figure 56. </w:t>
      </w:r>
      <w:r>
        <w:rPr>
          <w:i/>
          <w:iCs/>
          <w:color w:val="5B6670"/>
          <w:sz w:val="17"/>
          <w:szCs w:val="17"/>
        </w:rPr>
        <w:t xml:space="preserve">Cost Dashboard and the Log a cost event form.</w:t>
      </w:r>
    </w:p>
    <w:p>
      <w:pPr>
        <w:pStyle w:val="ListParagraph"/>
        <w:numPr>
          <w:ilvl w:val="0"/>
          <w:numId w:val="37"/>
        </w:numPr>
        <w:spacing w:after="80" w:line="276"/>
      </w:pPr>
      <w:r>
        <w:t xml:space="preserve">In </w:t>
      </w:r>
      <w:r>
        <w:rPr>
          <w:b/>
          <w:bCs/>
        </w:rPr>
        <w:t xml:space="preserve">Log a cost event</w:t>
      </w:r>
      <w:r>
        <w:t xml:space="preserve">, enter the date, choose the category (RA_ALLOWANCE, AIRTIME_DATA, TRANSPORT, ACCOMMODATION, HOSTING, MESSAGING, OTHER) and the amount in USD.</w:t>
      </w:r>
    </w:p>
    <w:p>
      <w:pPr>
        <w:pStyle w:val="ListParagraph"/>
        <w:numPr>
          <w:ilvl w:val="0"/>
          <w:numId w:val="37"/>
        </w:numPr>
        <w:spacing w:after="80" w:line="276"/>
      </w:pPr>
      <w:r>
        <w:t xml:space="preserve">Select </w:t>
      </w:r>
      <w:r>
        <w:rPr>
          <w:b/>
          <w:bCs/>
        </w:rPr>
        <w:t xml:space="preserve">Log cost</w:t>
      </w:r>
      <w:r>
        <w:t xml:space="preserve">. Keep the receipt as the study's finance rules require.</w:t>
      </w:r>
    </w:p>
    <w:p>
      <w:pPr>
        <w:spacing w:after="80"/>
      </w:pPr>
    </w:p>
    <w:p>
      <w:pPr>
        <w:pStyle w:val="Heading2"/>
      </w:pPr>
      <w:r>
        <w:t xml:space="preserve">7.19 Downloading data (PI, FC, Analyst)</w:t>
      </w:r>
    </w:p>
    <w:p>
      <w:pPr>
        <w:keepNext/>
        <w:spacing w:after="40" w:before="80"/>
        <w:jc w:val="center"/>
      </w:pPr>
      <w:r>
        <w:drawing>
          <wp:inline distT="0" distB="0" distL="0" distR="0">
            <wp:extent cx="5715000" cy="3657600"/>
            <wp:effectExtent t="0" r="0" b="0" l="0"/>
            <wp:docPr id="1" name="adm_export.jpg" descr="Data Export." title="Data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657600"/>
                    </a:xfrm>
                    <a:prstGeom prst="rect">
                      <a:avLst/>
                    </a:prstGeom>
                  </pic:spPr>
                </pic:pic>
              </a:graphicData>
            </a:graphic>
          </wp:inline>
        </w:drawing>
      </w:r>
    </w:p>
    <w:p>
      <w:pPr>
        <w:spacing w:after="180"/>
        <w:jc w:val="center"/>
      </w:pPr>
      <w:r>
        <w:rPr>
          <w:b/>
          <w:bCs/>
          <w:color w:val="5B6670"/>
          <w:sz w:val="17"/>
          <w:szCs w:val="17"/>
        </w:rPr>
        <w:t xml:space="preserve">Figure 57. </w:t>
      </w:r>
      <w:r>
        <w:rPr>
          <w:i/>
          <w:iCs/>
          <w:color w:val="5B6670"/>
          <w:sz w:val="17"/>
          <w:szCs w:val="17"/>
        </w:rPr>
        <w:t xml:space="preserve">Data Export.</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541"/>
        <w:gridCol w:w="4988"/>
        <w:gridCol w:w="1883"/>
      </w:tblGrid>
      <w:tr>
        <w:trPr>
          <w:tblHeader/>
        </w:trPr>
        <w:tc>
          <w:tcPr>
            <w:tcW w:type="dxa" w:w="2541"/>
            <w:shd w:fill="1B3350" w:color="auto" w:val="clear"/>
            <w:tcMar>
              <w:top w:type="dxa" w:w="70"/>
              <w:left w:type="dxa" w:w="110"/>
              <w:bottom w:type="dxa" w:w="70"/>
              <w:right w:type="dxa" w:w="110"/>
            </w:tcMar>
            <w:vAlign w:val="top"/>
          </w:tcPr>
          <w:p>
            <w:pPr>
              <w:spacing w:after="40"/>
            </w:pPr>
            <w:r>
              <w:rPr>
                <w:b/>
                <w:bCs/>
                <w:color w:val="FFFFFF"/>
                <w:sz w:val="19"/>
                <w:szCs w:val="19"/>
              </w:rPr>
              <w:t xml:space="preserve">Download</w:t>
            </w:r>
          </w:p>
        </w:tc>
        <w:tc>
          <w:tcPr>
            <w:tcW w:type="dxa" w:w="4988"/>
            <w:shd w:fill="1B3350" w:color="auto" w:val="clear"/>
            <w:tcMar>
              <w:top w:type="dxa" w:w="70"/>
              <w:left w:type="dxa" w:w="110"/>
              <w:bottom w:type="dxa" w:w="70"/>
              <w:right w:type="dxa" w:w="110"/>
            </w:tcMar>
            <w:vAlign w:val="top"/>
          </w:tcPr>
          <w:p>
            <w:pPr>
              <w:spacing w:after="40"/>
            </w:pPr>
            <w:r>
              <w:rPr>
                <w:b/>
                <w:bCs/>
                <w:color w:val="FFFFFF"/>
                <w:sz w:val="19"/>
                <w:szCs w:val="19"/>
              </w:rPr>
              <w:t xml:space="preserve">Contains</w:t>
            </w:r>
          </w:p>
        </w:tc>
        <w:tc>
          <w:tcPr>
            <w:tcW w:type="dxa" w:w="1883"/>
            <w:shd w:fill="1B3350" w:color="auto" w:val="clear"/>
            <w:tcMar>
              <w:top w:type="dxa" w:w="70"/>
              <w:left w:type="dxa" w:w="110"/>
              <w:bottom w:type="dxa" w:w="70"/>
              <w:right w:type="dxa" w:w="110"/>
            </w:tcMar>
            <w:vAlign w:val="top"/>
          </w:tcPr>
          <w:p>
            <w:pPr>
              <w:spacing w:after="40"/>
            </w:pPr>
            <w:r>
              <w:rPr>
                <w:b/>
                <w:bCs/>
                <w:color w:val="FFFFFF"/>
                <w:sz w:val="19"/>
                <w:szCs w:val="19"/>
              </w:rPr>
              <w:t xml:space="preserve">Who</w:t>
            </w:r>
          </w:p>
        </w:tc>
      </w:tr>
      <w:tr>
        <w:trPr>
          <w:cantSplit/>
        </w:trPr>
        <w:tc>
          <w:tcPr>
            <w:tcW w:type="dxa" w:w="2541"/>
            <w:tcMar>
              <w:top w:type="dxa" w:w="70"/>
              <w:left w:type="dxa" w:w="110"/>
              <w:bottom w:type="dxa" w:w="70"/>
              <w:right w:type="dxa" w:w="110"/>
            </w:tcMar>
            <w:vAlign w:val="top"/>
          </w:tcPr>
          <w:p>
            <w:pPr>
              <w:spacing w:after="40"/>
            </w:pPr>
            <w:r>
              <w:rPr>
                <w:b w:val="false"/>
                <w:bCs w:val="false"/>
                <w:sz w:val="19"/>
                <w:szCs w:val="19"/>
              </w:rPr>
              <w:t xml:space="preserve">De-identified analysis export (CSV)</w:t>
            </w:r>
          </w:p>
        </w:tc>
        <w:tc>
          <w:tcPr>
            <w:tcW w:type="dxa" w:w="4988"/>
            <w:tcMar>
              <w:top w:type="dxa" w:w="70"/>
              <w:left w:type="dxa" w:w="110"/>
              <w:bottom w:type="dxa" w:w="70"/>
              <w:right w:type="dxa" w:w="110"/>
            </w:tcMar>
            <w:vAlign w:val="top"/>
          </w:tcPr>
          <w:p>
            <w:pPr>
              <w:spacing w:after="40"/>
            </w:pPr>
            <w:r>
              <w:rPr>
                <w:b w:val="false"/>
                <w:bCs w:val="false"/>
                <w:sz w:val="19"/>
                <w:szCs w:val="19"/>
              </w:rPr>
              <w:t xml:space="preserve">One row per questionnaire: sample_id, master_id, province, actor_family, value_chain, size_class, administration_mode, qa_status, submitted_at, completion_seconds. No names or contact details. Participants who withdrew are left out.</w:t>
            </w:r>
          </w:p>
        </w:tc>
        <w:tc>
          <w:tcPr>
            <w:tcW w:type="dxa" w:w="1883"/>
            <w:tcMar>
              <w:top w:type="dxa" w:w="70"/>
              <w:left w:type="dxa" w:w="110"/>
              <w:bottom w:type="dxa" w:w="70"/>
              <w:right w:type="dxa" w:w="110"/>
            </w:tcMar>
            <w:vAlign w:val="top"/>
          </w:tcPr>
          <w:p>
            <w:pPr>
              <w:spacing w:after="40"/>
            </w:pPr>
            <w:r>
              <w:rPr>
                <w:b w:val="false"/>
                <w:bCs w:val="false"/>
                <w:sz w:val="19"/>
                <w:szCs w:val="19"/>
              </w:rPr>
              <w:t xml:space="preserve">PI, Field Coordinator, Analyst</w:t>
            </w:r>
          </w:p>
        </w:tc>
      </w:tr>
      <w:tr>
        <w:trPr>
          <w:cantSplit/>
        </w:trPr>
        <w:tc>
          <w:tcPr>
            <w:tcW w:type="dxa" w:w="2541"/>
            <w:shd w:fill="F8FAFB" w:color="auto" w:val="clear"/>
            <w:tcMar>
              <w:top w:type="dxa" w:w="70"/>
              <w:left w:type="dxa" w:w="110"/>
              <w:bottom w:type="dxa" w:w="70"/>
              <w:right w:type="dxa" w:w="110"/>
            </w:tcMar>
            <w:vAlign w:val="top"/>
          </w:tcPr>
          <w:p>
            <w:pPr>
              <w:spacing w:after="40"/>
            </w:pPr>
            <w:r>
              <w:rPr>
                <w:b w:val="false"/>
                <w:bCs w:val="false"/>
                <w:sz w:val="19"/>
                <w:szCs w:val="19"/>
              </w:rPr>
              <w:t xml:space="preserve">Full operational export (CSV)</w:t>
            </w:r>
          </w:p>
        </w:tc>
        <w:tc>
          <w:tcPr>
            <w:tcW w:type="dxa" w:w="4988"/>
            <w:shd w:fill="F8FAFB" w:color="auto" w:val="clear"/>
            <w:tcMar>
              <w:top w:type="dxa" w:w="70"/>
              <w:left w:type="dxa" w:w="110"/>
              <w:bottom w:type="dxa" w:w="70"/>
              <w:right w:type="dxa" w:w="110"/>
            </w:tcMar>
            <w:vAlign w:val="top"/>
          </w:tcPr>
          <w:p>
            <w:pPr>
              <w:spacing w:after="40"/>
            </w:pPr>
            <w:r>
              <w:rPr>
                <w:b w:val="false"/>
                <w:bCs w:val="false"/>
                <w:sz w:val="19"/>
                <w:szCs w:val="19"/>
              </w:rPr>
              <w:t xml:space="preserve">Every questionnaire, including withdrawn ones (consent_withdrawn), plus organisation name, respondent name, phone, email and gatekeeper details. Internal operations only.</w:t>
            </w:r>
          </w:p>
        </w:tc>
        <w:tc>
          <w:tcPr>
            <w:tcW w:type="dxa" w:w="1883"/>
            <w:shd w:fill="F8FAFB" w:color="auto" w:val="clear"/>
            <w:tcMar>
              <w:top w:type="dxa" w:w="70"/>
              <w:left w:type="dxa" w:w="110"/>
              <w:bottom w:type="dxa" w:w="70"/>
              <w:right w:type="dxa" w:w="110"/>
            </w:tcMar>
            <w:vAlign w:val="top"/>
          </w:tcPr>
          <w:p>
            <w:pPr>
              <w:spacing w:after="40"/>
            </w:pPr>
            <w:r>
              <w:rPr>
                <w:b w:val="false"/>
                <w:bCs w:val="false"/>
                <w:sz w:val="19"/>
                <w:szCs w:val="19"/>
              </w:rPr>
              <w:t xml:space="preserve">PI only</w:t>
            </w:r>
          </w:p>
        </w:tc>
      </w:tr>
      <w:tr>
        <w:trPr>
          <w:cantSplit/>
        </w:trPr>
        <w:tc>
          <w:tcPr>
            <w:tcW w:type="dxa" w:w="2541"/>
            <w:tcMar>
              <w:top w:type="dxa" w:w="70"/>
              <w:left w:type="dxa" w:w="110"/>
              <w:bottom w:type="dxa" w:w="70"/>
              <w:right w:type="dxa" w:w="110"/>
            </w:tcMar>
            <w:vAlign w:val="top"/>
          </w:tcPr>
          <w:p>
            <w:pPr>
              <w:spacing w:after="40"/>
            </w:pPr>
            <w:r>
              <w:rPr>
                <w:b w:val="false"/>
                <w:bCs w:val="false"/>
                <w:sz w:val="19"/>
                <w:szCs w:val="19"/>
              </w:rPr>
              <w:t xml:space="preserve">Respondents and outreach (Excel)</w:t>
            </w:r>
          </w:p>
        </w:tc>
        <w:tc>
          <w:tcPr>
            <w:tcW w:type="dxa" w:w="4988"/>
            <w:tcMar>
              <w:top w:type="dxa" w:w="70"/>
              <w:left w:type="dxa" w:w="110"/>
              <w:bottom w:type="dxa" w:w="70"/>
              <w:right w:type="dxa" w:w="110"/>
            </w:tcMar>
            <w:vAlign w:val="top"/>
          </w:tcPr>
          <w:p>
            <w:pPr>
              <w:spacing w:after="40"/>
            </w:pPr>
            <w:r>
              <w:rPr>
                <w:b w:val="false"/>
                <w:bCs w:val="false"/>
                <w:sz w:val="19"/>
                <w:szCs w:val="19"/>
              </w:rPr>
              <w:t xml:space="preserve">Everyone the study can contact or has contacted, not only those who submitted. Sheet 1: every Main-400 respondent (one row per person, and a row for a case with nobody recorded yet) with phone, WhatsApp, email, gatekeeper, the latest invitation (channel, date, who sent it, status, whether the portal emailed it), reminders marked as sent and the last contact attempt. Sheet 2: every KII informant with contact details and latest invitation. Sheet 3: a log of every invitation ever sent. A WhatsApp invitation is recorded when it is created; WhatsApp does not tell the portal whether it was delivered or read.</w:t>
            </w:r>
          </w:p>
        </w:tc>
        <w:tc>
          <w:tcPr>
            <w:tcW w:type="dxa" w:w="1883"/>
            <w:tcMar>
              <w:top w:type="dxa" w:w="70"/>
              <w:left w:type="dxa" w:w="110"/>
              <w:bottom w:type="dxa" w:w="70"/>
              <w:right w:type="dxa" w:w="110"/>
            </w:tcMar>
            <w:vAlign w:val="top"/>
          </w:tcPr>
          <w:p>
            <w:pPr>
              <w:spacing w:after="40"/>
            </w:pPr>
            <w:r>
              <w:rPr>
                <w:b w:val="false"/>
                <w:bCs w:val="false"/>
                <w:sz w:val="19"/>
                <w:szCs w:val="19"/>
              </w:rPr>
              <w:t xml:space="preserve">PI only</w:t>
            </w:r>
          </w:p>
        </w:tc>
      </w:tr>
      <w:tr>
        <w:trPr>
          <w:cantSplit/>
        </w:trPr>
        <w:tc>
          <w:tcPr>
            <w:tcW w:type="dxa" w:w="2541"/>
            <w:shd w:fill="F8FAFB" w:color="auto" w:val="clear"/>
            <w:tcMar>
              <w:top w:type="dxa" w:w="70"/>
              <w:left w:type="dxa" w:w="110"/>
              <w:bottom w:type="dxa" w:w="70"/>
              <w:right w:type="dxa" w:w="110"/>
            </w:tcMar>
            <w:vAlign w:val="top"/>
          </w:tcPr>
          <w:p>
            <w:pPr>
              <w:spacing w:after="40"/>
            </w:pPr>
            <w:r>
              <w:rPr>
                <w:b w:val="false"/>
                <w:bCs w:val="false"/>
                <w:sz w:val="19"/>
                <w:szCs w:val="19"/>
              </w:rPr>
              <w:t xml:space="preserve">KoboToolbox data: Excel workbook</w:t>
            </w:r>
          </w:p>
        </w:tc>
        <w:tc>
          <w:tcPr>
            <w:tcW w:type="dxa" w:w="4988"/>
            <w:shd w:fill="F8FAFB" w:color="auto" w:val="clear"/>
            <w:tcMar>
              <w:top w:type="dxa" w:w="70"/>
              <w:left w:type="dxa" w:w="110"/>
              <w:bottom w:type="dxa" w:w="70"/>
              <w:right w:type="dxa" w:w="110"/>
            </w:tcMar>
            <w:vAlign w:val="top"/>
          </w:tcPr>
          <w:p>
            <w:pPr>
              <w:spacing w:after="40"/>
            </w:pPr>
            <w:r>
              <w:rPr>
                <w:b w:val="false"/>
                <w:bCs w:val="false"/>
                <w:sz w:val="19"/>
                <w:szCs w:val="19"/>
              </w:rPr>
              <w:t xml:space="preserve">Every submission's answers for one form: data_codes (codes for SPSS/Stata/R), data_labels, a sheet per repeat group, the questions dictionary, the choices lists, and for the questionnaire the matched case, QA status, withdrawal flag and workflow status.</w:t>
            </w:r>
          </w:p>
        </w:tc>
        <w:tc>
          <w:tcPr>
            <w:tcW w:type="dxa" w:w="1883"/>
            <w:shd w:fill="F8FAFB" w:color="auto" w:val="clear"/>
            <w:tcMar>
              <w:top w:type="dxa" w:w="70"/>
              <w:left w:type="dxa" w:w="110"/>
              <w:bottom w:type="dxa" w:w="70"/>
              <w:right w:type="dxa" w:w="110"/>
            </w:tcMar>
            <w:vAlign w:val="top"/>
          </w:tcPr>
          <w:p>
            <w:pPr>
              <w:spacing w:after="40"/>
            </w:pPr>
            <w:r>
              <w:rPr>
                <w:b w:val="false"/>
                <w:bCs w:val="false"/>
                <w:sz w:val="19"/>
                <w:szCs w:val="19"/>
              </w:rPr>
              <w:t xml:space="preserve">PI only</w:t>
            </w:r>
          </w:p>
        </w:tc>
      </w:tr>
      <w:tr>
        <w:trPr>
          <w:cantSplit/>
        </w:trPr>
        <w:tc>
          <w:tcPr>
            <w:tcW w:type="dxa" w:w="2541"/>
            <w:tcMar>
              <w:top w:type="dxa" w:w="70"/>
              <w:left w:type="dxa" w:w="110"/>
              <w:bottom w:type="dxa" w:w="70"/>
              <w:right w:type="dxa" w:w="110"/>
            </w:tcMar>
            <w:vAlign w:val="top"/>
          </w:tcPr>
          <w:p>
            <w:pPr>
              <w:spacing w:after="40"/>
            </w:pPr>
            <w:r>
              <w:rPr>
                <w:b w:val="false"/>
                <w:bCs w:val="false"/>
                <w:sz w:val="19"/>
                <w:szCs w:val="19"/>
              </w:rPr>
              <w:t xml:space="preserve">KoboToolbox data: All completed forms (PDF ZIP)</w:t>
            </w:r>
          </w:p>
        </w:tc>
        <w:tc>
          <w:tcPr>
            <w:tcW w:type="dxa" w:w="4988"/>
            <w:tcMar>
              <w:top w:type="dxa" w:w="70"/>
              <w:left w:type="dxa" w:w="110"/>
              <w:bottom w:type="dxa" w:w="70"/>
              <w:right w:type="dxa" w:w="110"/>
            </w:tcMar>
            <w:vAlign w:val="top"/>
          </w:tcPr>
          <w:p>
            <w:pPr>
              <w:spacing w:after="40"/>
            </w:pPr>
            <w:r>
              <w:rPr>
                <w:b w:val="false"/>
                <w:bCs w:val="false"/>
                <w:sz w:val="19"/>
                <w:szCs w:val="19"/>
              </w:rPr>
              <w:t xml:space="preserve">Every completed form as a PDF, with manifest.csv listing file, record, KoboToolbox id and submission time.</w:t>
            </w:r>
          </w:p>
        </w:tc>
        <w:tc>
          <w:tcPr>
            <w:tcW w:type="dxa" w:w="1883"/>
            <w:tcMar>
              <w:top w:type="dxa" w:w="70"/>
              <w:left w:type="dxa" w:w="110"/>
              <w:bottom w:type="dxa" w:w="70"/>
              <w:right w:type="dxa" w:w="110"/>
            </w:tcMar>
            <w:vAlign w:val="top"/>
          </w:tcPr>
          <w:p>
            <w:pPr>
              <w:spacing w:after="40"/>
            </w:pPr>
            <w:r>
              <w:rPr>
                <w:b w:val="false"/>
                <w:bCs w:val="false"/>
                <w:sz w:val="19"/>
                <w:szCs w:val="19"/>
              </w:rPr>
              <w:t xml:space="preserve">PI only</w:t>
            </w:r>
          </w:p>
        </w:tc>
      </w:tr>
      <w:tr>
        <w:trPr>
          <w:cantSplit/>
        </w:trPr>
        <w:tc>
          <w:tcPr>
            <w:tcW w:type="dxa" w:w="2541"/>
            <w:shd w:fill="F8FAFB" w:color="auto" w:val="clear"/>
            <w:tcMar>
              <w:top w:type="dxa" w:w="70"/>
              <w:left w:type="dxa" w:w="110"/>
              <w:bottom w:type="dxa" w:w="70"/>
              <w:right w:type="dxa" w:w="110"/>
            </w:tcMar>
            <w:vAlign w:val="top"/>
          </w:tcPr>
          <w:p>
            <w:pPr>
              <w:spacing w:after="40"/>
            </w:pPr>
            <w:r>
              <w:rPr>
                <w:b w:val="false"/>
                <w:bCs w:val="false"/>
                <w:sz w:val="19"/>
                <w:szCs w:val="19"/>
              </w:rPr>
              <w:t xml:space="preserve">Analysis packs: SmartPLS 4 and ATLAS.ti</w:t>
            </w:r>
          </w:p>
        </w:tc>
        <w:tc>
          <w:tcPr>
            <w:tcW w:type="dxa" w:w="4988"/>
            <w:shd w:fill="F8FAFB" w:color="auto" w:val="clear"/>
            <w:tcMar>
              <w:top w:type="dxa" w:w="70"/>
              <w:left w:type="dxa" w:w="110"/>
              <w:bottom w:type="dxa" w:w="70"/>
              <w:right w:type="dxa" w:w="110"/>
            </w:tcMar>
            <w:vAlign w:val="top"/>
          </w:tcPr>
          <w:p>
            <w:pPr>
              <w:spacing w:after="40"/>
            </w:pPr>
            <w:r>
              <w:rPr>
                <w:b w:val="false"/>
                <w:bCs w:val="false"/>
                <w:sz w:val="19"/>
                <w:szCs w:val="19"/>
              </w:rPr>
              <w:t xml:space="preserve">Three ZIP downloads that open directly in your analysis software. SmartPLS pack: the questionnaire as one numeric row per respondent who passed QA, with a data dictionary and a missing-value code of -99. ATLAS.ti interviews pack: one Word document per key informant interview plus an attribute sheet. ATLAS.ti documents pack: the uploaded source files named by document ID plus an attribute sheet. Each has a README that says how to import it. No names, organisation, job title or contact details; anyone who withdrew consent is left out.</w:t>
            </w:r>
          </w:p>
        </w:tc>
        <w:tc>
          <w:tcPr>
            <w:tcW w:type="dxa" w:w="1883"/>
            <w:shd w:fill="F8FAFB" w:color="auto" w:val="clear"/>
            <w:tcMar>
              <w:top w:type="dxa" w:w="70"/>
              <w:left w:type="dxa" w:w="110"/>
              <w:bottom w:type="dxa" w:w="70"/>
              <w:right w:type="dxa" w:w="110"/>
            </w:tcMar>
            <w:vAlign w:val="top"/>
          </w:tcPr>
          <w:p>
            <w:pPr>
              <w:spacing w:after="40"/>
            </w:pPr>
            <w:r>
              <w:rPr>
                <w:b w:val="false"/>
                <w:bCs w:val="false"/>
                <w:sz w:val="19"/>
                <w:szCs w:val="19"/>
              </w:rPr>
              <w:t xml:space="preserve">PI only</w:t>
            </w:r>
          </w:p>
        </w:tc>
      </w:tr>
    </w:tbl>
    <w:p>
      <w:pPr>
        <w:spacing w:after="120"/>
      </w:pPr>
    </w:p>
    <w:p>
      <w:pPr>
        <w:pStyle w:val="Heading3"/>
      </w:pPr>
      <w:r>
        <w:t xml:space="preserve">Getting the data into SmartPLS 4 and ATLAS.ti</w:t>
      </w:r>
    </w:p>
    <w:p>
      <w:pPr>
        <w:pStyle w:val="ListParagraph"/>
        <w:numPr>
          <w:ilvl w:val="0"/>
          <w:numId w:val="38"/>
        </w:numPr>
        <w:spacing w:after="80" w:line="276"/>
      </w:pPr>
      <w:r>
        <w:t xml:space="preserve">Select </w:t>
      </w:r>
      <w:r>
        <w:rPr>
          <w:b/>
          <w:bCs/>
        </w:rPr>
        <w:t xml:space="preserve">Export</w:t>
      </w:r>
      <w:r>
        <w:t xml:space="preserve">. Under </w:t>
      </w:r>
      <w:r>
        <w:rPr>
          <w:b/>
          <w:bCs/>
        </w:rPr>
        <w:t xml:space="preserve">Analysis packs: ready for SmartPLS 4 and ATLAS.ti</w:t>
      </w:r>
      <w:r>
        <w:t xml:space="preserve">, select </w:t>
      </w:r>
      <w:r>
        <w:rPr>
          <w:b/>
          <w:bCs/>
        </w:rPr>
        <w:t xml:space="preserve">Download SmartPLS pack</w:t>
      </w:r>
      <w:r>
        <w:t xml:space="preserve">. Only respondents who passed QA are included; </w:t>
      </w:r>
      <w:r>
        <w:rPr>
          <w:b/>
          <w:bCs/>
        </w:rPr>
        <w:t xml:space="preserve">Include those not yet through QA</w:t>
      </w:r>
      <w:r>
        <w:t xml:space="preserve"> adds the rest.</w:t>
      </w:r>
    </w:p>
    <w:p>
      <w:pPr>
        <w:pStyle w:val="ListParagraph"/>
        <w:numPr>
          <w:ilvl w:val="0"/>
          <w:numId w:val="38"/>
        </w:numPr>
        <w:spacing w:after="80" w:line="276"/>
      </w:pPr>
      <w:r>
        <w:t xml:space="preserve">Unzip it. In SmartPLS 4 create a project, choose </w:t>
      </w:r>
      <w:r>
        <w:rPr>
          <w:b/>
          <w:bCs/>
        </w:rPr>
        <w:t xml:space="preserve">Import data file</w:t>
      </w:r>
      <w:r>
        <w:t xml:space="preserve">, select </w:t>
      </w:r>
      <w:r>
        <w:rPr>
          <w:rFonts w:ascii="Consolas" w:cs="Consolas" w:eastAsia="Consolas" w:hAnsi="Consolas"/>
          <w:b w:val="false"/>
          <w:bCs w:val="false"/>
          <w:color w:val="122238"/>
          <w:sz w:val="19"/>
          <w:szCs w:val="19"/>
        </w:rPr>
        <w:t xml:space="preserve">data.csv</w:t>
      </w:r>
      <w:r>
        <w:t xml:space="preserve">, and enter </w:t>
      </w:r>
      <w:r>
        <w:rPr>
          <w:rFonts w:ascii="Consolas" w:cs="Consolas" w:eastAsia="Consolas" w:hAnsi="Consolas"/>
          <w:b w:val="false"/>
          <w:bCs w:val="false"/>
          <w:color w:val="122238"/>
          <w:sz w:val="19"/>
          <w:szCs w:val="19"/>
        </w:rPr>
        <w:t xml:space="preserve">-99</w:t>
      </w:r>
      <w:r>
        <w:t xml:space="preserve"> as the missing-value marker. Every variable is numeric; </w:t>
      </w:r>
      <w:r>
        <w:rPr>
          <w:rFonts w:ascii="Consolas" w:cs="Consolas" w:eastAsia="Consolas" w:hAnsi="Consolas"/>
          <w:b w:val="false"/>
          <w:bCs w:val="false"/>
          <w:color w:val="122238"/>
          <w:sz w:val="19"/>
          <w:szCs w:val="19"/>
        </w:rPr>
        <w:t xml:space="preserve">data_dictionary.csv</w:t>
      </w:r>
      <w:r>
        <w:t xml:space="preserve"> says what each one is and how it is coded. </w:t>
      </w:r>
      <w:r>
        <w:rPr>
          <w:rFonts w:ascii="Consolas" w:cs="Consolas" w:eastAsia="Consolas" w:hAnsi="Consolas"/>
          <w:b w:val="false"/>
          <w:bCs w:val="false"/>
          <w:color w:val="122238"/>
          <w:sz w:val="19"/>
          <w:szCs w:val="19"/>
        </w:rPr>
        <w:t xml:space="preserve">respondent_no</w:t>
      </w:r>
      <w:r>
        <w:t xml:space="preserve"> is only a row number.</w:t>
      </w:r>
    </w:p>
    <w:p>
      <w:pPr>
        <w:pStyle w:val="ListParagraph"/>
        <w:numPr>
          <w:ilvl w:val="0"/>
          <w:numId w:val="38"/>
        </w:numPr>
        <w:spacing w:after="80" w:line="276"/>
      </w:pPr>
      <w:r>
        <w:t xml:space="preserve">Keep the </w:t>
      </w:r>
      <w:r>
        <w:rPr>
          <w:rFonts w:ascii="Consolas" w:cs="Consolas" w:eastAsia="Consolas" w:hAnsi="Consolas"/>
          <w:b w:val="false"/>
          <w:bCs w:val="false"/>
          <w:color w:val="122238"/>
          <w:sz w:val="19"/>
          <w:szCs w:val="19"/>
        </w:rPr>
        <w:t xml:space="preserve">PRIVATE_do_not_share</w:t>
      </w:r>
      <w:r>
        <w:t xml:space="preserve"> folder out of anything you send on: its key links respondent numbers back to Sample IDs.</w:t>
      </w:r>
    </w:p>
    <w:p>
      <w:pPr>
        <w:pStyle w:val="ListParagraph"/>
        <w:numPr>
          <w:ilvl w:val="0"/>
          <w:numId w:val="38"/>
        </w:numPr>
        <w:spacing w:after="80" w:line="276"/>
      </w:pPr>
      <w:r>
        <w:t xml:space="preserve">Select </w:t>
      </w:r>
      <w:r>
        <w:rPr>
          <w:b/>
          <w:bCs/>
        </w:rPr>
        <w:t xml:space="preserve">Download interviews pack</w:t>
      </w:r>
      <w:r>
        <w:t xml:space="preserve">. In ATLAS.ti add every file in </w:t>
      </w:r>
      <w:r>
        <w:rPr>
          <w:rFonts w:ascii="Consolas" w:cs="Consolas" w:eastAsia="Consolas" w:hAnsi="Consolas"/>
          <w:b w:val="false"/>
          <w:bCs w:val="false"/>
          <w:color w:val="122238"/>
          <w:sz w:val="19"/>
          <w:szCs w:val="19"/>
        </w:rPr>
        <w:t xml:space="preserve">interviews/</w:t>
      </w:r>
      <w:r>
        <w:t xml:space="preserve"> as documents, then import </w:t>
      </w:r>
      <w:r>
        <w:rPr>
          <w:rFonts w:ascii="Consolas" w:cs="Consolas" w:eastAsia="Consolas" w:hAnsi="Consolas"/>
          <w:b w:val="false"/>
          <w:bCs w:val="false"/>
          <w:color w:val="122238"/>
          <w:sz w:val="19"/>
          <w:szCs w:val="19"/>
        </w:rPr>
        <w:t xml:space="preserve">kii_attributes.xlsx</w:t>
      </w:r>
      <w:r>
        <w:t xml:space="preserve"> as document groups (its first column matches the document name). Add your own interview transcripts under the same interview ID.</w:t>
      </w:r>
    </w:p>
    <w:p>
      <w:pPr>
        <w:pStyle w:val="ListParagraph"/>
        <w:numPr>
          <w:ilvl w:val="0"/>
          <w:numId w:val="38"/>
        </w:numPr>
        <w:spacing w:after="80" w:line="276"/>
      </w:pPr>
      <w:r>
        <w:t xml:space="preserve">Select </w:t>
      </w:r>
      <w:r>
        <w:rPr>
          <w:b/>
          <w:bCs/>
        </w:rPr>
        <w:t xml:space="preserve">Download documents pack</w:t>
      </w:r>
      <w:r>
        <w:t xml:space="preserve">. Add the files in </w:t>
      </w:r>
      <w:r>
        <w:rPr>
          <w:rFonts w:ascii="Consolas" w:cs="Consolas" w:eastAsia="Consolas" w:hAnsi="Consolas"/>
          <w:b w:val="false"/>
          <w:bCs w:val="false"/>
          <w:color w:val="122238"/>
          <w:sz w:val="19"/>
          <w:szCs w:val="19"/>
        </w:rPr>
        <w:t xml:space="preserve">documents/</w:t>
      </w:r>
      <w:r>
        <w:t xml:space="preserve"> to ATLAS.ti, then import </w:t>
      </w:r>
      <w:r>
        <w:rPr>
          <w:rFonts w:ascii="Consolas" w:cs="Consolas" w:eastAsia="Consolas" w:hAnsi="Consolas"/>
          <w:b w:val="false"/>
          <w:bCs w:val="false"/>
          <w:color w:val="122238"/>
          <w:sz w:val="19"/>
          <w:szCs w:val="19"/>
        </w:rPr>
        <w:t xml:space="preserve">documents_attributes.xlsx</w:t>
      </w:r>
      <w:r>
        <w:t xml:space="preserve"> the same way.</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How answers are coded for SmartPLS</w:t>
            </w:r>
          </w:p>
          <w:p>
            <w:pPr>
              <w:spacing w:after="40" w:line="264"/>
            </w:pPr>
            <w:r>
              <w:rPr>
                <w:sz w:val="19"/>
                <w:szCs w:val="19"/>
              </w:rPr>
              <w:t xml:space="preserve">Questions stored as numbers in the form (the 1-5 scales) keep those numbers. Yes/no become 1/0. Other single-choice questions are numbered in the order the form lists them, with the numbering written in the dictionary. Not applicable, not sure and prefer not to say are missing. Multiple-choice questions become one 0/1 column per choice. Free text, dates and ids are not in the SmartPLS file.</w:t>
            </w:r>
          </w:p>
        </w:tc>
      </w:tr>
    </w:tbl>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Keep the AI features of ATLAS.ti off</w:t>
            </w:r>
          </w:p>
          <w:p>
            <w:pPr>
              <w:spacing w:after="40" w:line="264"/>
            </w:pPr>
            <w:r>
              <w:rPr>
                <w:sz w:val="19"/>
                <w:szCs w:val="19"/>
              </w:rPr>
              <w:t xml:space="preserve">ATLAS.ti can send text to an outside AI service. Interview text must not be sent unless your ethics position has been updated to allow it. The interviews pack leaves out organisation, job title and contact details, but check the answers for any name before sharing them outside the research team.</w:t>
            </w:r>
          </w:p>
        </w:tc>
      </w:tr>
    </w:tbl>
    <w:p>
      <w:pPr>
        <w:pStyle w:val="Heading3"/>
      </w:pPr>
      <w:r>
        <w:t xml:space="preserve">Getting all the data for cleaning and analysis</w:t>
      </w:r>
    </w:p>
    <w:p>
      <w:pPr>
        <w:pStyle w:val="ListParagraph"/>
        <w:numPr>
          <w:ilvl w:val="0"/>
          <w:numId w:val="39"/>
        </w:numPr>
        <w:spacing w:after="80" w:line="276"/>
      </w:pPr>
      <w:r>
        <w:t xml:space="preserve">Select </w:t>
      </w:r>
      <w:r>
        <w:rPr>
          <w:b/>
          <w:bCs/>
        </w:rPr>
        <w:t xml:space="preserve">Export</w:t>
      </w:r>
      <w:r>
        <w:t xml:space="preserve">.</w:t>
      </w:r>
    </w:p>
    <w:p>
      <w:pPr>
        <w:pStyle w:val="ListParagraph"/>
        <w:numPr>
          <w:ilvl w:val="0"/>
          <w:numId w:val="39"/>
        </w:numPr>
        <w:spacing w:after="80" w:line="276"/>
      </w:pPr>
      <w:r>
        <w:t xml:space="preserve">Under </w:t>
      </w:r>
      <w:r>
        <w:rPr>
          <w:b/>
          <w:bCs/>
        </w:rPr>
        <w:t xml:space="preserve">KoboToolbox data — every completed form</w:t>
      </w:r>
      <w:r>
        <w:t xml:space="preserve">, select </w:t>
      </w:r>
      <w:r>
        <w:rPr>
          <w:b/>
          <w:bCs/>
        </w:rPr>
        <w:t xml:space="preserve">Excel workbook</w:t>
      </w:r>
      <w:r>
        <w:t xml:space="preserve"> for the </w:t>
      </w:r>
      <w:r>
        <w:rPr>
          <w:b/>
          <w:bCs/>
        </w:rPr>
        <w:t xml:space="preserve">Main Study Questionnaire</w:t>
      </w:r>
      <w:r>
        <w:t xml:space="preserve">. Repeat for the </w:t>
      </w:r>
      <w:r>
        <w:rPr>
          <w:b/>
          <w:bCs/>
        </w:rPr>
        <w:t xml:space="preserve">Main Study KII Guide</w:t>
      </w:r>
      <w:r>
        <w:t xml:space="preserve"> and the </w:t>
      </w:r>
      <w:r>
        <w:rPr>
          <w:b/>
          <w:bCs/>
        </w:rPr>
        <w:t xml:space="preserve">Document, Digital Platform &amp; Media Analysis Tool</w:t>
      </w:r>
      <w:r>
        <w:t xml:space="preserve">.</w:t>
      </w:r>
    </w:p>
    <w:p>
      <w:pPr>
        <w:pStyle w:val="ListParagraph"/>
        <w:numPr>
          <w:ilvl w:val="0"/>
          <w:numId w:val="39"/>
        </w:numPr>
        <w:spacing w:after="80" w:line="276"/>
      </w:pPr>
      <w:r>
        <w:t xml:space="preserve">Select </w:t>
      </w:r>
      <w:r>
        <w:rPr>
          <w:b/>
          <w:bCs/>
        </w:rPr>
        <w:t xml:space="preserve">All completed forms (PDF ZIP)</w:t>
      </w:r>
      <w:r>
        <w:t xml:space="preserve"> for each form you need as PDFs. A large ZIP starts at once and grows while it downloads — let it finish.</w:t>
      </w:r>
    </w:p>
    <w:p>
      <w:pPr>
        <w:pStyle w:val="ListParagraph"/>
        <w:numPr>
          <w:ilvl w:val="0"/>
          <w:numId w:val="39"/>
        </w:numPr>
        <w:spacing w:after="80" w:line="276"/>
      </w:pPr>
      <w:r>
        <w:t xml:space="preserve">Open the workbook's </w:t>
      </w:r>
      <w:r>
        <w:rPr>
          <w:b/>
          <w:bCs/>
        </w:rPr>
        <w:t xml:space="preserve">README</w:t>
      </w:r>
      <w:r>
        <w:t xml:space="preserve"> sheet first. Use </w:t>
      </w:r>
      <w:r>
        <w:rPr>
          <w:rFonts w:ascii="Consolas" w:cs="Consolas" w:eastAsia="Consolas" w:hAnsi="Consolas"/>
          <w:b w:val="false"/>
          <w:bCs w:val="false"/>
          <w:color w:val="122238"/>
          <w:sz w:val="19"/>
          <w:szCs w:val="19"/>
        </w:rPr>
        <w:t xml:space="preserve">data_codes</w:t>
      </w:r>
      <w:r>
        <w:t xml:space="preserve"> for statistical software and </w:t>
      </w:r>
      <w:r>
        <w:rPr>
          <w:rFonts w:ascii="Consolas" w:cs="Consolas" w:eastAsia="Consolas" w:hAnsi="Consolas"/>
          <w:b w:val="false"/>
          <w:bCs w:val="false"/>
          <w:color w:val="122238"/>
          <w:sz w:val="19"/>
          <w:szCs w:val="19"/>
        </w:rPr>
        <w:t xml:space="preserve">data_labels</w:t>
      </w:r>
      <w:r>
        <w:t xml:space="preserve"> for reading. </w:t>
      </w:r>
      <w:r>
        <w:rPr>
          <w:rFonts w:ascii="Consolas" w:cs="Consolas" w:eastAsia="Consolas" w:hAnsi="Consolas"/>
          <w:b w:val="false"/>
          <w:bCs w:val="false"/>
          <w:color w:val="122238"/>
          <w:sz w:val="19"/>
          <w:szCs w:val="19"/>
        </w:rPr>
        <w:t xml:space="preserve">meta/rootUuid</w:t>
      </w:r>
      <w:r>
        <w:t xml:space="preserve"> identifies a submission across edits; </w:t>
      </w:r>
      <w:r>
        <w:rPr>
          <w:rFonts w:ascii="Consolas" w:cs="Consolas" w:eastAsia="Consolas" w:hAnsi="Consolas"/>
          <w:b w:val="false"/>
          <w:bCs w:val="false"/>
          <w:color w:val="122238"/>
          <w:sz w:val="19"/>
          <w:szCs w:val="19"/>
        </w:rPr>
        <w:t xml:space="preserve">_parent_id</w:t>
      </w:r>
      <w:r>
        <w:t xml:space="preserve"> links repeat rows to their submission.</w:t>
      </w:r>
    </w:p>
    <w:p>
      <w:pPr>
        <w:pStyle w:val="ListParagraph"/>
        <w:numPr>
          <w:ilvl w:val="0"/>
          <w:numId w:val="39"/>
        </w:numPr>
        <w:spacing w:after="80" w:line="276"/>
      </w:pPr>
      <w:r>
        <w:t xml:space="preserve">For analysis without identities, share only the </w:t>
      </w:r>
      <w:r>
        <w:rPr>
          <w:b/>
          <w:bCs/>
        </w:rPr>
        <w:t xml:space="preserve">De-identified analysis export</w:t>
      </w:r>
      <w:r>
        <w:t xml:space="preserve"> and the workbook columns you have checked contain no names or contact details.</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Handle raw data carefully</w:t>
            </w:r>
          </w:p>
          <w:p>
            <w:pPr>
              <w:spacing w:after="40" w:line="264"/>
            </w:pPr>
            <w:r>
              <w:rPr>
                <w:sz w:val="19"/>
                <w:szCs w:val="19"/>
              </w:rPr>
              <w:t xml:space="preserve">Workbooks and PDFs contain the answers themselves, and the KII Guide identifies people. Store them only on encrypted, access-controlled storage as the data management plan requires. Every download is recorded in the audit log.</w:t>
            </w:r>
          </w:p>
        </w:tc>
      </w:tr>
    </w:tbl>
    <w:p>
      <w:pPr>
        <w:pStyle w:val="Heading2"/>
      </w:pPr>
      <w:r>
        <w:t xml:space="preserve">7.20 Audit log (PI)</w:t>
      </w:r>
    </w:p>
    <w:p>
      <w:pPr>
        <w:pStyle w:val="ListParagraph"/>
        <w:numPr>
          <w:ilvl w:val="0"/>
          <w:numId w:val="40"/>
        </w:numPr>
        <w:spacing w:after="80" w:line="276"/>
      </w:pPr>
      <w:r>
        <w:t xml:space="preserve">Select </w:t>
      </w:r>
      <w:r>
        <w:rPr>
          <w:b/>
          <w:bCs/>
        </w:rPr>
        <w:t xml:space="preserve">Audit Log</w:t>
      </w:r>
      <w:r>
        <w:t xml:space="preserve">. Each row shows when, the action (e.g. </w:t>
      </w:r>
      <w:r>
        <w:rPr>
          <w:rFonts w:ascii="Consolas" w:cs="Consolas" w:eastAsia="Consolas" w:hAnsi="Consolas"/>
          <w:b w:val="false"/>
          <w:bCs w:val="false"/>
          <w:color w:val="122238"/>
          <w:sz w:val="19"/>
          <w:szCs w:val="19"/>
        </w:rPr>
        <w:t xml:space="preserve">invitation.issued</w:t>
      </w:r>
      <w:r>
        <w:t xml:space="preserve">, </w:t>
      </w:r>
      <w:r>
        <w:rPr>
          <w:rFonts w:ascii="Consolas" w:cs="Consolas" w:eastAsia="Consolas" w:hAnsi="Consolas"/>
          <w:b w:val="false"/>
          <w:bCs w:val="false"/>
          <w:color w:val="122238"/>
          <w:sz w:val="19"/>
          <w:szCs w:val="19"/>
        </w:rPr>
        <w:t xml:space="preserve">consent.recorded</w:t>
      </w:r>
      <w:r>
        <w:t xml:space="preserve">, </w:t>
      </w:r>
      <w:r>
        <w:rPr>
          <w:rFonts w:ascii="Consolas" w:cs="Consolas" w:eastAsia="Consolas" w:hAnsi="Consolas"/>
          <w:b w:val="false"/>
          <w:bCs w:val="false"/>
          <w:color w:val="122238"/>
          <w:sz w:val="19"/>
          <w:szCs w:val="19"/>
        </w:rPr>
        <w:t xml:space="preserve">sampling.bulk_workflow_transition</w:t>
      </w:r>
      <w:r>
        <w:t xml:space="preserve">, </w:t>
      </w:r>
      <w:r>
        <w:rPr>
          <w:rFonts w:ascii="Consolas" w:cs="Consolas" w:eastAsia="Consolas" w:hAnsi="Consolas"/>
          <w:b w:val="false"/>
          <w:bCs w:val="false"/>
          <w:color w:val="122238"/>
          <w:sz w:val="19"/>
          <w:szCs w:val="19"/>
        </w:rPr>
        <w:t xml:space="preserve">kobo.data_exported</w:t>
      </w:r>
      <w:r>
        <w:t xml:space="preserve">), the record, and the user.</w:t>
      </w:r>
    </w:p>
    <w:p>
      <w:pPr>
        <w:keepNext/>
        <w:spacing w:after="40" w:before="80"/>
        <w:jc w:val="center"/>
      </w:pPr>
      <w:r>
        <w:drawing>
          <wp:inline distT="0" distB="0" distL="0" distR="0">
            <wp:extent cx="5334000" cy="3333750"/>
            <wp:effectExtent t="0" r="0" b="0" l="0"/>
            <wp:docPr id="1" name="adm_audit.jpg" descr="Audit Log, newest first." title="Audit Log, newest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34000" cy="3333750"/>
                    </a:xfrm>
                    <a:prstGeom prst="rect">
                      <a:avLst/>
                    </a:prstGeom>
                  </pic:spPr>
                </pic:pic>
              </a:graphicData>
            </a:graphic>
          </wp:inline>
        </w:drawing>
      </w:r>
    </w:p>
    <w:p>
      <w:pPr>
        <w:spacing w:after="180"/>
        <w:jc w:val="center"/>
      </w:pPr>
      <w:r>
        <w:rPr>
          <w:b/>
          <w:bCs/>
          <w:color w:val="5B6670"/>
          <w:sz w:val="17"/>
          <w:szCs w:val="17"/>
        </w:rPr>
        <w:t xml:space="preserve">Figure 58. </w:t>
      </w:r>
      <w:r>
        <w:rPr>
          <w:i/>
          <w:iCs/>
          <w:color w:val="5B6670"/>
          <w:sz w:val="17"/>
          <w:szCs w:val="17"/>
        </w:rPr>
        <w:t xml:space="preserve">Audit Log, newest first.</w:t>
      </w:r>
    </w:p>
    <w:p>
      <w:pPr>
        <w:pStyle w:val="ListParagraph"/>
        <w:numPr>
          <w:ilvl w:val="0"/>
          <w:numId w:val="40"/>
        </w:numPr>
        <w:spacing w:after="80" w:line="276"/>
      </w:pPr>
      <w:r>
        <w:t xml:space="preserve">Page through with </w:t>
      </w:r>
      <w:r>
        <w:rPr>
          <w:b/>
          <w:bCs/>
        </w:rPr>
        <w:t xml:space="preserve">Previous</w:t>
      </w:r>
      <w:r>
        <w:t xml:space="preserve"> and </w:t>
      </w:r>
      <w:r>
        <w:rPr>
          <w:b/>
          <w:bCs/>
        </w:rPr>
        <w:t xml:space="preserve">Next</w:t>
      </w:r>
      <w:r>
        <w:t xml:space="preserve">. Actions taken by scheduled jobs or by respondents themselves show </w:t>
      </w:r>
      <w:r>
        <w:rPr>
          <w:b/>
          <w:bCs/>
        </w:rPr>
        <w:t xml:space="preserve">system</w:t>
      </w:r>
      <w:r>
        <w:t xml:space="preserve">.</w:t>
      </w:r>
    </w:p>
    <w:p>
      <w:pPr>
        <w:spacing w:after="80"/>
      </w:pPr>
    </w:p>
    <w:p>
      <w:pPr>
        <w:pStyle w:val="Heading2"/>
      </w:pPr>
      <w:r>
        <w:t xml:space="preserve">7.21 Manual status changes (PI, FC, Contact RA)</w:t>
      </w:r>
    </w:p>
    <w:p>
      <w:pPr>
        <w:spacing w:after="120" w:line="288"/>
      </w:pPr>
      <w:r>
        <w:t xml:space="preserve">Most statuses move automatically. Use </w:t>
      </w:r>
      <w:r>
        <w:rPr>
          <w:b/>
          <w:bCs/>
        </w:rPr>
        <w:t xml:space="preserve">Advance workflow status</w:t>
      </w:r>
      <w:r>
        <w:t xml:space="preserve"> on the case page only for decisions a person makes, such as recording that an organisation is ineligible or has refused.</w:t>
      </w:r>
    </w:p>
    <w:p>
      <w:pPr>
        <w:pStyle w:val="ListParagraph"/>
        <w:numPr>
          <w:ilvl w:val="0"/>
          <w:numId w:val="41"/>
        </w:numPr>
        <w:spacing w:after="80" w:line="276"/>
      </w:pPr>
      <w:r>
        <w:t xml:space="preserve">On the case page, find </w:t>
      </w:r>
      <w:r>
        <w:rPr>
          <w:b/>
          <w:bCs/>
        </w:rPr>
        <w:t xml:space="preserve">Advance workflow status</w:t>
      </w:r>
      <w:r>
        <w:t xml:space="preserve">. Only the transitions allowed from the current status are shown, e.g. </w:t>
      </w:r>
      <w:r>
        <w:rPr>
          <w:b/>
          <w:bCs/>
        </w:rPr>
        <w:t xml:space="preserve">→ S04</w:t>
      </w:r>
      <w:r>
        <w:t xml:space="preserve"> or </w:t>
      </w:r>
      <w:r>
        <w:rPr>
          <w:b/>
          <w:bCs/>
        </w:rPr>
        <w:t xml:space="preserve">→ S14</w:t>
      </w:r>
      <w:r>
        <w:t xml:space="preserve">.</w:t>
      </w:r>
    </w:p>
    <w:p>
      <w:pPr>
        <w:keepNext/>
        <w:spacing w:after="40" w:before="80"/>
        <w:jc w:val="center"/>
      </w:pPr>
      <w:r>
        <w:drawing>
          <wp:inline distT="0" distB="0" distL="0" distR="0">
            <wp:extent cx="5334000" cy="638175"/>
            <wp:effectExtent t="0" r="0" b="0" l="0"/>
            <wp:docPr id="1" name="adm_case_workflow.jpg" descr="Only valid next statuses are offered." title="Only valid next statuses are off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334000" cy="638175"/>
                    </a:xfrm>
                    <a:prstGeom prst="rect">
                      <a:avLst/>
                    </a:prstGeom>
                  </pic:spPr>
                </pic:pic>
              </a:graphicData>
            </a:graphic>
          </wp:inline>
        </w:drawing>
      </w:r>
    </w:p>
    <w:p>
      <w:pPr>
        <w:spacing w:after="180"/>
        <w:jc w:val="center"/>
      </w:pPr>
      <w:r>
        <w:rPr>
          <w:b/>
          <w:bCs/>
          <w:color w:val="5B6670"/>
          <w:sz w:val="17"/>
          <w:szCs w:val="17"/>
        </w:rPr>
        <w:t xml:space="preserve">Figure 59. </w:t>
      </w:r>
      <w:r>
        <w:rPr>
          <w:i/>
          <w:iCs/>
          <w:color w:val="5B6670"/>
          <w:sz w:val="17"/>
          <w:szCs w:val="17"/>
        </w:rPr>
        <w:t xml:space="preserve">Only valid next statuses are offered.</w:t>
      </w:r>
    </w:p>
    <w:p>
      <w:pPr>
        <w:pStyle w:val="ListParagraph"/>
        <w:numPr>
          <w:ilvl w:val="0"/>
          <w:numId w:val="41"/>
        </w:numPr>
        <w:spacing w:after="80" w:line="276"/>
      </w:pPr>
      <w:r>
        <w:t xml:space="preserve">Log a contact attempt or note explaining the decision first.</w:t>
      </w:r>
    </w:p>
    <w:p>
      <w:pPr>
        <w:pStyle w:val="ListParagraph"/>
        <w:numPr>
          <w:ilvl w:val="0"/>
          <w:numId w:val="41"/>
        </w:numPr>
        <w:spacing w:after="80" w:line="276"/>
      </w:pPr>
      <w:r>
        <w:t xml:space="preserve">Select the new status. The change is audited.</w:t>
      </w:r>
    </w:p>
    <w:p>
      <w:pPr>
        <w:spacing w:after="80"/>
      </w:pP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tblHeader/>
        </w:trPr>
        <w:tc>
          <w:tcPr>
            <w:tcW w:type="dxa" w:w="2824"/>
            <w:shd w:fill="1B3350" w:color="auto" w:val="clear"/>
            <w:tcMar>
              <w:top w:type="dxa" w:w="70"/>
              <w:left w:type="dxa" w:w="110"/>
              <w:bottom w:type="dxa" w:w="70"/>
              <w:right w:type="dxa" w:w="110"/>
            </w:tcMar>
            <w:vAlign w:val="top"/>
          </w:tcPr>
          <w:p>
            <w:pPr>
              <w:spacing w:after="40"/>
            </w:pPr>
            <w:r>
              <w:rPr>
                <w:b/>
                <w:bCs/>
                <w:color w:val="FFFFFF"/>
                <w:sz w:val="19"/>
                <w:szCs w:val="19"/>
              </w:rPr>
              <w:t xml:space="preserve">From</w:t>
            </w:r>
          </w:p>
        </w:tc>
        <w:tc>
          <w:tcPr>
            <w:tcW w:type="dxa" w:w="6588"/>
            <w:shd w:fill="1B3350" w:color="auto" w:val="clear"/>
            <w:tcMar>
              <w:top w:type="dxa" w:w="70"/>
              <w:left w:type="dxa" w:w="110"/>
              <w:bottom w:type="dxa" w:w="70"/>
              <w:right w:type="dxa" w:w="110"/>
            </w:tcMar>
            <w:vAlign w:val="top"/>
          </w:tcPr>
          <w:p>
            <w:pPr>
              <w:spacing w:after="40"/>
            </w:pPr>
            <w:r>
              <w:rPr>
                <w:b/>
                <w:bCs/>
                <w:color w:val="FFFFFF"/>
                <w:sz w:val="19"/>
                <w:szCs w:val="19"/>
              </w:rPr>
              <w:t xml:space="preserve">Can move to</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S00</w:t>
            </w:r>
          </w:p>
        </w:tc>
        <w:tc>
          <w:tcPr>
            <w:tcW w:type="dxa" w:w="6588"/>
            <w:tcMar>
              <w:top w:type="dxa" w:w="70"/>
              <w:left w:type="dxa" w:w="110"/>
              <w:bottom w:type="dxa" w:w="70"/>
              <w:right w:type="dxa" w:w="110"/>
            </w:tcMar>
            <w:vAlign w:val="top"/>
          </w:tcPr>
          <w:p>
            <w:pPr>
              <w:spacing w:after="40"/>
            </w:pPr>
            <w:r>
              <w:rPr>
                <w:b w:val="false"/>
                <w:bCs w:val="false"/>
                <w:sz w:val="19"/>
                <w:szCs w:val="19"/>
              </w:rPr>
              <w:t xml:space="preserve">S01</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S01</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S02, S15</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S02</w:t>
            </w:r>
          </w:p>
        </w:tc>
        <w:tc>
          <w:tcPr>
            <w:tcW w:type="dxa" w:w="6588"/>
            <w:tcMar>
              <w:top w:type="dxa" w:w="70"/>
              <w:left w:type="dxa" w:w="110"/>
              <w:bottom w:type="dxa" w:w="70"/>
              <w:right w:type="dxa" w:w="110"/>
            </w:tcMar>
            <w:vAlign w:val="top"/>
          </w:tcPr>
          <w:p>
            <w:pPr>
              <w:spacing w:after="40"/>
            </w:pPr>
            <w:r>
              <w:rPr>
                <w:b w:val="false"/>
                <w:bCs w:val="false"/>
                <w:sz w:val="19"/>
                <w:szCs w:val="19"/>
              </w:rPr>
              <w:t xml:space="preserve">S03, S14, S15</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S03</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S04, S14</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S04</w:t>
            </w:r>
          </w:p>
        </w:tc>
        <w:tc>
          <w:tcPr>
            <w:tcW w:type="dxa" w:w="6588"/>
            <w:tcMar>
              <w:top w:type="dxa" w:w="70"/>
              <w:left w:type="dxa" w:w="110"/>
              <w:bottom w:type="dxa" w:w="70"/>
              <w:right w:type="dxa" w:w="110"/>
            </w:tcMar>
            <w:vAlign w:val="top"/>
          </w:tcPr>
          <w:p>
            <w:pPr>
              <w:spacing w:after="40"/>
            </w:pPr>
            <w:r>
              <w:rPr>
                <w:b w:val="false"/>
                <w:bCs w:val="false"/>
                <w:sz w:val="19"/>
                <w:szCs w:val="19"/>
              </w:rPr>
              <w:t xml:space="preserve">S05</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S05, S06, S07</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Next step, S12 Refused, S13 Nonresponse</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S08</w:t>
            </w:r>
          </w:p>
        </w:tc>
        <w:tc>
          <w:tcPr>
            <w:tcW w:type="dxa" w:w="6588"/>
            <w:tcMar>
              <w:top w:type="dxa" w:w="70"/>
              <w:left w:type="dxa" w:w="110"/>
              <w:bottom w:type="dxa" w:w="70"/>
              <w:right w:type="dxa" w:w="110"/>
            </w:tcMar>
            <w:vAlign w:val="top"/>
          </w:tcPr>
          <w:p>
            <w:pPr>
              <w:spacing w:after="40"/>
            </w:pPr>
            <w:r>
              <w:rPr>
                <w:b w:val="false"/>
                <w:bCs w:val="false"/>
                <w:sz w:val="19"/>
                <w:szCs w:val="19"/>
              </w:rPr>
              <w:t xml:space="preserve">S09, S10</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S09</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S10</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S10</w:t>
            </w:r>
          </w:p>
        </w:tc>
        <w:tc>
          <w:tcPr>
            <w:tcW w:type="dxa" w:w="6588"/>
            <w:tcMar>
              <w:top w:type="dxa" w:w="70"/>
              <w:left w:type="dxa" w:w="110"/>
              <w:bottom w:type="dxa" w:w="70"/>
              <w:right w:type="dxa" w:w="110"/>
            </w:tcMar>
            <w:vAlign w:val="top"/>
          </w:tcPr>
          <w:p>
            <w:pPr>
              <w:spacing w:after="40"/>
            </w:pPr>
            <w:r>
              <w:rPr>
                <w:b w:val="false"/>
                <w:bCs w:val="false"/>
                <w:sz w:val="19"/>
                <w:szCs w:val="19"/>
              </w:rPr>
              <w:t xml:space="preserve">S11</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S12–S15</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S16 Reserve eligible for activation</w:t>
            </w:r>
          </w:p>
        </w:tc>
      </w:tr>
    </w:tbl>
    <w:p>
      <w:pPr>
        <w:spacing w:after="120"/>
      </w:pPr>
    </w:p>
    <w:p>
      <w:pPr>
        <w:pStyle w:val="Heading2"/>
      </w:pPr>
      <w:r>
        <w:t xml:space="preserve">7.22 Recording a withdrawal (PI, FC)</w:t>
      </w:r>
    </w:p>
    <w:p>
      <w:pPr>
        <w:spacing w:after="120" w:line="288"/>
      </w:pPr>
      <w:r>
        <w:t xml:space="preserve">A participant may withdraw at any time, for any reason, without giving one.</w:t>
      </w:r>
    </w:p>
    <w:p>
      <w:pPr>
        <w:pStyle w:val="ListParagraph"/>
        <w:numPr>
          <w:ilvl w:val="0"/>
          <w:numId w:val="42"/>
        </w:numPr>
        <w:spacing w:after="80" w:line="276"/>
      </w:pPr>
      <w:r>
        <w:t xml:space="preserve">Stop contacting the person immediately.</w:t>
      </w:r>
    </w:p>
    <w:p>
      <w:pPr>
        <w:pStyle w:val="ListParagraph"/>
        <w:numPr>
          <w:ilvl w:val="0"/>
          <w:numId w:val="42"/>
        </w:numPr>
        <w:spacing w:after="80" w:line="276"/>
      </w:pPr>
      <w:r>
        <w:t xml:space="preserve">On the case page, in </w:t>
      </w:r>
      <w:r>
        <w:rPr>
          <w:b/>
          <w:bCs/>
        </w:rPr>
        <w:t xml:space="preserve">Record a withdrawal</w:t>
      </w:r>
      <w:r>
        <w:t xml:space="preserve">, choose </w:t>
      </w:r>
      <w:r>
        <w:rPr>
          <w:b/>
          <w:bCs/>
        </w:rPr>
        <w:t xml:space="preserve">How they told us</w:t>
      </w:r>
      <w:r>
        <w:t xml:space="preserve"> — </w:t>
      </w:r>
      <w:r>
        <w:rPr>
          <w:b/>
          <w:bCs/>
        </w:rPr>
        <w:t xml:space="preserve">By phone or in person</w:t>
      </w:r>
      <w:r>
        <w:t xml:space="preserve">, or </w:t>
      </w:r>
      <w:r>
        <w:rPr>
          <w:b/>
          <w:bCs/>
        </w:rPr>
        <w:t xml:space="preserve">In writing (WhatsApp, email, letter)</w:t>
      </w:r>
      <w:r>
        <w:t xml:space="preserve"> — and type the reason or their own words.</w:t>
      </w:r>
    </w:p>
    <w:p>
      <w:pPr>
        <w:keepNext/>
        <w:spacing w:after="40" w:before="80"/>
        <w:jc w:val="center"/>
      </w:pPr>
      <w:r>
        <w:drawing>
          <wp:inline distT="0" distB="0" distL="0" distR="0">
            <wp:extent cx="5334000" cy="1409700"/>
            <wp:effectExtent t="0" r="0" b="0" l="0"/>
            <wp:docPr id="1" name="adm_case_withdrawal.jpg" descr="Record a withdrawal." title="Record a withdra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334000" cy="1409700"/>
                    </a:xfrm>
                    <a:prstGeom prst="rect">
                      <a:avLst/>
                    </a:prstGeom>
                  </pic:spPr>
                </pic:pic>
              </a:graphicData>
            </a:graphic>
          </wp:inline>
        </w:drawing>
      </w:r>
    </w:p>
    <w:p>
      <w:pPr>
        <w:spacing w:after="180"/>
        <w:jc w:val="center"/>
      </w:pPr>
      <w:r>
        <w:rPr>
          <w:b/>
          <w:bCs/>
          <w:color w:val="5B6670"/>
          <w:sz w:val="17"/>
          <w:szCs w:val="17"/>
        </w:rPr>
        <w:t xml:space="preserve">Figure 60. </w:t>
      </w:r>
      <w:r>
        <w:rPr>
          <w:i/>
          <w:iCs/>
          <w:color w:val="5B6670"/>
          <w:sz w:val="17"/>
          <w:szCs w:val="17"/>
        </w:rPr>
        <w:t xml:space="preserve">Record a withdrawal.</w:t>
      </w:r>
    </w:p>
    <w:p>
      <w:pPr>
        <w:pStyle w:val="ListParagraph"/>
        <w:numPr>
          <w:ilvl w:val="0"/>
          <w:numId w:val="42"/>
        </w:numPr>
        <w:spacing w:after="80" w:line="276"/>
      </w:pPr>
      <w:r>
        <w:t xml:space="preserve">Select </w:t>
      </w:r>
      <w:r>
        <w:rPr>
          <w:b/>
          <w:bCs/>
        </w:rPr>
        <w:t xml:space="preserve">Record withdrawal</w:t>
      </w:r>
      <w:r>
        <w:t xml:space="preserve"> and confirm.</w:t>
      </w:r>
    </w:p>
    <w:p>
      <w:pPr>
        <w:spacing w:after="80"/>
      </w:pPr>
    </w:p>
    <w:p>
      <w:pPr>
        <w:spacing w:after="120" w:line="288"/>
      </w:pPr>
      <w:r>
        <w:t xml:space="preserve">In one step the portal records the withdrawal, stops the invitation link and all reminders, moves the case to </w:t>
      </w:r>
      <w:r>
        <w:rPr>
          <w:b/>
          <w:bCs/>
        </w:rPr>
        <w:t xml:space="preserve">S12 Refused</w:t>
      </w:r>
      <w:r>
        <w:t xml:space="preserve"> where allowed, erases the phone, WhatsApp, email and gatekeeper contact, and flags the case as </w:t>
      </w:r>
      <w:r>
        <w:rPr>
          <w:rFonts w:ascii="Consolas" w:cs="Consolas" w:eastAsia="Consolas" w:hAnsi="Consolas"/>
          <w:b w:val="false"/>
          <w:bCs w:val="false"/>
          <w:color w:val="122238"/>
          <w:sz w:val="19"/>
          <w:szCs w:val="19"/>
        </w:rPr>
        <w:t xml:space="preserve">consent_withdrawn</w:t>
      </w:r>
      <w:r>
        <w:t xml:space="preserve"> in every export. This cannot be undone.</w:t>
      </w: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Answers already submitted</w:t>
            </w:r>
          </w:p>
          <w:p>
            <w:pPr>
              <w:spacing w:after="40" w:line="264"/>
            </w:pPr>
            <w:r>
              <w:rPr>
                <w:sz w:val="19"/>
                <w:szCs w:val="19"/>
              </w:rPr>
              <w:t xml:space="preserve">PI decision (15 September 2026): a questionnaire submitted before the withdrawal is </w:t>
            </w:r>
            <w:r>
              <w:rPr>
                <w:b/>
                <w:bCs/>
                <w:sz w:val="19"/>
                <w:szCs w:val="19"/>
              </w:rPr>
              <w:t xml:space="preserve">kept for the audit trail but never analysed</w:t>
            </w:r>
            <w:r>
              <w:rPr>
                <w:sz w:val="19"/>
                <w:szCs w:val="19"/>
              </w:rPr>
              <w:t xml:space="preserve">. It is left out of the de-identified analysis export automatically, flagged </w:t>
            </w:r>
            <w:r>
              <w:rPr>
                <w:rFonts w:ascii="Consolas" w:cs="Consolas" w:eastAsia="Consolas" w:hAnsi="Consolas"/>
                <w:b w:val="false"/>
                <w:bCs w:val="false"/>
                <w:color w:val="122238"/>
                <w:sz w:val="19"/>
                <w:szCs w:val="19"/>
              </w:rPr>
              <w:t xml:space="preserve">consent_withdrawn</w:t>
            </w:r>
            <w:r>
              <w:rPr>
                <w:sz w:val="19"/>
                <w:szCs w:val="19"/>
              </w:rPr>
              <w:t xml:space="preserve"> in the operational export, and marked in the PI's KoboToolbox workbook (README count and </w:t>
            </w:r>
            <w:r>
              <w:rPr>
                <w:rFonts w:ascii="Consolas" w:cs="Consolas" w:eastAsia="Consolas" w:hAnsi="Consolas"/>
                <w:b w:val="false"/>
                <w:bCs w:val="false"/>
                <w:color w:val="122238"/>
                <w:sz w:val="19"/>
                <w:szCs w:val="19"/>
              </w:rPr>
              <w:t xml:space="preserve">portal_consent_withdrawn</w:t>
            </w:r>
            <w:r>
              <w:rPr>
                <w:sz w:val="19"/>
                <w:szCs w:val="19"/>
              </w:rPr>
              <w:t xml:space="preserve"> = TRUE) and PDF ZIP (file name starts </w:t>
            </w:r>
            <w:r>
              <w:rPr>
                <w:rFonts w:ascii="Consolas" w:cs="Consolas" w:eastAsia="Consolas" w:hAnsi="Consolas"/>
                <w:b w:val="false"/>
                <w:bCs w:val="false"/>
                <w:color w:val="122238"/>
                <w:sz w:val="19"/>
                <w:szCs w:val="19"/>
              </w:rPr>
              <w:t xml:space="preserve">WITHDRAWN-</w:t>
            </w:r>
            <w:r>
              <w:rPr>
                <w:sz w:val="19"/>
                <w:szCs w:val="19"/>
              </w:rPr>
              <w:t xml:space="preserve">).</w:t>
            </w:r>
          </w:p>
        </w:tc>
      </w:tr>
    </w:tbl>
    <w:p>
      <w:pPr>
        <w:pStyle w:val="Heading2"/>
      </w:pPr>
      <w:r>
        <w:t xml:space="preserve">7.23 When the person is not eligible</w:t>
      </w:r>
    </w:p>
    <w:p>
      <w:pPr>
        <w:pStyle w:val="ListParagraph"/>
        <w:numPr>
          <w:ilvl w:val="0"/>
          <w:numId w:val="2"/>
        </w:numPr>
        <w:spacing w:after="60" w:line="276"/>
      </w:pPr>
      <w:r>
        <w:t xml:space="preserve">If someone chooses </w:t>
      </w:r>
      <w:r>
        <w:rPr>
          <w:b/>
          <w:bCs/>
        </w:rPr>
        <w:t xml:space="preserve">None of these describe me</w:t>
      </w:r>
      <w:r>
        <w:t xml:space="preserve">, the portal thanks them and the questionnaire never opens. No answers are recorded.</w:t>
      </w:r>
    </w:p>
    <w:p>
      <w:pPr>
        <w:pStyle w:val="ListParagraph"/>
        <w:numPr>
          <w:ilvl w:val="0"/>
          <w:numId w:val="2"/>
        </w:numPr>
        <w:spacing w:after="60" w:line="276"/>
      </w:pPr>
      <w:r>
        <w:t xml:space="preserve">Ask them politely to nominate the right senior person, record that person under </w:t>
      </w:r>
      <w:r>
        <w:rPr>
          <w:b/>
          <w:bCs/>
        </w:rPr>
        <w:t xml:space="preserve">Respondents and contact details</w:t>
      </w:r>
      <w:r>
        <w:t xml:space="preserve">, and send a new invitation.</w:t>
      </w:r>
    </w:p>
    <w:p>
      <w:pPr>
        <w:pStyle w:val="ListParagraph"/>
        <w:numPr>
          <w:ilvl w:val="0"/>
          <w:numId w:val="2"/>
        </w:numPr>
        <w:spacing w:after="60" w:line="276"/>
      </w:pPr>
      <w:r>
        <w:t xml:space="preserve">If nobody suitable exists, record the reason in the contact timeline and move the case to </w:t>
      </w:r>
      <w:r>
        <w:rPr>
          <w:b/>
          <w:bCs/>
        </w:rPr>
        <w:t xml:space="preserve">S14 Ineligible</w:t>
      </w:r>
      <w:r>
        <w:t xml:space="preserve"> (Field Coordinator or PI).</w:t>
      </w:r>
    </w:p>
    <w:p>
      <w:pPr>
        <w:spacing w:after="60"/>
      </w:pPr>
    </w:p>
    <w:p>
      <w:pPr>
        <w:pStyle w:val="Heading2"/>
      </w:pPr>
      <w:r>
        <w:t xml:space="preserve">7.24 PROIT pre-interview profile with AI research (PI, FC)</w:t>
      </w:r>
    </w:p>
    <w:p>
      <w:pPr>
        <w:spacing w:after="120" w:line="288"/>
      </w:pPr>
      <w:r>
        <w:t xml:space="preserve">PROIT lets the respondent confirm facts already on public record instead of answering them from scratch, and lets the interviewer ask only what is </w:t>
      </w:r>
      <w:r>
        <w:rPr>
          <w:b/>
          <w:bCs/>
        </w:rPr>
        <w:t xml:space="preserve">not</w:t>
      </w:r>
      <w:r>
        <w:t xml:space="preserve"> public. It never pre-fills, skips or infers any scale item (ABI, NFM, Digital Readiness, FST): only descriptive background. This applies to the questionnaire and to the KIIs alike.</w:t>
      </w:r>
    </w:p>
    <w:p>
      <w:pPr>
        <w:pStyle w:val="Heading3"/>
      </w:pPr>
      <w:r>
        <w:t xml:space="preserve">Step 1: let the AI search public sources</w:t>
      </w:r>
    </w:p>
    <w:p>
      <w:pPr>
        <w:pStyle w:val="ListParagraph"/>
        <w:numPr>
          <w:ilvl w:val="0"/>
          <w:numId w:val="43"/>
        </w:numPr>
        <w:spacing w:after="80" w:line="276"/>
      </w:pPr>
      <w:r>
        <w:t xml:space="preserve">On the case page (or KII page), in </w:t>
      </w:r>
      <w:r>
        <w:rPr>
          <w:b/>
          <w:bCs/>
        </w:rPr>
        <w:t xml:space="preserve">Pre-Interview Profile (PROIT)</w:t>
      </w:r>
      <w:r>
        <w:t xml:space="preserve">, select </w:t>
      </w:r>
      <w:r>
        <w:rPr>
          <w:b/>
          <w:bCs/>
        </w:rPr>
        <w:t xml:space="preserve">Start background research</w:t>
      </w:r>
      <w:r>
        <w:t xml:space="preserve">.</w:t>
      </w:r>
    </w:p>
    <w:p>
      <w:pPr>
        <w:pStyle w:val="ListParagraph"/>
        <w:numPr>
          <w:ilvl w:val="0"/>
          <w:numId w:val="43"/>
        </w:numPr>
        <w:spacing w:after="80" w:line="276"/>
      </w:pPr>
      <w:r>
        <w:t xml:space="preserve">In the </w:t>
      </w:r>
      <w:r>
        <w:rPr>
          <w:b/>
          <w:bCs/>
        </w:rPr>
        <w:t xml:space="preserve">AI research from public sources</w:t>
      </w:r>
      <w:r>
        <w:t xml:space="preserve"> box, select </w:t>
      </w:r>
      <w:r>
        <w:rPr>
          <w:b/>
          <w:bCs/>
        </w:rPr>
        <w:t xml:space="preserve">Research with AI</w:t>
      </w:r>
      <w:r>
        <w:t xml:space="preserve">. The AI searches the public web for the organisation, and for the respondent's published professional role, and works in the background for a few minutes. You can leave the page and come back.</w:t>
      </w:r>
    </w:p>
    <w:p>
      <w:pPr>
        <w:keepNext/>
        <w:spacing w:after="40" w:before="80"/>
        <w:jc w:val="center"/>
      </w:pPr>
      <w:r>
        <w:drawing>
          <wp:inline distT="0" distB="0" distL="0" distR="0">
            <wp:extent cx="3971925" cy="4953000"/>
            <wp:effectExtent t="0" r="0" b="0" l="0"/>
            <wp:docPr id="1" name="proit_ai_research.jpg" descr="AI research: proposals to review, each with its sources." title="AI research: proposals to review, each with its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971925" cy="4953000"/>
                    </a:xfrm>
                    <a:prstGeom prst="rect">
                      <a:avLst/>
                    </a:prstGeom>
                  </pic:spPr>
                </pic:pic>
              </a:graphicData>
            </a:graphic>
          </wp:inline>
        </w:drawing>
      </w:r>
    </w:p>
    <w:p>
      <w:pPr>
        <w:spacing w:after="180"/>
        <w:jc w:val="center"/>
      </w:pPr>
      <w:r>
        <w:rPr>
          <w:b/>
          <w:bCs/>
          <w:color w:val="5B6670"/>
          <w:sz w:val="17"/>
          <w:szCs w:val="17"/>
        </w:rPr>
        <w:t xml:space="preserve">Figure 61. </w:t>
      </w:r>
      <w:r>
        <w:rPr>
          <w:i/>
          <w:iCs/>
          <w:color w:val="5B6670"/>
          <w:sz w:val="17"/>
          <w:szCs w:val="17"/>
        </w:rPr>
        <w:t xml:space="preserve">AI research: proposals to review, each with its sources.</w:t>
      </w:r>
    </w:p>
    <w:p>
      <w:pPr>
        <w:pStyle w:val="ListParagraph"/>
        <w:numPr>
          <w:ilvl w:val="0"/>
          <w:numId w:val="43"/>
        </w:numPr>
        <w:spacing w:after="80" w:line="276"/>
      </w:pPr>
      <w:r>
        <w:t xml:space="preserve">Under </w:t>
      </w:r>
      <w:r>
        <w:rPr>
          <w:b/>
          <w:bCs/>
        </w:rPr>
        <w:t xml:space="preserve">To review</w:t>
      </w:r>
      <w:r>
        <w:t xml:space="preserve">, read each proposal. It gives the fact, a confidence level, and every source it used with the publisher, the date, the authority tier and a short quote copied from the page. Select the source title to open the page and check it yourself.</w:t>
      </w:r>
    </w:p>
    <w:p>
      <w:pPr>
        <w:pStyle w:val="ListParagraph"/>
        <w:numPr>
          <w:ilvl w:val="0"/>
          <w:numId w:val="43"/>
        </w:numPr>
        <w:spacing w:after="80" w:line="276"/>
      </w:pPr>
      <w:r>
        <w:t xml:space="preserve">Decide on each one. </w:t>
      </w:r>
      <w:r>
        <w:rPr>
          <w:b/>
          <w:bCs/>
        </w:rPr>
        <w:t xml:space="preserve">Accept</w:t>
      </w:r>
      <w:r>
        <w:t xml:space="preserve"> puts it into the profile with its sources. Edit the wording first if it needs correcting, then </w:t>
      </w:r>
      <w:r>
        <w:rPr>
          <w:b/>
          <w:bCs/>
        </w:rPr>
        <w:t xml:space="preserve">Accept</w:t>
      </w:r>
      <w:r>
        <w:t xml:space="preserve">. </w:t>
      </w:r>
      <w:r>
        <w:rPr>
          <w:b/>
          <w:bCs/>
        </w:rPr>
        <w:t xml:space="preserve">Reject</w:t>
      </w:r>
      <w:r>
        <w:t xml:space="preserve"> discards it. Nothing enters the profile until you accept it. Take special care where the note says the organisation may be a different one with a similar name.</w:t>
      </w:r>
    </w:p>
    <w:p>
      <w:pPr>
        <w:pStyle w:val="ListParagraph"/>
        <w:numPr>
          <w:ilvl w:val="0"/>
          <w:numId w:val="43"/>
        </w:numPr>
        <w:spacing w:after="80" w:line="276"/>
      </w:pPr>
      <w:r>
        <w:t xml:space="preserve">Read </w:t>
      </w:r>
      <w:r>
        <w:rPr>
          <w:b/>
          <w:bCs/>
        </w:rPr>
        <w:t xml:space="preserve">Not found publicly: ask the respondent</w:t>
      </w:r>
      <w:r>
        <w:t xml:space="preserve">. These are the facts the AI could not find in any public source. They become the questions the interviewer asks in full.</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Cost</w:t>
            </w:r>
          </w:p>
          <w:p>
            <w:pPr>
              <w:spacing w:after="40" w:line="264"/>
            </w:pPr>
            <w:r>
              <w:rPr>
                <w:sz w:val="19"/>
                <w:szCs w:val="19"/>
              </w:rPr>
              <w:t xml:space="preserve">PROIT research is a paid request on the study's AI account (Meta's Muse model). Measured on real organisations it cost about USD 0.20–0.95 each, around USD 0.50 on average, so researching every Main case is roughly USD 200. Research the organisations that need it rather than re-running it on the same one.</w:t>
            </w:r>
          </w:p>
        </w:tc>
      </w:tr>
    </w:tbl>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The AI proposes, you decide</w:t>
            </w:r>
          </w:p>
          <w:p>
            <w:pPr>
              <w:spacing w:after="40" w:line="264"/>
            </w:pPr>
            <w:r>
              <w:rPr>
                <w:sz w:val="19"/>
                <w:szCs w:val="19"/>
              </w:rPr>
              <w:t xml:space="preserve">The AI only suggests. Every fact still needs a source, a person to accept it and a second person to lock the profile, exactly as if you had typed it in.</w:t>
            </w:r>
          </w:p>
          <w:p>
            <w:pPr>
              <w:spacing w:after="40" w:line="264"/>
            </w:pPr>
            <w:r>
              <w:rPr>
                <w:sz w:val="19"/>
                <w:szCs w:val="19"/>
              </w:rPr>
              <w:t xml:space="preserve">Only sources the search actually returned can be cited. A fact with no verifiable source is turned into “not found publicly”, and anything that looks private is removed automatically. The AI never records health, religion, ethnicity, politics, family, home addresses, personal phone numbers or emails, private finances, or anything from a person's own social-media profile.</w:t>
            </w:r>
          </w:p>
          <w:p>
            <w:pPr>
              <w:spacing w:after="40" w:line="264"/>
            </w:pPr>
            <w:r>
              <w:rPr>
                <w:sz w:val="19"/>
                <w:szCs w:val="19"/>
              </w:rPr>
              <w:t xml:space="preserve">An organisation's </w:t>
            </w:r>
            <w:r>
              <w:rPr>
                <w:b/>
                <w:bCs/>
                <w:sz w:val="19"/>
                <w:szCs w:val="19"/>
              </w:rPr>
              <w:t xml:space="preserve">own</w:t>
            </w:r>
            <w:r>
              <w:rPr>
                <w:sz w:val="19"/>
                <w:szCs w:val="19"/>
              </w:rPr>
              <w:t xml:space="preserve"> business page (for example its Facebook, LinkedIn company or X page) may be cited, but only when the quoted passage names the organisation, never for the respondent's role, and always as Tier 4, the weakest tier. Personal profiles are removed automatically, as are messaging apps and forums.</w:t>
            </w:r>
          </w:p>
          <w:p>
            <w:pPr>
              <w:spacing w:after="40" w:line="264"/>
            </w:pPr>
            <w:r>
              <w:rPr>
                <w:sz w:val="19"/>
                <w:szCs w:val="19"/>
              </w:rPr>
              <w:t xml:space="preserve">What is sent to the AI provider's search: the organisation's name, province, district and type, and the respondent's name and role. Never a phone number, email, gatekeeper or any other contact detail.</w:t>
            </w:r>
          </w:p>
        </w:tc>
      </w:tr>
    </w:tbl>
    <w:p>
      <w:pPr>
        <w:pStyle w:val="Heading3"/>
      </w:pPr>
      <w:r>
        <w:t xml:space="preserve">Step 2: add or correct facts by hand</w:t>
      </w:r>
    </w:p>
    <w:p>
      <w:pPr>
        <w:pStyle w:val="ListParagraph"/>
        <w:numPr>
          <w:ilvl w:val="0"/>
          <w:numId w:val="44"/>
        </w:numPr>
        <w:spacing w:after="80" w:line="276"/>
      </w:pPr>
      <w:r>
        <w:t xml:space="preserve">Under </w:t>
      </w:r>
      <w:r>
        <w:rPr>
          <w:b/>
          <w:bCs/>
        </w:rPr>
        <w:t xml:space="preserve">Add a background field</w:t>
      </w:r>
      <w:r>
        <w:t xml:space="preserve">, choose a field in </w:t>
      </w:r>
      <w:r>
        <w:rPr>
          <w:b/>
          <w:bCs/>
        </w:rPr>
        <w:t xml:space="preserve">Select a field…</w:t>
      </w:r>
      <w:r>
        <w:t xml:space="preserve">, type </w:t>
      </w:r>
      <w:r>
        <w:rPr>
          <w:b/>
          <w:bCs/>
        </w:rPr>
        <w:t xml:space="preserve">What was found (documentary value)</w:t>
      </w:r>
      <w:r>
        <w:t xml:space="preserve">, and select </w:t>
      </w:r>
      <w:r>
        <w:rPr>
          <w:b/>
          <w:bCs/>
        </w:rPr>
        <w:t xml:space="preserve">Add field</w:t>
      </w:r>
      <w:r>
        <w:t xml:space="preserve">.</w:t>
      </w:r>
    </w:p>
    <w:p>
      <w:pPr>
        <w:keepNext/>
        <w:spacing w:after="40" w:before="80"/>
        <w:jc w:val="center"/>
      </w:pPr>
      <w:r>
        <w:drawing>
          <wp:inline distT="0" distB="0" distL="0" distR="0">
            <wp:extent cx="5334000" cy="1781175"/>
            <wp:effectExtent t="0" r="0" b="0" l="0"/>
            <wp:docPr id="1" name="adm_case_proit_draft.jpg" descr="A draft profile: each fact needs at least one source." title="A draft profile: each fact needs at least one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334000" cy="1781175"/>
                    </a:xfrm>
                    <a:prstGeom prst="rect">
                      <a:avLst/>
                    </a:prstGeom>
                  </pic:spPr>
                </pic:pic>
              </a:graphicData>
            </a:graphic>
          </wp:inline>
        </w:drawing>
      </w:r>
    </w:p>
    <w:p>
      <w:pPr>
        <w:spacing w:after="180"/>
        <w:jc w:val="center"/>
      </w:pPr>
      <w:r>
        <w:rPr>
          <w:b/>
          <w:bCs/>
          <w:color w:val="5B6670"/>
          <w:sz w:val="17"/>
          <w:szCs w:val="17"/>
        </w:rPr>
        <w:t xml:space="preserve">Figure 62. </w:t>
      </w:r>
      <w:r>
        <w:rPr>
          <w:i/>
          <w:iCs/>
          <w:color w:val="5B6670"/>
          <w:sz w:val="17"/>
          <w:szCs w:val="17"/>
        </w:rPr>
        <w:t xml:space="preserve">A draft profile: each fact needs at least one source.</w:t>
      </w:r>
    </w:p>
    <w:p>
      <w:pPr>
        <w:pStyle w:val="ListParagraph"/>
        <w:numPr>
          <w:ilvl w:val="0"/>
          <w:numId w:val="44"/>
        </w:numPr>
        <w:spacing w:after="80" w:line="276"/>
      </w:pPr>
      <w:r>
        <w:t xml:space="preserve">For each field, type the </w:t>
      </w:r>
      <w:r>
        <w:rPr>
          <w:b/>
          <w:bCs/>
        </w:rPr>
        <w:t xml:space="preserve">Source title</w:t>
      </w:r>
      <w:r>
        <w:t xml:space="preserve"> (e.g. companies registry entry), choose the confidence (HIGH, MODERATE, LOW) and the authority tier — Tier 1 statutory register or audited report, Tier 2 official website or association record, Tier 3 reputable media or professional profile, Tier 4 corroborated public platform content — then select </w:t>
      </w:r>
      <w:r>
        <w:rPr>
          <w:b/>
          <w:bCs/>
        </w:rPr>
        <w:t xml:space="preserve">Add source</w:t>
      </w:r>
      <w:r>
        <w:t xml:space="preserve">.</w:t>
      </w:r>
    </w:p>
    <w:p>
      <w:pPr>
        <w:pStyle w:val="ListParagraph"/>
        <w:numPr>
          <w:ilvl w:val="0"/>
          <w:numId w:val="44"/>
        </w:numPr>
        <w:spacing w:after="80" w:line="276"/>
      </w:pPr>
      <w:r>
        <w:t xml:space="preserve">Use </w:t>
      </w:r>
      <w:r>
        <w:rPr>
          <w:b/>
          <w:bCs/>
        </w:rPr>
        <w:t xml:space="preserve">Researcher review screen</w:t>
      </w:r>
      <w:r>
        <w:t xml:space="preserve"> to check the whole profile, including gaps and contradictions.</w:t>
      </w:r>
    </w:p>
    <w:p>
      <w:pPr>
        <w:pStyle w:val="ListParagraph"/>
        <w:numPr>
          <w:ilvl w:val="0"/>
          <w:numId w:val="44"/>
        </w:numPr>
        <w:spacing w:after="80" w:line="276"/>
      </w:pPr>
      <w:r>
        <w:t xml:space="preserve">A second researcher reviews it and selects </w:t>
      </w:r>
      <w:r>
        <w:rPr>
          <w:b/>
          <w:bCs/>
        </w:rPr>
        <w:t xml:space="preserve">Lock pre-profile</w:t>
      </w:r>
      <w:r>
        <w:t xml:space="preserve">. Only a locked profile is used with the respondent, who confirms, corrects, or says they don't know, prefer not to say, or it is not applicable. The public value, the respondent's answer and the reconciled value are kept separately.</w:t>
      </w:r>
    </w:p>
    <w:p>
      <w:pPr>
        <w:spacing w:after="80"/>
      </w:pPr>
    </w:p>
    <w:p>
      <w:pPr>
        <w:pStyle w:val="Heading3"/>
      </w:pPr>
      <w:r>
        <w:t xml:space="preserve">After the research: from profile to KoboToolbox</w:t>
      </w:r>
    </w:p>
    <w:p>
      <w:pPr>
        <w:spacing w:after="120" w:line="288"/>
      </w:pPr>
      <w:r>
        <w:t xml:space="preserve">Accepting the AI's proposals is the first of five steps. A profile only does its job once it has been through all of them:</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1600"/>
        <w:gridCol w:w="2353"/>
        <w:gridCol w:w="2635"/>
      </w:tblGrid>
      <w:tr>
        <w:trPr>
          <w:tblHeader/>
        </w:trPr>
        <w:tc>
          <w:tcPr>
            <w:tcW w:type="dxa" w:w="2824"/>
            <w:shd w:fill="1B3350" w:color="auto" w:val="clear"/>
            <w:tcMar>
              <w:top w:type="dxa" w:w="70"/>
              <w:left w:type="dxa" w:w="110"/>
              <w:bottom w:type="dxa" w:w="70"/>
              <w:right w:type="dxa" w:w="110"/>
            </w:tcMar>
            <w:vAlign w:val="top"/>
          </w:tcPr>
          <w:p>
            <w:pPr>
              <w:spacing w:after="40"/>
            </w:pPr>
            <w:r>
              <w:rPr>
                <w:b/>
                <w:bCs/>
                <w:color w:val="FFFFFF"/>
                <w:sz w:val="19"/>
                <w:szCs w:val="19"/>
              </w:rPr>
              <w:t xml:space="preserve">Step</w:t>
            </w:r>
          </w:p>
        </w:tc>
        <w:tc>
          <w:tcPr>
            <w:tcW w:type="dxa" w:w="1600"/>
            <w:shd w:fill="1B3350" w:color="auto" w:val="clear"/>
            <w:tcMar>
              <w:top w:type="dxa" w:w="70"/>
              <w:left w:type="dxa" w:w="110"/>
              <w:bottom w:type="dxa" w:w="70"/>
              <w:right w:type="dxa" w:w="110"/>
            </w:tcMar>
            <w:vAlign w:val="top"/>
          </w:tcPr>
          <w:p>
            <w:pPr>
              <w:spacing w:after="40"/>
            </w:pPr>
            <w:r>
              <w:rPr>
                <w:b/>
                <w:bCs/>
                <w:color w:val="FFFFFF"/>
                <w:sz w:val="19"/>
                <w:szCs w:val="19"/>
              </w:rPr>
              <w:t xml:space="preserve">Who</w:t>
            </w:r>
          </w:p>
        </w:tc>
        <w:tc>
          <w:tcPr>
            <w:tcW w:type="dxa" w:w="2353"/>
            <w:shd w:fill="1B3350" w:color="auto" w:val="clear"/>
            <w:tcMar>
              <w:top w:type="dxa" w:w="70"/>
              <w:left w:type="dxa" w:w="110"/>
              <w:bottom w:type="dxa" w:w="70"/>
              <w:right w:type="dxa" w:w="110"/>
            </w:tcMar>
            <w:vAlign w:val="top"/>
          </w:tcPr>
          <w:p>
            <w:pPr>
              <w:spacing w:after="40"/>
            </w:pPr>
            <w:r>
              <w:rPr>
                <w:b/>
                <w:bCs/>
                <w:color w:val="FFFFFF"/>
                <w:sz w:val="19"/>
                <w:szCs w:val="19"/>
              </w:rPr>
              <w:t xml:space="preserve">Where</w:t>
            </w:r>
          </w:p>
        </w:tc>
        <w:tc>
          <w:tcPr>
            <w:tcW w:type="dxa" w:w="2635"/>
            <w:shd w:fill="1B3350" w:color="auto" w:val="clear"/>
            <w:tcMar>
              <w:top w:type="dxa" w:w="70"/>
              <w:left w:type="dxa" w:w="110"/>
              <w:bottom w:type="dxa" w:w="70"/>
              <w:right w:type="dxa" w:w="110"/>
            </w:tcMar>
            <w:vAlign w:val="top"/>
          </w:tcPr>
          <w:p>
            <w:pPr>
              <w:spacing w:after="40"/>
            </w:pPr>
            <w:r>
              <w:rPr>
                <w:b/>
                <w:bCs/>
                <w:color w:val="FFFFFF"/>
                <w:sz w:val="19"/>
                <w:szCs w:val="19"/>
              </w:rPr>
              <w:t xml:space="preserve">What it produces</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1. Accept or reject each proposal, add any facts found by hand</w:t>
            </w:r>
          </w:p>
        </w:tc>
        <w:tc>
          <w:tcPr>
            <w:tcW w:type="dxa" w:w="1600"/>
            <w:tcMar>
              <w:top w:type="dxa" w:w="70"/>
              <w:left w:type="dxa" w:w="110"/>
              <w:bottom w:type="dxa" w:w="70"/>
              <w:right w:type="dxa" w:w="110"/>
            </w:tcMar>
            <w:vAlign w:val="top"/>
          </w:tcPr>
          <w:p>
            <w:pPr>
              <w:spacing w:after="40"/>
            </w:pPr>
            <w:r>
              <w:rPr>
                <w:b w:val="false"/>
                <w:bCs w:val="false"/>
                <w:sz w:val="19"/>
                <w:szCs w:val="19"/>
              </w:rPr>
              <w:t xml:space="preserve">Coordinator or PI</w:t>
            </w:r>
          </w:p>
        </w:tc>
        <w:tc>
          <w:tcPr>
            <w:tcW w:type="dxa" w:w="2353"/>
            <w:tcMar>
              <w:top w:type="dxa" w:w="70"/>
              <w:left w:type="dxa" w:w="110"/>
              <w:bottom w:type="dxa" w:w="70"/>
              <w:right w:type="dxa" w:w="110"/>
            </w:tcMar>
            <w:vAlign w:val="top"/>
          </w:tcPr>
          <w:p>
            <w:pPr>
              <w:spacing w:after="40"/>
            </w:pPr>
            <w:r>
              <w:rPr>
                <w:b w:val="false"/>
                <w:bCs w:val="false"/>
                <w:sz w:val="19"/>
                <w:szCs w:val="19"/>
              </w:rPr>
              <w:t xml:space="preserve">PROIT panel on the case (or KII) page</w:t>
            </w:r>
          </w:p>
        </w:tc>
        <w:tc>
          <w:tcPr>
            <w:tcW w:type="dxa" w:w="2635"/>
            <w:tcMar>
              <w:top w:type="dxa" w:w="70"/>
              <w:left w:type="dxa" w:w="110"/>
              <w:bottom w:type="dxa" w:w="70"/>
              <w:right w:type="dxa" w:w="110"/>
            </w:tcMar>
            <w:vAlign w:val="top"/>
          </w:tcPr>
          <w:p>
            <w:pPr>
              <w:spacing w:after="40"/>
            </w:pPr>
            <w:r>
              <w:rPr>
                <w:b w:val="false"/>
                <w:bCs w:val="false"/>
                <w:sz w:val="19"/>
                <w:szCs w:val="19"/>
              </w:rPr>
              <w:t xml:space="preserve">A draft profile: every fact with a source and a named person who accepted it.</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2. Lock the profile</w:t>
            </w:r>
          </w:p>
        </w:tc>
        <w:tc>
          <w:tcPr>
            <w:tcW w:type="dxa" w:w="1600"/>
            <w:shd w:fill="F8FAFB" w:color="auto" w:val="clear"/>
            <w:tcMar>
              <w:top w:type="dxa" w:w="70"/>
              <w:left w:type="dxa" w:w="110"/>
              <w:bottom w:type="dxa" w:w="70"/>
              <w:right w:type="dxa" w:w="110"/>
            </w:tcMar>
            <w:vAlign w:val="top"/>
          </w:tcPr>
          <w:p>
            <w:pPr>
              <w:spacing w:after="40"/>
            </w:pPr>
            <w:r>
              <w:rPr>
                <w:b w:val="false"/>
                <w:bCs w:val="false"/>
                <w:sz w:val="19"/>
                <w:szCs w:val="19"/>
              </w:rPr>
              <w:t xml:space="preserve">A second researcher</w:t>
            </w:r>
          </w:p>
        </w:tc>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Lock pre-profile</w:t>
            </w:r>
          </w:p>
        </w:tc>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fixed version the interview is planned from. It cannot be locked while a fact has no source.</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3. Verify with the respondent</w:t>
            </w:r>
          </w:p>
        </w:tc>
        <w:tc>
          <w:tcPr>
            <w:tcW w:type="dxa" w:w="1600"/>
            <w:tcMar>
              <w:top w:type="dxa" w:w="70"/>
              <w:left w:type="dxa" w:w="110"/>
              <w:bottom w:type="dxa" w:w="70"/>
              <w:right w:type="dxa" w:w="110"/>
            </w:tcMar>
            <w:vAlign w:val="top"/>
          </w:tcPr>
          <w:p>
            <w:pPr>
              <w:spacing w:after="40"/>
            </w:pPr>
            <w:r>
              <w:rPr>
                <w:b w:val="false"/>
                <w:bCs w:val="false"/>
                <w:sz w:val="19"/>
                <w:szCs w:val="19"/>
              </w:rPr>
              <w:t xml:space="preserve">Whoever runs the interview</w:t>
            </w:r>
          </w:p>
        </w:tc>
        <w:tc>
          <w:tcPr>
            <w:tcW w:type="dxa" w:w="2353"/>
            <w:tcMar>
              <w:top w:type="dxa" w:w="70"/>
              <w:left w:type="dxa" w:w="110"/>
              <w:bottom w:type="dxa" w:w="70"/>
              <w:right w:type="dxa" w:w="110"/>
            </w:tcMar>
            <w:vAlign w:val="top"/>
          </w:tcPr>
          <w:p>
            <w:pPr>
              <w:spacing w:after="40"/>
            </w:pPr>
            <w:r>
              <w:rPr>
                <w:b w:val="false"/>
                <w:bCs w:val="false"/>
                <w:sz w:val="19"/>
                <w:szCs w:val="19"/>
              </w:rPr>
              <w:t xml:space="preserve">Interview sheet</w:t>
            </w:r>
            <w:r>
              <w:rPr>
                <w:b w:val="false"/>
                <w:bCs w:val="false"/>
                <w:sz w:val="19"/>
                <w:szCs w:val="19"/>
              </w:rPr>
              <w:t xml:space="preserve"> (see “Verifying a profile with the respondent”)</w:t>
            </w:r>
          </w:p>
        </w:tc>
        <w:tc>
          <w:tcPr>
            <w:tcW w:type="dxa" w:w="2635"/>
            <w:tcMar>
              <w:top w:type="dxa" w:w="70"/>
              <w:left w:type="dxa" w:w="110"/>
              <w:bottom w:type="dxa" w:w="70"/>
              <w:right w:type="dxa" w:w="110"/>
            </w:tcMar>
            <w:vAlign w:val="top"/>
          </w:tcPr>
          <w:p>
            <w:pPr>
              <w:spacing w:after="40"/>
            </w:pPr>
            <w:r>
              <w:rPr>
                <w:b w:val="false"/>
                <w:bCs w:val="false"/>
                <w:sz w:val="19"/>
                <w:szCs w:val="19"/>
              </w:rPr>
              <w:t xml:space="preserve">The respondent's own answer to each fact, kept apart from the public value.</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4. Reconcile the facts that differ</w:t>
            </w:r>
          </w:p>
        </w:tc>
        <w:tc>
          <w:tcPr>
            <w:tcW w:type="dxa" w:w="1600"/>
            <w:shd w:fill="F8FAFB" w:color="auto" w:val="clear"/>
            <w:tcMar>
              <w:top w:type="dxa" w:w="70"/>
              <w:left w:type="dxa" w:w="110"/>
              <w:bottom w:type="dxa" w:w="70"/>
              <w:right w:type="dxa" w:w="110"/>
            </w:tcMar>
            <w:vAlign w:val="top"/>
          </w:tcPr>
          <w:p>
            <w:pPr>
              <w:spacing w:after="40"/>
            </w:pPr>
            <w:r>
              <w:rPr>
                <w:b w:val="false"/>
                <w:bCs w:val="false"/>
                <w:sz w:val="19"/>
                <w:szCs w:val="19"/>
              </w:rPr>
              <w:t xml:space="preserve">Coordinator or PI</w:t>
            </w:r>
          </w:p>
        </w:tc>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Reconciled value (required)</w:t>
            </w:r>
            <w:r>
              <w:rPr>
                <w:b w:val="false"/>
                <w:bCs w:val="false"/>
                <w:sz w:val="19"/>
                <w:szCs w:val="19"/>
              </w:rPr>
              <w:t xml:space="preserve"> on the interview sheet</w:t>
            </w:r>
          </w:p>
        </w:tc>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The value coded for analysis, wherever the respondent corrected or qualified a fact.</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5. Saved to KoboToolbox</w:t>
            </w:r>
          </w:p>
        </w:tc>
        <w:tc>
          <w:tcPr>
            <w:tcW w:type="dxa" w:w="1600"/>
            <w:tcMar>
              <w:top w:type="dxa" w:w="70"/>
              <w:left w:type="dxa" w:w="110"/>
              <w:bottom w:type="dxa" w:w="70"/>
              <w:right w:type="dxa" w:w="110"/>
            </w:tcMar>
            <w:vAlign w:val="top"/>
          </w:tcPr>
          <w:p>
            <w:pPr>
              <w:spacing w:after="40"/>
            </w:pPr>
            <w:r>
              <w:rPr>
                <w:b w:val="false"/>
                <w:bCs w:val="false"/>
                <w:sz w:val="19"/>
                <w:szCs w:val="19"/>
              </w:rPr>
              <w:t xml:space="preserve">Automatic</w:t>
            </w:r>
          </w:p>
        </w:tc>
        <w:tc>
          <w:tcPr>
            <w:tcW w:type="dxa" w:w="2353"/>
            <w:tcMar>
              <w:top w:type="dxa" w:w="70"/>
              <w:left w:type="dxa" w:w="110"/>
              <w:bottom w:type="dxa" w:w="70"/>
              <w:right w:type="dxa" w:w="110"/>
            </w:tcMar>
            <w:vAlign w:val="top"/>
          </w:tcPr>
          <w:p>
            <w:pPr>
              <w:spacing w:after="40"/>
            </w:pPr>
            <w:r>
              <w:rPr>
                <w:b w:val="false"/>
                <w:bCs w:val="false"/>
                <w:sz w:val="19"/>
                <w:szCs w:val="19"/>
              </w:rPr>
              <w:t xml:space="preserve">ABF-FST PROIT Interview Profile</w:t>
            </w:r>
            <w:r>
              <w:rPr>
                <w:b w:val="false"/>
                <w:bCs w:val="false"/>
                <w:sz w:val="19"/>
                <w:szCs w:val="19"/>
              </w:rPr>
              <w:t xml:space="preserve"> form</w:t>
            </w:r>
          </w:p>
        </w:tc>
        <w:tc>
          <w:tcPr>
            <w:tcW w:type="dxa" w:w="2635"/>
            <w:tcMar>
              <w:top w:type="dxa" w:w="70"/>
              <w:left w:type="dxa" w:w="110"/>
              <w:bottom w:type="dxa" w:w="70"/>
              <w:right w:type="dxa" w:w="110"/>
            </w:tcMar>
            <w:vAlign w:val="top"/>
          </w:tcPr>
          <w:p>
            <w:pPr>
              <w:spacing w:after="40"/>
            </w:pPr>
            <w:r>
              <w:rPr>
                <w:b w:val="false"/>
                <w:bCs w:val="false"/>
                <w:sz w:val="19"/>
                <w:szCs w:val="19"/>
              </w:rPr>
              <w:t xml:space="preserve">Sent by the portal the moment the last fact is settled; the sheet then shows </w:t>
            </w:r>
            <w:r>
              <w:rPr>
                <w:b w:val="false"/>
                <w:bCs w:val="false"/>
                <w:sz w:val="19"/>
                <w:szCs w:val="19"/>
              </w:rPr>
              <w:t xml:space="preserve">Saved to KoboToolbox</w:t>
            </w:r>
            <w:r>
              <w:rPr>
                <w:b w:val="false"/>
                <w:bCs w:val="false"/>
                <w:sz w:val="19"/>
                <w:szCs w:val="19"/>
              </w:rPr>
              <w:t xml:space="preserve">.</w:t>
            </w:r>
          </w:p>
        </w:tc>
      </w:tr>
    </w:tbl>
    <w:p>
      <w:pPr>
        <w:spacing w:after="120"/>
      </w:pPr>
    </w:p>
    <w:p>
      <w:pPr>
        <w:spacing w:after="120" w:line="288"/>
      </w:pPr>
      <w:r>
        <w:t xml:space="preserve">Until step 4 is finished, QA cannot accept that case's questionnaire and a KII's coding cannot become COMPLETE (see the warning under “Verifying a profile with the respondent”).</w:t>
      </w:r>
    </w:p>
    <w:p>
      <w:pPr>
        <w:pStyle w:val="Heading2"/>
      </w:pPr>
      <w:r>
        <w:t xml:space="preserve">7.25 Reassigning cases in bulk (PI, FC)</w:t>
      </w:r>
    </w:p>
    <w:p>
      <w:pPr>
        <w:spacing w:after="120" w:line="288"/>
      </w:pPr>
      <w:r>
        <w:t xml:space="preserve">Use </w:t>
      </w:r>
      <w:r>
        <w:rPr>
          <w:b/>
          <w:bCs/>
        </w:rPr>
        <w:t xml:space="preserve">Reassign cases</w:t>
      </w:r>
      <w:r>
        <w:t xml:space="preserve"> on the Main-400 Register to hand many cases to a Contact RA at once — for example when new RAs start, or when an RA leaves. For a single case, use </w:t>
      </w:r>
      <w:r>
        <w:rPr>
          <w:b/>
          <w:bCs/>
        </w:rPr>
        <w:t xml:space="preserve">Assigned Contact RA</w:t>
      </w:r>
      <w:r>
        <w:t xml:space="preserve"> on the case page.</w:t>
      </w:r>
    </w:p>
    <w:p>
      <w:pPr>
        <w:pStyle w:val="ListParagraph"/>
        <w:numPr>
          <w:ilvl w:val="0"/>
          <w:numId w:val="45"/>
        </w:numPr>
        <w:spacing w:after="80" w:line="276"/>
      </w:pPr>
      <w:r>
        <w:t xml:space="preserve">Open </w:t>
      </w:r>
      <w:r>
        <w:rPr>
          <w:b/>
          <w:bCs/>
        </w:rPr>
        <w:t xml:space="preserve">Main-400 Register</w:t>
      </w:r>
      <w:r>
        <w:t xml:space="preserve"> and find </w:t>
      </w:r>
      <w:r>
        <w:rPr>
          <w:b/>
          <w:bCs/>
        </w:rPr>
        <w:t xml:space="preserve">Reassign cases</w:t>
      </w:r>
      <w:r>
        <w:t xml:space="preserve"> (below the verification tool).</w:t>
      </w:r>
    </w:p>
    <w:p>
      <w:pPr>
        <w:pStyle w:val="ListParagraph"/>
        <w:numPr>
          <w:ilvl w:val="0"/>
          <w:numId w:val="45"/>
        </w:numPr>
        <w:spacing w:after="80" w:line="276"/>
      </w:pPr>
      <w:r>
        <w:t xml:space="preserve">Choose </w:t>
      </w:r>
      <w:r>
        <w:rPr>
          <w:b/>
          <w:bCs/>
        </w:rPr>
        <w:t xml:space="preserve">From</w:t>
      </w:r>
      <w:r>
        <w:t xml:space="preserve"> (Anyone, Unassigned, or a Contact RA), a </w:t>
      </w:r>
      <w:r>
        <w:rPr>
          <w:b/>
          <w:bCs/>
        </w:rPr>
        <w:t xml:space="preserve">Province</w:t>
      </w:r>
      <w:r>
        <w:t xml:space="preserve"> or All provinces, and </w:t>
      </w:r>
      <w:r>
        <w:rPr>
          <w:b/>
          <w:bCs/>
        </w:rPr>
        <w:t xml:space="preserve">To</w:t>
      </w:r>
      <w:r>
        <w:t xml:space="preserve"> (the Contact RA receiving the cases, or Nobody to unassign).</w:t>
      </w:r>
    </w:p>
    <w:p>
      <w:pPr>
        <w:keepNext/>
        <w:spacing w:after="40" w:before="80"/>
        <w:jc w:val="center"/>
      </w:pPr>
      <w:r>
        <w:drawing>
          <wp:inline distT="0" distB="0" distL="0" distR="0">
            <wp:extent cx="5334000" cy="771525"/>
            <wp:effectExtent t="0" r="0" b="0" l="0"/>
            <wp:docPr id="1" name="adm_reassign.jpg" descr="Reassign cases: the button shows how many cases will move." title="Reassign cases: the button shows how many cases will m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334000" cy="771525"/>
                    </a:xfrm>
                    <a:prstGeom prst="rect">
                      <a:avLst/>
                    </a:prstGeom>
                  </pic:spPr>
                </pic:pic>
              </a:graphicData>
            </a:graphic>
          </wp:inline>
        </w:drawing>
      </w:r>
    </w:p>
    <w:p>
      <w:pPr>
        <w:spacing w:after="180"/>
        <w:jc w:val="center"/>
      </w:pPr>
      <w:r>
        <w:rPr>
          <w:b/>
          <w:bCs/>
          <w:color w:val="5B6670"/>
          <w:sz w:val="17"/>
          <w:szCs w:val="17"/>
        </w:rPr>
        <w:t xml:space="preserve">Figure 63. </w:t>
      </w:r>
      <w:r>
        <w:rPr>
          <w:i/>
          <w:iCs/>
          <w:color w:val="5B6670"/>
          <w:sz w:val="17"/>
          <w:szCs w:val="17"/>
        </w:rPr>
        <w:t xml:space="preserve">Reassign cases: the button shows how many cases will move.</w:t>
      </w:r>
    </w:p>
    <w:p>
      <w:pPr>
        <w:pStyle w:val="ListParagraph"/>
        <w:numPr>
          <w:ilvl w:val="0"/>
          <w:numId w:val="45"/>
        </w:numPr>
        <w:spacing w:after="80" w:line="276"/>
      </w:pPr>
      <w:r>
        <w:t xml:space="preserve">To split a large province, type a number in </w:t>
      </w:r>
      <w:r>
        <w:rPr>
          <w:b/>
          <w:bCs/>
        </w:rPr>
        <w:t xml:space="preserve">How many</w:t>
      </w:r>
      <w:r>
        <w:t xml:space="preserve">. Cases move in Sample ID order, so move part of the province to one RA, then the rest to the next.</w:t>
      </w:r>
    </w:p>
    <w:p>
      <w:pPr>
        <w:pStyle w:val="ListParagraph"/>
        <w:numPr>
          <w:ilvl w:val="0"/>
          <w:numId w:val="45"/>
        </w:numPr>
        <w:spacing w:after="80" w:line="276"/>
      </w:pPr>
      <w:r>
        <w:t xml:space="preserve">Select </w:t>
      </w:r>
      <w:r>
        <w:rPr>
          <w:b/>
          <w:bCs/>
        </w:rPr>
        <w:t xml:space="preserve">Move N cases</w:t>
      </w:r>
      <w:r>
        <w:t xml:space="preserve"> and confirm. The move is written to the audit log with every Sample ID.</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What the RA sees</w:t>
            </w:r>
          </w:p>
          <w:p>
            <w:pPr>
              <w:spacing w:after="40" w:line="264"/>
            </w:pPr>
            <w:r>
              <w:rPr>
                <w:sz w:val="19"/>
                <w:szCs w:val="19"/>
              </w:rPr>
              <w:t xml:space="preserve">A Contact RA sees only the cases assigned to them, including on Follow-ups. Reassigning a case moves its reminders with it.</w:t>
            </w:r>
          </w:p>
        </w:tc>
      </w:tr>
    </w:tbl>
    <w:p>
      <w:pPr>
        <w:pStyle w:val="Heading2"/>
      </w:pPr>
      <w:r>
        <w:t xml:space="preserve">7.26 Verifying a profile with the respondent and reconciling it (FC, PI, KII RA, Contact RA)</w:t>
      </w:r>
    </w:p>
    <w:p>
      <w:pPr>
        <w:spacing w:after="120" w:line="288"/>
      </w:pPr>
      <w:r>
        <w:t xml:space="preserve">Once a profile is locked, the interview has two duties: confirm what is public, and ask what is not. The </w:t>
      </w:r>
      <w:r>
        <w:rPr>
          <w:b/>
          <w:bCs/>
        </w:rPr>
        <w:t xml:space="preserve">Interview sheet</w:t>
      </w:r>
      <w:r>
        <w:t xml:space="preserve"> is where you do both, and where the results are reconciled afterwards. It appears on the locked profile on the case page (coordinator and PI), on the case page of an assisted interview (Contact RA) and on the KII record (KII RA). Nothing here changes the public value.</w:t>
      </w:r>
    </w:p>
    <w:p>
      <w:pPr>
        <w:pStyle w:val="ListParagraph"/>
        <w:numPr>
          <w:ilvl w:val="0"/>
          <w:numId w:val="46"/>
        </w:numPr>
        <w:spacing w:after="80" w:line="276"/>
      </w:pPr>
      <w:r>
        <w:t xml:space="preserve">Open the case (or the KII record) and find </w:t>
      </w:r>
      <w:r>
        <w:rPr>
          <w:b/>
          <w:bCs/>
        </w:rPr>
        <w:t xml:space="preserve">Interview sheet: confirm what is public, ask what is not</w:t>
      </w:r>
      <w:r>
        <w:t xml:space="preserve">. Each row is one fact and is marked </w:t>
      </w:r>
      <w:r>
        <w:rPr>
          <w:b/>
          <w:bCs/>
        </w:rPr>
        <w:t xml:space="preserve">Confirm</w:t>
      </w:r>
      <w:r>
        <w:t xml:space="preserve">, </w:t>
      </w:r>
      <w:r>
        <w:rPr>
          <w:b/>
          <w:bCs/>
        </w:rPr>
        <w:t xml:space="preserve">Confirm, then probe</w:t>
      </w:r>
      <w:r>
        <w:t xml:space="preserve"> or </w:t>
      </w:r>
      <w:r>
        <w:rPr>
          <w:b/>
          <w:bCs/>
        </w:rPr>
        <w:t xml:space="preserve">Ask</w:t>
      </w:r>
      <w:r>
        <w:t xml:space="preserve">.</w:t>
      </w:r>
    </w:p>
    <w:p>
      <w:pPr>
        <w:keepNext/>
        <w:spacing w:after="40" w:before="80"/>
        <w:jc w:val="center"/>
      </w:pPr>
      <w:r>
        <w:drawing>
          <wp:inline distT="0" distB="0" distL="0" distR="0">
            <wp:extent cx="4752975" cy="4953000"/>
            <wp:effectExtent t="0" r="0" b="0" l="0"/>
            <wp:docPr id="1" name="proit_interview_sheet.jpg" descr="The interview sheet: confirm what is public, ask what is not." title="The interview sheet: confirm what is public, ask what is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752975" cy="4953000"/>
                    </a:xfrm>
                    <a:prstGeom prst="rect">
                      <a:avLst/>
                    </a:prstGeom>
                  </pic:spPr>
                </pic:pic>
              </a:graphicData>
            </a:graphic>
          </wp:inline>
        </w:drawing>
      </w:r>
    </w:p>
    <w:p>
      <w:pPr>
        <w:spacing w:after="180"/>
        <w:jc w:val="center"/>
      </w:pPr>
      <w:r>
        <w:rPr>
          <w:b/>
          <w:bCs/>
          <w:color w:val="5B6670"/>
          <w:sz w:val="17"/>
          <w:szCs w:val="17"/>
        </w:rPr>
        <w:t xml:space="preserve">Figure 64. </w:t>
      </w:r>
      <w:r>
        <w:rPr>
          <w:i/>
          <w:iCs/>
          <w:color w:val="5B6670"/>
          <w:sz w:val="17"/>
          <w:szCs w:val="17"/>
        </w:rPr>
        <w:t xml:space="preserve">The interview sheet: confirm what is public, ask what is not.</w:t>
      </w:r>
    </w:p>
    <w:p>
      <w:pPr>
        <w:pStyle w:val="ListParagraph"/>
        <w:numPr>
          <w:ilvl w:val="0"/>
          <w:numId w:val="46"/>
        </w:numPr>
        <w:spacing w:after="80" w:line="276"/>
      </w:pPr>
      <w:r>
        <w:t xml:space="preserve">For a </w:t>
      </w:r>
      <w:r>
        <w:rPr>
          <w:b/>
          <w:bCs/>
        </w:rPr>
        <w:t xml:space="preserve">Confirm</w:t>
      </w:r>
      <w:r>
        <w:t xml:space="preserve"> row, read the public fact to the respondent, with its source shown under it, and ask whether it is right. Never state a fact on an </w:t>
      </w:r>
      <w:r>
        <w:rPr>
          <w:b/>
          <w:bCs/>
        </w:rPr>
        <w:t xml:space="preserve">Ask</w:t>
      </w:r>
      <w:r>
        <w:t xml:space="preserve"> row: it is a question, not something established. A weak source's value is deliberately hidden.</w:t>
      </w:r>
    </w:p>
    <w:p>
      <w:pPr>
        <w:pStyle w:val="ListParagraph"/>
        <w:numPr>
          <w:ilvl w:val="0"/>
          <w:numId w:val="46"/>
        </w:numPr>
        <w:spacing w:after="80" w:line="276"/>
      </w:pPr>
      <w:r>
        <w:t xml:space="preserve">In </w:t>
      </w:r>
      <w:r>
        <w:rPr>
          <w:b/>
          <w:bCs/>
        </w:rPr>
        <w:t xml:space="preserve">What the respondent said</w:t>
      </w:r>
      <w:r>
        <w:t xml:space="preserve">, choose the answer: confirmed, corrected, partly correct or out of date, does not know, prefers not to say, or does not apply. For a correction, type </w:t>
      </w:r>
      <w:r>
        <w:rPr>
          <w:b/>
          <w:bCs/>
        </w:rPr>
        <w:t xml:space="preserve">Their answer</w:t>
      </w:r>
      <w:r>
        <w:t xml:space="preserve">. Add a comment if useful, then select </w:t>
      </w:r>
      <w:r>
        <w:rPr>
          <w:b/>
          <w:bCs/>
        </w:rPr>
        <w:t xml:space="preserve">Save answer</w:t>
      </w:r>
      <w:r>
        <w:t xml:space="preserve">.</w:t>
      </w:r>
    </w:p>
    <w:p>
      <w:pPr>
        <w:pStyle w:val="ListParagraph"/>
        <w:numPr>
          <w:ilvl w:val="0"/>
          <w:numId w:val="46"/>
        </w:numPr>
        <w:spacing w:after="80" w:line="276"/>
      </w:pPr>
      <w:r>
        <w:t xml:space="preserve">For an </w:t>
      </w:r>
      <w:r>
        <w:rPr>
          <w:b/>
          <w:bCs/>
        </w:rPr>
        <w:t xml:space="preserve">Ask</w:t>
      </w:r>
      <w:r>
        <w:t xml:space="preserve"> row, choose </w:t>
      </w:r>
      <w:r>
        <w:rPr>
          <w:b/>
          <w:bCs/>
        </w:rPr>
        <w:t xml:space="preserve">They told us</w:t>
      </w:r>
      <w:r>
        <w:t xml:space="preserve"> and type what they said, or record that they do not know or would rather not say.</w:t>
      </w:r>
    </w:p>
    <w:p>
      <w:pPr>
        <w:pStyle w:val="ListParagraph"/>
        <w:numPr>
          <w:ilvl w:val="0"/>
          <w:numId w:val="46"/>
        </w:numPr>
        <w:spacing w:after="80" w:line="276"/>
      </w:pPr>
      <w:r>
        <w:t xml:space="preserve">When the interview is over, select </w:t>
      </w:r>
      <w:r>
        <w:rPr>
          <w:b/>
          <w:bCs/>
        </w:rPr>
        <w:t xml:space="preserve">Interview finished</w:t>
      </w:r>
      <w:r>
        <w:t xml:space="preserve">.</w:t>
      </w:r>
    </w:p>
    <w:p>
      <w:pPr>
        <w:spacing w:after="80"/>
      </w:pPr>
    </w:p>
    <w:p>
      <w:pPr>
        <w:pStyle w:val="Heading3"/>
      </w:pPr>
      <w:r>
        <w:t xml:space="preserve">After the interview: reconcile (coordinator and PI)</w:t>
      </w:r>
    </w:p>
    <w:p>
      <w:pPr>
        <w:pStyle w:val="ListParagraph"/>
        <w:numPr>
          <w:ilvl w:val="0"/>
          <w:numId w:val="47"/>
        </w:numPr>
        <w:spacing w:after="80" w:line="276"/>
      </w:pPr>
      <w:r>
        <w:t xml:space="preserve">Rows where the respondent corrected or qualified a fact show </w:t>
      </w:r>
      <w:r>
        <w:rPr>
          <w:b/>
          <w:bCs/>
        </w:rPr>
        <w:t xml:space="preserve">Differs from the public source</w:t>
      </w:r>
      <w:r>
        <w:t xml:space="preserve">. Under </w:t>
      </w:r>
      <w:r>
        <w:rPr>
          <w:b/>
          <w:bCs/>
        </w:rPr>
        <w:t xml:space="preserve">Reconciled value (required)</w:t>
      </w:r>
      <w:r>
        <w:t xml:space="preserve">, type the value you code for analysis, then select </w:t>
      </w:r>
      <w:r>
        <w:rPr>
          <w:b/>
          <w:bCs/>
        </w:rPr>
        <w:t xml:space="preserve">Save reconciled value</w:t>
      </w:r>
      <w:r>
        <w:t xml:space="preserve">. A plain confirmation or “does not apply” needs no reconciled value.</w:t>
      </w:r>
    </w:p>
    <w:p>
      <w:pPr>
        <w:keepNext/>
        <w:spacing w:after="40" w:before="80"/>
        <w:jc w:val="center"/>
      </w:pPr>
      <w:r>
        <w:drawing>
          <wp:inline distT="0" distB="0" distL="0" distR="0">
            <wp:extent cx="5334000" cy="1152525"/>
            <wp:effectExtent t="0" r="0" b="0" l="0"/>
            <wp:docPr id="1" name="proit_reconcile.jpg" descr="Reconciling a corrected fact: the three values stay separate." title="Reconciling a corrected fact: the three values stay sepa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334000" cy="1152525"/>
                    </a:xfrm>
                    <a:prstGeom prst="rect">
                      <a:avLst/>
                    </a:prstGeom>
                  </pic:spPr>
                </pic:pic>
              </a:graphicData>
            </a:graphic>
          </wp:inline>
        </w:drawing>
      </w:r>
    </w:p>
    <w:p>
      <w:pPr>
        <w:spacing w:after="180"/>
        <w:jc w:val="center"/>
      </w:pPr>
      <w:r>
        <w:rPr>
          <w:b/>
          <w:bCs/>
          <w:color w:val="5B6670"/>
          <w:sz w:val="17"/>
          <w:szCs w:val="17"/>
        </w:rPr>
        <w:t xml:space="preserve">Figure 65. </w:t>
      </w:r>
      <w:r>
        <w:rPr>
          <w:i/>
          <w:iCs/>
          <w:color w:val="5B6670"/>
          <w:sz w:val="17"/>
          <w:szCs w:val="17"/>
        </w:rPr>
        <w:t xml:space="preserve">Reconciling a corrected fact: the three values stay separate.</w:t>
      </w:r>
    </w:p>
    <w:p>
      <w:pPr>
        <w:pStyle w:val="ListParagraph"/>
        <w:numPr>
          <w:ilvl w:val="0"/>
          <w:numId w:val="47"/>
        </w:numPr>
        <w:spacing w:after="80" w:line="276"/>
      </w:pPr>
      <w:r>
        <w:t xml:space="preserve">The status at the top of the sheet counts up: “Verified 6 of 8 · settled 5 of 8”, then </w:t>
      </w:r>
      <w:r>
        <w:rPr>
          <w:b/>
          <w:bCs/>
        </w:rPr>
        <w:t xml:space="preserve">Reconciled</w:t>
      </w:r>
      <w:r>
        <w:t xml:space="preserve"> when every fact is settled. At that moment the portal also sends the whole profile (what was known, what the respondent said, the reconciled value, and the sources) to KoboToolbox, in the </w:t>
      </w:r>
      <w:r>
        <w:rPr>
          <w:b/>
          <w:bCs/>
        </w:rPr>
        <w:t xml:space="preserve">ABF-FST PROIT Interview Profile</w:t>
      </w:r>
      <w:r>
        <w:t xml:space="preserve"> form, and the status shows </w:t>
      </w:r>
      <w:r>
        <w:rPr>
          <w:b/>
          <w:bCs/>
        </w:rPr>
        <w:t xml:space="preserve">Saved to KoboToolbox</w:t>
      </w:r>
      <w:r>
        <w:t xml:space="preserve">.</w:t>
      </w:r>
    </w:p>
    <w:p>
      <w:pPr>
        <w:pStyle w:val="ListParagraph"/>
        <w:numPr>
          <w:ilvl w:val="0"/>
          <w:numId w:val="47"/>
        </w:numPr>
        <w:spacing w:after="80" w:line="276"/>
      </w:pPr>
      <w:r>
        <w:t xml:space="preserve">If reconciliation truly cannot be finished (for example the respondent cannot be reached again), select </w:t>
      </w:r>
      <w:r>
        <w:rPr>
          <w:b/>
          <w:bCs/>
        </w:rPr>
        <w:t xml:space="preserve">Record a protocol deviation</w:t>
      </w:r>
      <w:r>
        <w:t xml:space="preserve"> and give the reason. The case is released but stays flagged.</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A case is not complete until its profile is reconciled</w:t>
            </w:r>
          </w:p>
          <w:p>
            <w:pPr>
              <w:spacing w:after="40" w:line="264"/>
            </w:pPr>
            <w:r>
              <w:rPr>
                <w:sz w:val="19"/>
                <w:szCs w:val="19"/>
              </w:rPr>
              <w:t xml:space="preserve">QA cannot </w:t>
            </w:r>
            <w:r>
              <w:rPr>
                <w:b/>
                <w:bCs/>
                <w:sz w:val="19"/>
                <w:szCs w:val="19"/>
              </w:rPr>
              <w:t xml:space="preserve">Accept</w:t>
            </w:r>
            <w:r>
              <w:rPr>
                <w:sz w:val="19"/>
                <w:szCs w:val="19"/>
              </w:rPr>
              <w:t xml:space="preserve"> a questionnaire, and a KII's coding cannot become COMPLETE, while a locked profile still has facts not verified with the respondent or not reconciled. The message says how many are outstanding. Re-query and Reject are never blocked.</w:t>
            </w:r>
          </w:p>
          <w:p>
            <w:pPr>
              <w:spacing w:after="40" w:line="264"/>
            </w:pPr>
            <w:r>
              <w:rPr>
                <w:sz w:val="19"/>
                <w:szCs w:val="19"/>
              </w:rPr>
              <w:t xml:space="preserve">This applies only to a case that has a locked profile with facts on it. A case with no profile is not held up.</w:t>
            </w:r>
          </w:p>
        </w:tc>
      </w:tr>
    </w:tbl>
    <w:p>
      <w:pPr>
        <w:pStyle w:val="Heading2"/>
      </w:pPr>
      <w:r>
        <w:t xml:space="preserve">7.27 Publishing a Research Clearance document (PI)</w:t>
      </w:r>
    </w:p>
    <w:p>
      <w:pPr>
        <w:spacing w:after="120" w:line="288"/>
      </w:pPr>
      <w:r>
        <w:t xml:space="preserve">The official letters that show this study is real and approved — ethics clearance, institutional or government approval, confirmation of supervision, an introduction letter — so a respondent can check for themselves before answering anything. A document is private until you publish it: nothing appears to a respondent until it has a file attached </w:t>
      </w:r>
      <w:r>
        <w:rPr>
          <w:b/>
          <w:bCs/>
        </w:rPr>
        <w:t xml:space="preserve">and</w:t>
      </w:r>
      <w:r>
        <w:t xml:space="preserve"> Shown to respondents is switched on.</w:t>
      </w:r>
    </w:p>
    <w:p>
      <w:pPr>
        <w:pStyle w:val="ListParagraph"/>
        <w:numPr>
          <w:ilvl w:val="0"/>
          <w:numId w:val="48"/>
        </w:numPr>
        <w:spacing w:after="80" w:line="276"/>
      </w:pPr>
      <w:r>
        <w:t xml:space="preserve">Select </w:t>
      </w:r>
      <w:r>
        <w:rPr>
          <w:b/>
          <w:bCs/>
        </w:rPr>
        <w:t xml:space="preserve">Research Clearance</w:t>
      </w:r>
      <w:r>
        <w:t xml:space="preserve">.</w:t>
      </w:r>
    </w:p>
    <w:p>
      <w:pPr>
        <w:pStyle w:val="ListParagraph"/>
        <w:numPr>
          <w:ilvl w:val="0"/>
          <w:numId w:val="48"/>
        </w:numPr>
        <w:spacing w:after="80" w:line="276"/>
      </w:pPr>
      <w:r>
        <w:t xml:space="preserve">Under </w:t>
      </w:r>
      <w:r>
        <w:rPr>
          <w:b/>
          <w:bCs/>
        </w:rPr>
        <w:t xml:space="preserve">Add a document</w:t>
      </w:r>
      <w:r>
        <w:t xml:space="preserve">, enter the </w:t>
      </w:r>
      <w:r>
        <w:rPr>
          <w:b/>
          <w:bCs/>
        </w:rPr>
        <w:t xml:space="preserve">Title</w:t>
      </w:r>
      <w:r>
        <w:t xml:space="preserve">, </w:t>
      </w:r>
      <w:r>
        <w:rPr>
          <w:b/>
          <w:bCs/>
        </w:rPr>
        <w:t xml:space="preserve">Issuing body</w:t>
      </w:r>
      <w:r>
        <w:t xml:space="preserve">, </w:t>
      </w:r>
      <w:r>
        <w:rPr>
          <w:b/>
          <w:bCs/>
        </w:rPr>
        <w:t xml:space="preserve">Type</w:t>
      </w:r>
      <w:r>
        <w:t xml:space="preserve">, the </w:t>
      </w:r>
      <w:r>
        <w:rPr>
          <w:b/>
          <w:bCs/>
        </w:rPr>
        <w:t xml:space="preserve">Reference number</w:t>
      </w:r>
      <w:r>
        <w:t xml:space="preserve"> as printed on the letter (if any), the </w:t>
      </w:r>
      <w:r>
        <w:rPr>
          <w:b/>
          <w:bCs/>
        </w:rPr>
        <w:t xml:space="preserve">Date on the letter</w:t>
      </w:r>
      <w:r>
        <w:t xml:space="preserve">, and an optional plain-language </w:t>
      </w:r>
      <w:r>
        <w:rPr>
          <w:b/>
          <w:bCs/>
        </w:rPr>
        <w:t xml:space="preserve">Description</w:t>
      </w:r>
      <w:r>
        <w:t xml:space="preserve">, then select </w:t>
      </w:r>
      <w:r>
        <w:rPr>
          <w:b/>
          <w:bCs/>
        </w:rPr>
        <w:t xml:space="preserve">Add document</w:t>
      </w:r>
      <w:r>
        <w:t xml:space="preserve">.</w:t>
      </w:r>
    </w:p>
    <w:p>
      <w:pPr>
        <w:pStyle w:val="ListParagraph"/>
        <w:numPr>
          <w:ilvl w:val="0"/>
          <w:numId w:val="48"/>
        </w:numPr>
        <w:spacing w:after="80" w:line="276"/>
      </w:pPr>
      <w:r>
        <w:t xml:space="preserve">Select </w:t>
      </w:r>
      <w:r>
        <w:rPr>
          <w:b/>
          <w:bCs/>
        </w:rPr>
        <w:t xml:space="preserve">Upload file</w:t>
      </w:r>
      <w:r>
        <w:t xml:space="preserve"> on the new row and choose the letter (PDF, JPG or PNG, up to 20MB).</w:t>
      </w:r>
    </w:p>
    <w:p>
      <w:pPr>
        <w:pStyle w:val="ListParagraph"/>
        <w:numPr>
          <w:ilvl w:val="0"/>
          <w:numId w:val="48"/>
        </w:numPr>
        <w:spacing w:after="80" w:line="276"/>
      </w:pPr>
      <w:r>
        <w:t xml:space="preserve">Tick </w:t>
      </w:r>
      <w:r>
        <w:rPr>
          <w:b/>
          <w:bCs/>
        </w:rPr>
        <w:t xml:space="preserve">Shown to respondents</w:t>
      </w:r>
      <w:r>
        <w:t xml:space="preserve"> when you are ready for respondents to see it. It appears immediately on the Participant Information step of every invitation link, for Main-400 respondents and KII informants alike.</w:t>
      </w:r>
    </w:p>
    <w:p>
      <w:pPr>
        <w:pStyle w:val="ListParagraph"/>
        <w:numPr>
          <w:ilvl w:val="0"/>
          <w:numId w:val="48"/>
        </w:numPr>
        <w:spacing w:after="80" w:line="276"/>
      </w:pPr>
      <w:r>
        <w:rPr>
          <w:b/>
          <w:bCs/>
        </w:rPr>
        <w:t xml:space="preserve">Active</w:t>
      </w:r>
      <w:r>
        <w:t xml:space="preserve"> can be switched off to retire a document without deleting it — for example a superseded letter you still want on record.</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Nothing is shown by accident</w:t>
            </w:r>
          </w:p>
          <w:p>
            <w:pPr>
              <w:spacing w:after="40" w:line="264"/>
            </w:pPr>
            <w:r>
              <w:rPr>
                <w:sz w:val="19"/>
                <w:szCs w:val="19"/>
              </w:rPr>
              <w:t xml:space="preserve">A document needs a file and Shown to respondents </w:t>
            </w:r>
            <w:r>
              <w:rPr>
                <w:b/>
                <w:bCs/>
                <w:sz w:val="19"/>
                <w:szCs w:val="19"/>
              </w:rPr>
              <w:t xml:space="preserve">both</w:t>
            </w:r>
            <w:r>
              <w:rPr>
                <w:sz w:val="19"/>
                <w:szCs w:val="19"/>
              </w:rPr>
              <w:t xml:space="preserve"> before any respondent sees it. Adding a document or uploading a file does not publish it on its own.</w:t>
            </w:r>
          </w:p>
        </w:tc>
      </w:tr>
    </w:tbl>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A published document cannot be deleted</w:t>
            </w:r>
          </w:p>
          <w:p>
            <w:pPr>
              <w:spacing w:after="40" w:line="264"/>
            </w:pPr>
            <w:r>
              <w:rPr>
                <w:sz w:val="19"/>
                <w:szCs w:val="19"/>
              </w:rPr>
              <w:t xml:space="preserve">Once a document has been shown to a respondent — even briefly — Delete is refused, by the server as well as the screen, so there is always a record of what respondents were shown. Switch Shown to respondents and Active off instead.</w:t>
            </w:r>
          </w:p>
        </w:tc>
      </w:tr>
    </w:tbl>
    <w:p>
      <w:pPr>
        <w:pStyle w:val="Heading2"/>
      </w:pPr>
      <w:r>
        <w:t xml:space="preserve">7.28 Finding contact details with AI (PI, FC)</w:t>
      </w:r>
    </w:p>
    <w:p>
      <w:pPr>
        <w:spacing w:after="120" w:line="288"/>
      </w:pPr>
      <w:r>
        <w:t xml:space="preserve">Many cases have no phone, WhatsApp or email on file, so they cannot be invited. The contact finder searches public sources for an organisation's </w:t>
      </w:r>
      <w:r>
        <w:rPr>
          <w:b/>
          <w:bCs/>
        </w:rPr>
        <w:t xml:space="preserve">published</w:t>
      </w:r>
      <w:r>
        <w:t xml:space="preserve"> phone number and email address, and for senior staff the organisation itself names (for example on its own website or annual report), but only with their published phone or email. It no longer looks for websites or office addresses, and a name found without a phone or email is not kept. Like PROIT research, it only proposes: nothing is saved until you accept it.</w:t>
      </w:r>
    </w:p>
    <w:p>
      <w:pPr>
        <w:pStyle w:val="Heading3"/>
      </w:pPr>
      <w:r>
        <w:t xml:space="preserve">For one case</w:t>
      </w:r>
    </w:p>
    <w:p>
      <w:pPr>
        <w:pStyle w:val="ListParagraph"/>
        <w:numPr>
          <w:ilvl w:val="0"/>
          <w:numId w:val="49"/>
        </w:numPr>
        <w:spacing w:after="80" w:line="276"/>
      </w:pPr>
      <w:r>
        <w:t xml:space="preserve">Open the case (</w:t>
      </w:r>
      <w:r>
        <w:rPr>
          <w:b/>
          <w:bCs/>
        </w:rPr>
        <w:t xml:space="preserve">Main-400 Register → View</w:t>
      </w:r>
      <w:r>
        <w:t xml:space="preserve">) and find </w:t>
      </w:r>
      <w:r>
        <w:rPr>
          <w:b/>
          <w:bCs/>
        </w:rPr>
        <w:t xml:space="preserve">Find contact details with AI</w:t>
      </w:r>
      <w:r>
        <w:t xml:space="preserve">.</w:t>
      </w:r>
    </w:p>
    <w:p>
      <w:pPr>
        <w:pStyle w:val="ListParagraph"/>
        <w:numPr>
          <w:ilvl w:val="0"/>
          <w:numId w:val="49"/>
        </w:numPr>
        <w:spacing w:after="80" w:line="276"/>
      </w:pPr>
      <w:r>
        <w:t xml:space="preserve">Select </w:t>
      </w:r>
      <w:r>
        <w:rPr>
          <w:b/>
          <w:bCs/>
        </w:rPr>
        <w:t xml:space="preserve">Find contact details</w:t>
      </w:r>
      <w:r>
        <w:t xml:space="preserve">. Searches run one at a time, about a minute each. If others are ahead, the button reads </w:t>
      </w:r>
      <w:r>
        <w:rPr>
          <w:b/>
          <w:bCs/>
        </w:rPr>
        <w:t xml:space="preserve">Waiting in line…</w:t>
      </w:r>
      <w:r>
        <w:t xml:space="preserve"> and says how many; it starts by itself. You can leave the page and come back.</w:t>
      </w:r>
    </w:p>
    <w:p>
      <w:pPr>
        <w:pStyle w:val="ListParagraph"/>
        <w:numPr>
          <w:ilvl w:val="0"/>
          <w:numId w:val="49"/>
        </w:numPr>
        <w:spacing w:after="80" w:line="276"/>
      </w:pPr>
      <w:r>
        <w:t xml:space="preserve">Under </w:t>
      </w:r>
      <w:r>
        <w:rPr>
          <w:b/>
          <w:bCs/>
        </w:rPr>
        <w:t xml:space="preserve">To review</w:t>
      </w:r>
      <w:r>
        <w:t xml:space="preserve">, each finding shows what was found, a confidence level, and the page it came from with the passage that shows it. Select the page title to open it and check it is the right organisation.</w:t>
      </w:r>
    </w:p>
    <w:p>
      <w:pPr>
        <w:pStyle w:val="ListParagraph"/>
        <w:numPr>
          <w:ilvl w:val="0"/>
          <w:numId w:val="49"/>
        </w:numPr>
        <w:spacing w:after="80" w:line="276"/>
      </w:pPr>
      <w:r>
        <w:t xml:space="preserve">Decide on each one:</w:t>
      </w:r>
    </w:p>
    <w:p>
      <w:pPr>
        <w:pStyle w:val="ListParagraph"/>
        <w:numPr>
          <w:ilvl w:val="1"/>
          <w:numId w:val="2"/>
        </w:numPr>
        <w:spacing w:after="40"/>
      </w:pPr>
      <w:r>
        <w:t xml:space="preserve">An organisation </w:t>
      </w:r>
      <w:r>
        <w:rPr>
          <w:b/>
          <w:bCs/>
        </w:rPr>
        <w:t xml:space="preserve">phone</w:t>
      </w:r>
      <w:r>
        <w:t xml:space="preserve"> or </w:t>
      </w:r>
      <w:r>
        <w:rPr>
          <w:b/>
          <w:bCs/>
        </w:rPr>
        <w:t xml:space="preserve">email</w:t>
      </w:r>
      <w:r>
        <w:t xml:space="preserve">: </w:t>
      </w:r>
      <w:r>
        <w:rPr>
          <w:b/>
          <w:bCs/>
        </w:rPr>
        <w:t xml:space="preserve">Accept</w:t>
      </w:r>
      <w:r>
        <w:t xml:space="preserve"> records it on a respondent called “Organisation contact (to be identified)”, ready for you to phone the organisation and find the right person. It never overwrites a different number or address already there; edit that under </w:t>
      </w:r>
      <w:r>
        <w:rPr>
          <w:b/>
          <w:bCs/>
        </w:rPr>
        <w:t xml:space="preserve">Respondents and contact details</w:t>
      </w:r>
      <w:r>
        <w:t xml:space="preserve"> instead.</w:t>
      </w:r>
    </w:p>
    <w:p>
      <w:pPr>
        <w:pStyle w:val="ListParagraph"/>
        <w:numPr>
          <w:ilvl w:val="1"/>
          <w:numId w:val="2"/>
        </w:numPr>
        <w:spacing w:after="40"/>
      </w:pPr>
      <w:r>
        <w:t xml:space="preserve">A </w:t>
      </w:r>
      <w:r>
        <w:rPr>
          <w:b/>
          <w:bCs/>
        </w:rPr>
        <w:t xml:space="preserve">named person</w:t>
      </w:r>
      <w:r>
        <w:t xml:space="preserve">: choose their </w:t>
      </w:r>
      <w:r>
        <w:rPr>
          <w:b/>
          <w:bCs/>
        </w:rPr>
        <w:t xml:space="preserve">Role</w:t>
      </w:r>
      <w:r>
        <w:t xml:space="preserve"> if the page shows it, then </w:t>
      </w:r>
      <w:r>
        <w:rPr>
          <w:b/>
          <w:bCs/>
        </w:rPr>
        <w:t xml:space="preserve">Accept</w:t>
      </w:r>
      <w:r>
        <w:t xml:space="preserve">. They become a new respondent, marked not yet screened. Screen them for eligibility before inviting.</w:t>
      </w:r>
    </w:p>
    <w:p>
      <w:pPr>
        <w:pStyle w:val="ListParagraph"/>
        <w:numPr>
          <w:ilvl w:val="1"/>
          <w:numId w:val="2"/>
        </w:numPr>
        <w:spacing w:after="40"/>
      </w:pPr>
      <w:r>
        <w:t xml:space="preserve">A </w:t>
      </w:r>
      <w:r>
        <w:rPr>
          <w:b/>
          <w:bCs/>
        </w:rPr>
        <w:t xml:space="preserve">website</w:t>
      </w:r>
      <w:r>
        <w:t xml:space="preserve"> or </w:t>
      </w:r>
      <w:r>
        <w:rPr>
          <w:b/>
          <w:bCs/>
        </w:rPr>
        <w:t xml:space="preserve">office location</w:t>
      </w:r>
      <w:r>
        <w:t xml:space="preserve"> found by an earlier search (before 6 October 2026) can still be accepted; it is kept with the organisation and shown at the top of the panel. New searches no longer propose them.</w:t>
      </w:r>
    </w:p>
    <w:p>
      <w:pPr>
        <w:pStyle w:val="ListParagraph"/>
        <w:numPr>
          <w:ilvl w:val="1"/>
          <w:numId w:val="2"/>
        </w:numPr>
        <w:spacing w:after="40"/>
      </w:pPr>
      <w:r>
        <w:rPr>
          <w:b/>
          <w:bCs/>
        </w:rPr>
        <w:t xml:space="preserve">Reject</w:t>
      </w:r>
      <w:r>
        <w:t xml:space="preserve"> anything that belongs to a different organisation with a similar name, or that you cannot confirm on the page.</w:t>
      </w:r>
    </w:p>
    <w:p>
      <w:pPr>
        <w:pStyle w:val="ListParagraph"/>
        <w:numPr>
          <w:ilvl w:val="0"/>
          <w:numId w:val="49"/>
        </w:numPr>
        <w:spacing w:after="80" w:line="276"/>
      </w:pPr>
      <w:r>
        <w:t xml:space="preserve">When the case has a confirmed eligible respondent and a number, verify it to </w:t>
      </w:r>
      <w:r>
        <w:rPr>
          <w:b/>
          <w:bCs/>
        </w:rPr>
        <w:t xml:space="preserve">S03</w:t>
      </w:r>
      <w:r>
        <w:t xml:space="preserve"> and invite it as usual.</w:t>
      </w:r>
    </w:p>
    <w:p>
      <w:pPr>
        <w:spacing w:after="80"/>
      </w:pPr>
    </w:p>
    <w:p>
      <w:pPr>
        <w:pStyle w:val="Heading3"/>
      </w:pPr>
      <w:r>
        <w:t xml:space="preserve">For many cases at once (coordinator and PI)</w:t>
      </w:r>
    </w:p>
    <w:p>
      <w:pPr>
        <w:pStyle w:val="ListParagraph"/>
        <w:numPr>
          <w:ilvl w:val="0"/>
          <w:numId w:val="50"/>
        </w:numPr>
        <w:spacing w:after="80" w:line="276"/>
      </w:pPr>
      <w:r>
        <w:t xml:space="preserve">Open </w:t>
      </w:r>
      <w:r>
        <w:rPr>
          <w:b/>
          <w:bCs/>
        </w:rPr>
        <w:t xml:space="preserve">Main-400 Register</w:t>
      </w:r>
      <w:r>
        <w:t xml:space="preserve">. The </w:t>
      </w:r>
      <w:r>
        <w:rPr>
          <w:b/>
          <w:bCs/>
        </w:rPr>
        <w:t xml:space="preserve">Find contact details with AI</w:t>
      </w:r>
      <w:r>
        <w:t xml:space="preserve"> panel says how many cases not yet invited have no phone, WhatsApp or email, and the rough cost per case.</w:t>
      </w:r>
    </w:p>
    <w:p>
      <w:pPr>
        <w:pStyle w:val="ListParagraph"/>
        <w:numPr>
          <w:ilvl w:val="0"/>
          <w:numId w:val="50"/>
        </w:numPr>
        <w:spacing w:after="80" w:line="276"/>
      </w:pPr>
      <w:r>
        <w:t xml:space="preserve">Type a number in </w:t>
      </w:r>
      <w:r>
        <w:rPr>
          <w:b/>
          <w:bCs/>
        </w:rPr>
        <w:t xml:space="preserve">How many cases</w:t>
      </w:r>
      <w:r>
        <w:t xml:space="preserve"> (up to 25 at a time) and select </w:t>
      </w:r>
      <w:r>
        <w:rPr>
          <w:b/>
          <w:bCs/>
        </w:rPr>
        <w:t xml:space="preserve">Find contacts</w:t>
      </w:r>
      <w:r>
        <w:t xml:space="preserve">. Cases are searched in Sample ID order; a case searched in the last 30 days is skipped.</w:t>
      </w:r>
    </w:p>
    <w:p>
      <w:pPr>
        <w:pStyle w:val="ListParagraph"/>
        <w:numPr>
          <w:ilvl w:val="0"/>
          <w:numId w:val="50"/>
        </w:numPr>
        <w:spacing w:after="80" w:line="276"/>
      </w:pPr>
      <w:r>
        <w:t xml:space="preserve">The searches run one at a time, about a minute each, so a batch of 25 takes around half an hour. The panel shows the progress, for example “Batch in progress: 6 done, 1 searching now, 18 waiting (of 25)”. Only one batch runs at a time: start the next when this one has finished.</w:t>
      </w:r>
    </w:p>
    <w:p>
      <w:pPr>
        <w:pStyle w:val="ListParagraph"/>
        <w:numPr>
          <w:ilvl w:val="0"/>
          <w:numId w:val="50"/>
        </w:numPr>
        <w:spacing w:after="80" w:line="276"/>
      </w:pPr>
      <w:r>
        <w:t xml:space="preserve">Under </w:t>
      </w:r>
      <w:r>
        <w:rPr>
          <w:b/>
          <w:bCs/>
        </w:rPr>
        <w:t xml:space="preserve">Findings to review</w:t>
      </w:r>
      <w:r>
        <w:t xml:space="preserve">, the panel lists every case whose findings are waiting for a decision. Select </w:t>
      </w:r>
      <w:r>
        <w:rPr>
          <w:b/>
          <w:bCs/>
        </w:rPr>
        <w:t xml:space="preserve">Review N findings</w:t>
      </w:r>
      <w:r>
        <w:t xml:space="preserve"> to open the case and accept or reject them: a batch never saves anything by itself.</w:t>
      </w:r>
    </w:p>
    <w:p>
      <w:pPr>
        <w:spacing w:after="80"/>
      </w:pPr>
    </w:p>
    <w:p>
      <w:pPr>
        <w:pStyle w:val="Heading3"/>
      </w:pPr>
      <w:r>
        <w:t xml:space="preserve">Reviewing many findings at once (coordinator and PI)</w:t>
      </w:r>
    </w:p>
    <w:p>
      <w:pPr>
        <w:pStyle w:val="ListParagraph"/>
        <w:numPr>
          <w:ilvl w:val="0"/>
          <w:numId w:val="51"/>
        </w:numPr>
        <w:spacing w:after="80" w:line="276"/>
      </w:pPr>
      <w:r>
        <w:t xml:space="preserve">On the register, under </w:t>
      </w:r>
      <w:r>
        <w:rPr>
          <w:b/>
          <w:bCs/>
        </w:rPr>
        <w:t xml:space="preserve">Findings to review</w:t>
      </w:r>
      <w:r>
        <w:t xml:space="preserve">, select </w:t>
      </w:r>
      <w:r>
        <w:rPr>
          <w:b/>
          <w:bCs/>
        </w:rPr>
        <w:t xml:space="preserve">Review them all on one page</w:t>
      </w:r>
      <w:r>
        <w:t xml:space="preserve">. Every waiting finding is listed, grouped by case, with its confidence, the site it came from and the passage quoted from that page.</w:t>
      </w:r>
    </w:p>
    <w:p>
      <w:pPr>
        <w:pStyle w:val="ListParagraph"/>
        <w:numPr>
          <w:ilvl w:val="0"/>
          <w:numId w:val="51"/>
        </w:numPr>
        <w:spacing w:after="80" w:line="276"/>
      </w:pPr>
      <w:r>
        <w:t xml:space="preserve">Use the filters to work in the most useful order. </w:t>
      </w:r>
      <w:r>
        <w:rPr>
          <w:b/>
          <w:bCs/>
        </w:rPr>
        <w:t xml:space="preserve">Phones</w:t>
      </w:r>
      <w:r>
        <w:t xml:space="preserve"> and </w:t>
      </w:r>
      <w:r>
        <w:rPr>
          <w:b/>
          <w:bCs/>
        </w:rPr>
        <w:t xml:space="preserve">Emails</w:t>
      </w:r>
      <w:r>
        <w:t xml:space="preserve"> are chosen to begin with, because they are what an invitation needs; add </w:t>
      </w:r>
      <w:r>
        <w:rPr>
          <w:b/>
          <w:bCs/>
        </w:rPr>
        <w:t xml:space="preserve">Named people</w:t>
      </w:r>
      <w:r>
        <w:t xml:space="preserve">, </w:t>
      </w:r>
      <w:r>
        <w:rPr>
          <w:b/>
          <w:bCs/>
        </w:rPr>
        <w:t xml:space="preserve">Websites</w:t>
      </w:r>
      <w:r>
        <w:t xml:space="preserve"> or </w:t>
      </w:r>
      <w:r>
        <w:rPr>
          <w:b/>
          <w:bCs/>
        </w:rPr>
        <w:t xml:space="preserve">Office locations</w:t>
      </w:r>
      <w:r>
        <w:t xml:space="preserve"> later. Choose </w:t>
      </w:r>
      <w:r>
        <w:rPr>
          <w:b/>
          <w:bCs/>
        </w:rPr>
        <w:t xml:space="preserve">High</w:t>
      </w:r>
      <w:r>
        <w:t xml:space="preserve"> confidence to start with the strongest, or pick a </w:t>
      </w:r>
      <w:r>
        <w:rPr>
          <w:b/>
          <w:bCs/>
        </w:rPr>
        <w:t xml:space="preserve">Source site</w:t>
      </w:r>
      <w:r>
        <w:t xml:space="preserve"> to judge one site's findings together.</w:t>
      </w:r>
    </w:p>
    <w:p>
      <w:pPr>
        <w:pStyle w:val="ListParagraph"/>
        <w:numPr>
          <w:ilvl w:val="0"/>
          <w:numId w:val="51"/>
        </w:numPr>
        <w:spacing w:after="80" w:line="276"/>
      </w:pPr>
      <w:r>
        <w:t xml:space="preserve">For each finding, read the quote (select the title to open the page if in doubt), then </w:t>
      </w:r>
      <w:r>
        <w:rPr>
          <w:b/>
          <w:bCs/>
        </w:rPr>
        <w:t xml:space="preserve">Accept</w:t>
      </w:r>
      <w:r>
        <w:t xml:space="preserve"> or </w:t>
      </w:r>
      <w:r>
        <w:rPr>
          <w:b/>
          <w:bCs/>
        </w:rPr>
        <w:t xml:space="preserve">Reject</w:t>
      </w:r>
      <w:r>
        <w:t xml:space="preserve">. For a named person, choose their </w:t>
      </w:r>
      <w:r>
        <w:rPr>
          <w:b/>
          <w:bCs/>
        </w:rPr>
        <w:t xml:space="preserve">Role</w:t>
      </w:r>
      <w:r>
        <w:t xml:space="preserve"> first.</w:t>
      </w:r>
    </w:p>
    <w:p>
      <w:pPr>
        <w:pStyle w:val="ListParagraph"/>
        <w:numPr>
          <w:ilvl w:val="0"/>
          <w:numId w:val="51"/>
        </w:numPr>
        <w:spacing w:after="80" w:line="276"/>
      </w:pPr>
      <w:r>
        <w:t xml:space="preserve">When everything shown for a case is right, </w:t>
      </w:r>
      <w:r>
        <w:rPr>
          <w:b/>
          <w:bCs/>
        </w:rPr>
        <w:t xml:space="preserve">Accept all N shown</w:t>
      </w:r>
      <w:r>
        <w:t xml:space="preserve"> accepts them in one go. It is not offered when a case shows more than one phone or more than one email (choose the right one) or a named person (accept with a role). </w:t>
      </w:r>
      <w:r>
        <w:rPr>
          <w:b/>
          <w:bCs/>
        </w:rPr>
        <w:t xml:space="preserve">Reject all shown</w:t>
      </w:r>
      <w:r>
        <w:t xml:space="preserve"> asks you to confirm first.</w:t>
      </w:r>
    </w:p>
    <w:p>
      <w:pPr>
        <w:pStyle w:val="ListParagraph"/>
        <w:numPr>
          <w:ilvl w:val="0"/>
          <w:numId w:val="51"/>
        </w:numPr>
        <w:spacing w:after="80" w:line="276"/>
      </w:pPr>
      <w:r>
        <w:t xml:space="preserve">Decided findings disappear from the list. Each decision is recorded in the audit log under your name, exactly as on the case page.</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Cost</w:t>
            </w:r>
          </w:p>
          <w:p>
            <w:pPr>
              <w:spacing w:after="40" w:line="264"/>
            </w:pPr>
            <w:r>
              <w:rPr>
                <w:sz w:val="19"/>
                <w:szCs w:val="19"/>
              </w:rPr>
              <w:t xml:space="preserve">Each search is a paid request on the study's AI account, about USD 0.05–0.15 per organisation. The batch panel shows the estimate before you start.</w:t>
            </w:r>
          </w:p>
        </w:tc>
      </w:tr>
    </w:tbl>
    <w:p>
      <w:pPr>
        <w:pStyle w:val="Heading3"/>
      </w:pPr>
      <w:r>
        <w:t xml:space="preserve">Importing background research done in ChatGPT</w:t>
      </w:r>
    </w:p>
    <w:p>
      <w:pPr>
        <w:spacing w:after="120" w:line="288"/>
      </w:pPr>
      <w:r>
        <w:t xml:space="preserve">If you researched businesses in ChatGPT with the Main-400 research pack (its Fill A Contacts and Fill B PROIT facts sheets), the PI or Field Coordinator can load the returned Excel file in one go, on the </w:t>
      </w:r>
      <w:r>
        <w:rPr>
          <w:b/>
          <w:bCs/>
        </w:rPr>
        <w:t xml:space="preserve">Main-400 Register</w:t>
      </w:r>
      <w:r>
        <w:t xml:space="preserve"> under </w:t>
      </w:r>
      <w:r>
        <w:rPr>
          <w:b/>
          <w:bCs/>
        </w:rPr>
        <w:t xml:space="preserve">Import background research (ChatGPT workbook)</w:t>
      </w:r>
      <w:r>
        <w:t xml:space="preserve">: choose the file, </w:t>
      </w:r>
      <w:r>
        <w:rPr>
          <w:b/>
          <w:bCs/>
        </w:rPr>
        <w:t xml:space="preserve">Check file</w:t>
      </w:r>
      <w:r>
        <w:t xml:space="preserve"> (nothing is saved), then </w:t>
      </w:r>
      <w:r>
        <w:rPr>
          <w:b/>
          <w:bCs/>
        </w:rPr>
        <w:t xml:space="preserve">Import N records</w:t>
      </w:r>
      <w:r>
        <w:t xml:space="preserve">. Contacts become suggestions under </w:t>
      </w:r>
      <w:r>
        <w:rPr>
          <w:b/>
          <w:bCs/>
        </w:rPr>
        <w:t xml:space="preserve">Find contact details with AI → To review</w:t>
      </w:r>
      <w:r>
        <w:t xml:space="preserve"> on each case, and facts become PROIT findings under </w:t>
      </w:r>
      <w:r>
        <w:rPr>
          <w:b/>
          <w:bCs/>
        </w:rPr>
        <w:t xml:space="preserve">Pre-Interview Profile (PROIT) → AI research → To review</w:t>
      </w:r>
      <w:r>
        <w:t xml:space="preserve">. Nothing reaches a case until you accept it; a locked Reserve and a locked profile are never touched, and importing the same file again adds nothing. Accepting the owner or manager adds them as a respondent; verify the case (S03) as usual before inviting it.</w:t>
      </w: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Only what an organisation publishes about itself</w:t>
            </w:r>
          </w:p>
          <w:p>
            <w:pPr>
              <w:spacing w:after="40" w:line="264"/>
            </w:pPr>
            <w:r>
              <w:rPr>
                <w:sz w:val="19"/>
                <w:szCs w:val="19"/>
              </w:rPr>
              <w:t xml:space="preserve">Only the organisation's name, province, district and value chain are sent to the AI provider. Never a respondent's name or any contact detail already on file.</w:t>
            </w:r>
          </w:p>
          <w:p>
            <w:pPr>
              <w:spacing w:after="40" w:line="264"/>
            </w:pPr>
            <w:r>
              <w:rPr>
                <w:sz w:val="19"/>
                <w:szCs w:val="19"/>
              </w:rPr>
              <w:t xml:space="preserve">Every finding must appear in the passage quoted from its page; anything that does not is removed automatically. Personal social-media profiles are never used. An organisation's own business page may be, for the organisation's own contact details only, and a finding seen only there is never rated higher than MODERATE.</w:t>
            </w:r>
          </w:p>
          <w:p>
            <w:pPr>
              <w:spacing w:after="40" w:line="264"/>
            </w:pPr>
            <w:r>
              <w:rPr>
                <w:sz w:val="19"/>
                <w:szCs w:val="19"/>
              </w:rPr>
              <w:t xml:space="preserve">An email on a personal-style service (for example Gmail) is flagged: check the page presents it as the organisation's own address.</w:t>
            </w:r>
          </w:p>
        </w:tc>
      </w:tr>
    </w:tbl>
    <w:p>
      <w:pPr>
        <w:pStyle w:val="Heading2"/>
      </w:pPr>
      <w:r>
        <w:t xml:space="preserve">7.29 Emailing invitations in batches (PI, FC)</w:t>
      </w:r>
    </w:p>
    <w:p>
      <w:pPr>
        <w:spacing w:after="120" w:line="288"/>
      </w:pPr>
      <w:r>
        <w:t xml:space="preserve">Instead of sending invitations one case at a time, the coordinator or PI can have the portal send them: by email from abffst.research@gmail.com, and by SMS and WhatsApp through Twilio once those are set up. Each case gets </w:t>
      </w:r>
      <w:r>
        <w:rPr>
          <w:b/>
          <w:bCs/>
        </w:rPr>
        <w:t xml:space="preserve">one</w:t>
      </w:r>
      <w:r>
        <w:t xml:space="preserve"> invitation with its own link (valid 14 days) and manual code, sent on every way you choose that it has a contact for, so the email and the text carry the same working link. Only </w:t>
      </w:r>
      <w:r>
        <w:rPr>
          <w:b/>
          <w:bCs/>
        </w:rPr>
        <w:t xml:space="preserve">verified</w:t>
      </w:r>
      <w:r>
        <w:t xml:space="preserve"> cases are included: status </w:t>
      </w:r>
      <w:r>
        <w:rPr>
          <w:b/>
          <w:bCs/>
        </w:rPr>
        <w:t xml:space="preserve">S03</w:t>
      </w:r>
      <w:r>
        <w:t xml:space="preserve"> or </w:t>
      </w:r>
      <w:r>
        <w:rPr>
          <w:b/>
          <w:bCs/>
        </w:rPr>
        <w:t xml:space="preserve">S04</w:t>
      </w:r>
      <w:r>
        <w:t xml:space="preserve">, a contact on file, and no open invitation. SMS and WhatsApp go to mobile numbers only.</w:t>
      </w:r>
    </w:p>
    <w:p>
      <w:pPr>
        <w:pStyle w:val="ListParagraph"/>
        <w:numPr>
          <w:ilvl w:val="0"/>
          <w:numId w:val="52"/>
        </w:numPr>
        <w:spacing w:after="80" w:line="276"/>
      </w:pPr>
      <w:r>
        <w:t xml:space="preserve">Open </w:t>
      </w:r>
      <w:r>
        <w:rPr>
          <w:b/>
          <w:bCs/>
        </w:rPr>
        <w:t xml:space="preserve">Main-400 Register</w:t>
      </w:r>
      <w:r>
        <w:t xml:space="preserve"> and find </w:t>
      </w:r>
      <w:r>
        <w:rPr>
          <w:b/>
          <w:bCs/>
        </w:rPr>
        <w:t xml:space="preserve">Send invitations</w:t>
      </w:r>
      <w:r>
        <w:t xml:space="preserve">.</w:t>
      </w:r>
    </w:p>
    <w:p>
      <w:pPr>
        <w:pStyle w:val="ListParagraph"/>
        <w:numPr>
          <w:ilvl w:val="0"/>
          <w:numId w:val="52"/>
        </w:numPr>
        <w:spacing w:after="80" w:line="276"/>
      </w:pPr>
      <w:r>
        <w:t xml:space="preserve">Under </w:t>
      </w:r>
      <w:r>
        <w:rPr>
          <w:b/>
          <w:bCs/>
        </w:rPr>
        <w:t xml:space="preserve">Send by</w:t>
      </w:r>
      <w:r>
        <w:t xml:space="preserve">, tick </w:t>
      </w:r>
      <w:r>
        <w:rPr>
          <w:b/>
          <w:bCs/>
        </w:rPr>
        <w:t xml:space="preserve">Email</w:t>
      </w:r>
      <w:r>
        <w:t xml:space="preserve">, </w:t>
      </w:r>
      <w:r>
        <w:rPr>
          <w:b/>
          <w:bCs/>
        </w:rPr>
        <w:t xml:space="preserve">SMS</w:t>
      </w:r>
      <w:r>
        <w:t xml:space="preserve"> and/or </w:t>
      </w:r>
      <w:r>
        <w:rPr>
          <w:b/>
          <w:bCs/>
        </w:rPr>
        <w:t xml:space="preserve">WhatsApp</w:t>
      </w:r>
      <w:r>
        <w:t xml:space="preserve">. Each shows how many cases it can reach and what is left of today's limit, or “not set up yet”.</w:t>
      </w:r>
    </w:p>
    <w:p>
      <w:pPr>
        <w:pStyle w:val="ListParagraph"/>
        <w:numPr>
          <w:ilvl w:val="0"/>
          <w:numId w:val="52"/>
        </w:numPr>
        <w:spacing w:after="80" w:line="276"/>
      </w:pPr>
      <w:r>
        <w:t xml:space="preserve">Open </w:t>
      </w:r>
      <w:r>
        <w:rPr>
          <w:b/>
          <w:bCs/>
        </w:rPr>
        <w:t xml:space="preserve">Next in line</w:t>
      </w:r>
      <w:r>
        <w:t xml:space="preserve"> to see the first cases, the ways each can be reached and the (partly hidden) addresses and numbers. With SMS ticked, the panel shows the cost per invitation (about US$0.65 to 0.95).</w:t>
      </w:r>
    </w:p>
    <w:p>
      <w:pPr>
        <w:pStyle w:val="ListParagraph"/>
        <w:numPr>
          <w:ilvl w:val="0"/>
          <w:numId w:val="52"/>
        </w:numPr>
        <w:spacing w:after="80" w:line="276"/>
      </w:pPr>
      <w:r>
        <w:t xml:space="preserve">Type a number in </w:t>
      </w:r>
      <w:r>
        <w:rPr>
          <w:b/>
          <w:bCs/>
        </w:rPr>
        <w:t xml:space="preserve">How many</w:t>
      </w:r>
      <w:r>
        <w:t xml:space="preserve"> (up to 100 in one batch) and select </w:t>
      </w:r>
      <w:r>
        <w:rPr>
          <w:b/>
          <w:bCs/>
        </w:rPr>
        <w:t xml:space="preserve">Review and send</w:t>
      </w:r>
      <w:r>
        <w:t xml:space="preserve">.</w:t>
      </w:r>
    </w:p>
    <w:p>
      <w:pPr>
        <w:pStyle w:val="ListParagraph"/>
        <w:numPr>
          <w:ilvl w:val="0"/>
          <w:numId w:val="52"/>
        </w:numPr>
        <w:spacing w:after="80" w:line="276"/>
      </w:pPr>
      <w:r>
        <w:t xml:space="preserve">Read the confirmation, which includes the SMS cost, then select </w:t>
      </w:r>
      <w:r>
        <w:rPr>
          <w:b/>
          <w:bCs/>
        </w:rPr>
        <w:t xml:space="preserve">Send N invitations</w:t>
      </w:r>
      <w:r>
        <w:t xml:space="preserve">, or </w:t>
      </w:r>
      <w:r>
        <w:rPr>
          <w:b/>
          <w:bCs/>
        </w:rPr>
        <w:t xml:space="preserve">Cancel</w:t>
      </w:r>
      <w:r>
        <w:t xml:space="preserve">.</w:t>
      </w:r>
    </w:p>
    <w:p>
      <w:pPr>
        <w:pStyle w:val="ListParagraph"/>
        <w:numPr>
          <w:ilvl w:val="0"/>
          <w:numId w:val="52"/>
        </w:numPr>
        <w:spacing w:after="80" w:line="276"/>
      </w:pPr>
      <w:r>
        <w:t xml:space="preserve">The panel shows progress while it sends, then the result: sent, failed and skipped. Open </w:t>
      </w:r>
      <w:r>
        <w:rPr>
          <w:b/>
          <w:bCs/>
        </w:rPr>
        <w:t xml:space="preserve">Case by case</w:t>
      </w:r>
      <w:r>
        <w:t xml:space="preserve"> to see each Sample ID, how it was sent and the reason for any failure. Each case that was sent moves to </w:t>
      </w:r>
      <w:r>
        <w:rPr>
          <w:b/>
          <w:bCs/>
        </w:rPr>
        <w:t xml:space="preserve">S05 Invitation sent</w:t>
      </w:r>
      <w:r>
        <w:t xml:space="preserve">.</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Before the first batch</w:t>
            </w:r>
          </w:p>
          <w:p>
            <w:pPr>
              <w:spacing w:after="40" w:line="264"/>
            </w:pPr>
            <w:r>
              <w:rPr>
                <w:sz w:val="19"/>
                <w:szCs w:val="19"/>
              </w:rPr>
              <w:t xml:space="preserve">Each way must be set up on the server first: email with </w:t>
            </w:r>
            <w:r>
              <w:rPr>
                <w:rFonts w:ascii="Consolas" w:cs="Consolas" w:eastAsia="Consolas" w:hAnsi="Consolas"/>
                <w:b w:val="false"/>
                <w:bCs w:val="false"/>
                <w:color w:val="122238"/>
                <w:sz w:val="19"/>
                <w:szCs w:val="19"/>
              </w:rPr>
              <w:t xml:space="preserve">configure-email.sh</w:t>
            </w:r>
            <w:r>
              <w:rPr>
                <w:sz w:val="19"/>
                <w:szCs w:val="19"/>
              </w:rPr>
              <w:t xml:space="preserve">, SMS and WhatsApp with </w:t>
            </w:r>
            <w:r>
              <w:rPr>
                <w:rFonts w:ascii="Consolas" w:cs="Consolas" w:eastAsia="Consolas" w:hAnsi="Consolas"/>
                <w:b w:val="false"/>
                <w:bCs w:val="false"/>
                <w:color w:val="122238"/>
                <w:sz w:val="19"/>
                <w:szCs w:val="19"/>
              </w:rPr>
              <w:t xml:space="preserve">configure-twilio.sh</w:t>
            </w:r>
            <w:r>
              <w:rPr>
                <w:sz w:val="19"/>
                <w:szCs w:val="19"/>
              </w:rPr>
              <w:t xml:space="preserve"> (see the System Manual). Until then the panel says so and the button stays disabled.</w:t>
            </w:r>
          </w:p>
          <w:p>
            <w:pPr>
              <w:spacing w:after="40" w:line="264"/>
            </w:pPr>
            <w:r>
              <w:rPr>
                <w:sz w:val="19"/>
                <w:szCs w:val="19"/>
              </w:rPr>
              <w:t xml:space="preserve">Daily limits: 300 emails (Main-400 and KII invitations together), 150 SMS and 250 WhatsApp messages (invitations and automatic reminders together). The panel shows what is left.</w:t>
            </w:r>
          </w:p>
          <w:p>
            <w:pPr>
              <w:spacing w:after="40" w:line="264"/>
            </w:pPr>
            <w:r>
              <w:rPr>
                <w:sz w:val="19"/>
                <w:szCs w:val="19"/>
              </w:rPr>
              <w:t xml:space="preserve">WhatsApp stays unavailable until Meta approves the invitation template: the panel shows the template as pending and the batch refuses WhatsApp, because a message on an unapproved template is accepted and then silently not delivered. The same applies everywhere the portal sends WhatsApp (a single invitation, an introduction, a reminder): it says Meta hasn't approved the template yet, and introductions go by SMS with the reply link instead.</w:t>
            </w:r>
          </w:p>
          <w:p>
            <w:pPr>
              <w:spacing w:after="40" w:line="264"/>
            </w:pPr>
            <w:r>
              <w:rPr>
                <w:sz w:val="19"/>
                <w:szCs w:val="19"/>
              </w:rPr>
              <w:t xml:space="preserve">If nothing gets through for a case, nothing is kept for it: no link is issued, it stays at S03 or S04, and the next batch tries it again. If one way works and another fails, the case is sent and </w:t>
            </w:r>
            <w:r>
              <w:rPr>
                <w:b/>
                <w:bCs/>
                <w:sz w:val="19"/>
                <w:szCs w:val="19"/>
              </w:rPr>
              <w:t xml:space="preserve">Case by case</w:t>
            </w:r>
            <w:r>
              <w:rPr>
                <w:sz w:val="19"/>
                <w:szCs w:val="19"/>
              </w:rPr>
              <w:t xml:space="preserve"> says what failed.</w:t>
            </w:r>
          </w:p>
        </w:tc>
      </w:tr>
    </w:tbl>
    <w:p>
      <w:pPr>
        <w:pStyle w:val="Heading3"/>
      </w:pPr>
      <w:r>
        <w:t xml:space="preserve">Ask first: introduce the study, then invite automatically</w:t>
      </w:r>
    </w:p>
    <w:p>
      <w:pPr>
        <w:spacing w:after="120" w:line="288"/>
      </w:pPr>
      <w:r>
        <w:t xml:space="preserve">Instead of sending the link straight away, </w:t>
      </w:r>
      <w:r>
        <w:rPr>
          <w:b/>
          <w:bCs/>
        </w:rPr>
        <w:t xml:space="preserve">Send invitations</w:t>
      </w:r>
      <w:r>
        <w:t xml:space="preserve"> can </w:t>
      </w:r>
      <w:r>
        <w:rPr>
          <w:b/>
          <w:bCs/>
        </w:rPr>
        <w:t xml:space="preserve">Ask first (introduction)</w:t>
      </w:r>
      <w:r>
        <w:t xml:space="preserve">. Each verified case with a mobile and no invitation yet gets a short WhatsApp message about the study asking whether it will take part, with </w:t>
      </w:r>
      <w:r>
        <w:rPr>
          <w:b/>
          <w:bCs/>
        </w:rPr>
        <w:t xml:space="preserve">Yes</w:t>
      </w:r>
      <w:r>
        <w:t xml:space="preserve"> and </w:t>
      </w:r>
      <w:r>
        <w:rPr>
          <w:b/>
          <w:bCs/>
        </w:rPr>
        <w:t xml:space="preserve">No</w:t>
      </w:r>
      <w:r>
        <w:t xml:space="preserve"> buttons. Where WhatsApp isn't set up or the message can't be delivered, it goes by SMS with a link that opens the study's WhatsApp chat with “YES” typed in: SMS replies can't be received in Zimbabwe, so every answer arrives on WhatsApp. If the introduction can't reach them at all (for example the number isn't on WhatsApp) and an email is on file, the portal sends the invitation link by email instead, and the case moves to S05; with no email, it goes on the list to phone.</w:t>
      </w:r>
    </w:p>
    <w:p>
      <w:pPr>
        <w:pStyle w:val="ListParagraph"/>
        <w:numPr>
          <w:ilvl w:val="0"/>
          <w:numId w:val="53"/>
        </w:numPr>
        <w:spacing w:after="80" w:line="276"/>
      </w:pPr>
      <w:r>
        <w:t xml:space="preserve">On </w:t>
      </w:r>
      <w:r>
        <w:rPr>
          <w:b/>
          <w:bCs/>
        </w:rPr>
        <w:t xml:space="preserve">Send invitations</w:t>
      </w:r>
      <w:r>
        <w:t xml:space="preserve">, choose </w:t>
      </w:r>
      <w:r>
        <w:rPr>
          <w:b/>
          <w:bCs/>
        </w:rPr>
        <w:t xml:space="preserve">Ask first (introduction)</w:t>
      </w:r>
      <w:r>
        <w:t xml:space="preserve">, type </w:t>
      </w:r>
      <w:r>
        <w:rPr>
          <w:b/>
          <w:bCs/>
        </w:rPr>
        <w:t xml:space="preserve">How many</w:t>
      </w:r>
      <w:r>
        <w:t xml:space="preserve">, select </w:t>
      </w:r>
      <w:r>
        <w:rPr>
          <w:b/>
          <w:bCs/>
        </w:rPr>
        <w:t xml:space="preserve">Review and send</w:t>
      </w:r>
      <w:r>
        <w:t xml:space="preserve">, then </w:t>
      </w:r>
      <w:r>
        <w:rPr>
          <w:b/>
          <w:bCs/>
        </w:rPr>
        <w:t xml:space="preserve">Send N introductions</w:t>
      </w:r>
      <w:r>
        <w:t xml:space="preserve">. For one case, use </w:t>
      </w:r>
      <w:r>
        <w:rPr>
          <w:b/>
          <w:bCs/>
        </w:rPr>
        <w:t xml:space="preserve">Send introduction</w:t>
      </w:r>
      <w:r>
        <w:t xml:space="preserve"> under </w:t>
      </w:r>
      <w:r>
        <w:rPr>
          <w:b/>
          <w:bCs/>
        </w:rPr>
        <w:t xml:space="preserve">Ask first</w:t>
      </w:r>
      <w:r>
        <w:t xml:space="preserve"> on the case page.</w:t>
      </w:r>
    </w:p>
    <w:p>
      <w:pPr>
        <w:pStyle w:val="ListParagraph"/>
        <w:numPr>
          <w:ilvl w:val="0"/>
          <w:numId w:val="53"/>
        </w:numPr>
        <w:spacing w:after="80" w:line="276"/>
      </w:pPr>
      <w:r>
        <w:rPr>
          <w:b/>
          <w:bCs/>
        </w:rPr>
        <w:t xml:space="preserve">They reply YES</w:t>
      </w:r>
      <w:r>
        <w:t xml:space="preserve"> (or Hongu, Yebo, OK): the portal issues their invitation and sends the personal link and code back in the same WhatsApp chat straight away. The case moves to </w:t>
      </w:r>
      <w:r>
        <w:rPr>
          <w:b/>
          <w:bCs/>
        </w:rPr>
        <w:t xml:space="preserve">S05 Invitation sent</w:t>
      </w:r>
      <w:r>
        <w:t xml:space="preserve"> and the usual Day 2 and Day 7 reminders follow.</w:t>
      </w:r>
    </w:p>
    <w:p>
      <w:pPr>
        <w:pStyle w:val="ListParagraph"/>
        <w:numPr>
          <w:ilvl w:val="0"/>
          <w:numId w:val="53"/>
        </w:numPr>
        <w:spacing w:after="80" w:line="276"/>
      </w:pPr>
      <w:r>
        <w:rPr>
          <w:b/>
          <w:bCs/>
        </w:rPr>
        <w:t xml:space="preserve">They reply NO</w:t>
      </w:r>
      <w:r>
        <w:t xml:space="preserve"> (or STOP, Hapana, Aihwa, Cha): the refusal is recorded, the case moves to </w:t>
      </w:r>
      <w:r>
        <w:rPr>
          <w:b/>
          <w:bCs/>
        </w:rPr>
        <w:t xml:space="preserve">S12 Refused</w:t>
      </w:r>
      <w:r>
        <w:t xml:space="preserve">, and they get one message saying they won't be contacted again. Activating its Reserve is still a separate, recorded decision on </w:t>
      </w:r>
      <w:r>
        <w:rPr>
          <w:b/>
          <w:bCs/>
        </w:rPr>
        <w:t xml:space="preserve">Reserve Activation</w:t>
      </w:r>
      <w:r>
        <w:t xml:space="preserve">.</w:t>
      </w:r>
    </w:p>
    <w:p>
      <w:pPr>
        <w:pStyle w:val="ListParagraph"/>
        <w:numPr>
          <w:ilvl w:val="0"/>
          <w:numId w:val="53"/>
        </w:numPr>
        <w:spacing w:after="80" w:line="276"/>
      </w:pPr>
      <w:r>
        <w:rPr>
          <w:b/>
          <w:bCs/>
        </w:rPr>
        <w:t xml:space="preserve">They write anything else</w:t>
      </w:r>
      <w:r>
        <w:t xml:space="preserve"> (a question, “who is this?”, “no problem”): nothing is sent automatically: the message appears on </w:t>
      </w:r>
      <w:r>
        <w:rPr>
          <w:b/>
          <w:bCs/>
        </w:rPr>
        <w:t xml:space="preserve">Communications</w:t>
      </w:r>
      <w:r>
        <w:t xml:space="preserve"> under </w:t>
      </w:r>
      <w:r>
        <w:rPr>
          <w:b/>
          <w:bCs/>
        </w:rPr>
        <w:t xml:space="preserve">Waiting</w:t>
      </w:r>
      <w:r>
        <w:t xml:space="preserve"> for you to answer yourself. The same goes for someone who sends their invitation code to ask for a phone interview.</w:t>
      </w:r>
    </w:p>
    <w:p>
      <w:pPr>
        <w:pStyle w:val="ListParagraph"/>
        <w:numPr>
          <w:ilvl w:val="0"/>
          <w:numId w:val="53"/>
        </w:numPr>
        <w:spacing w:after="80" w:line="276"/>
      </w:pPr>
      <w:r>
        <w:rPr>
          <w:b/>
          <w:bCs/>
        </w:rPr>
        <w:t xml:space="preserve">No reply</w:t>
      </w:r>
      <w:r>
        <w:t xml:space="preserve">: one reminder after 3 days; after 4 more days with no answer, the case is listed on </w:t>
      </w:r>
      <w:r>
        <w:rPr>
          <w:b/>
          <w:bCs/>
        </w:rPr>
        <w:t xml:space="preserve">Follow-ups</w:t>
      </w:r>
      <w:r>
        <w:t xml:space="preserve"> under </w:t>
      </w:r>
      <w:r>
        <w:rPr>
          <w:b/>
          <w:bCs/>
        </w:rPr>
        <w:t xml:space="preserve">Asked, no reply yet: phone them</w:t>
      </w:r>
      <w:r>
        <w:t xml:space="preserve">.</w:t>
      </w:r>
    </w:p>
    <w:p>
      <w:pPr>
        <w:spacing w:after="8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Answering on Communications</w:t>
            </w:r>
          </w:p>
          <w:p>
            <w:pPr>
              <w:spacing w:after="40" w:line="264"/>
            </w:pPr>
            <w:r>
              <w:rPr>
                <w:sz w:val="19"/>
                <w:szCs w:val="19"/>
              </w:rPr>
              <w:t xml:space="preserve">The study's Twilio WhatsApp number isn't on any phone, so answer people on </w:t>
            </w:r>
            <w:r>
              <w:rPr>
                <w:b/>
                <w:bCs/>
                <w:sz w:val="19"/>
                <w:szCs w:val="19"/>
              </w:rPr>
              <w:t xml:space="preserve">Communications</w:t>
            </w:r>
            <w:r>
              <w:rPr>
                <w:sz w:val="19"/>
                <w:szCs w:val="19"/>
              </w:rPr>
              <w:t xml:space="preserve">: open the conversation, write under </w:t>
            </w:r>
            <w:r>
              <w:rPr>
                <w:b/>
                <w:bCs/>
                <w:sz w:val="19"/>
                <w:szCs w:val="19"/>
              </w:rPr>
              <w:t xml:space="preserve">WhatsApp</w:t>
            </w:r>
            <w:r>
              <w:rPr>
                <w:sz w:val="19"/>
                <w:szCs w:val="19"/>
              </w:rPr>
              <w:t xml:space="preserve"> and select </w:t>
            </w:r>
            <w:r>
              <w:rPr>
                <w:b/>
                <w:bCs/>
                <w:sz w:val="19"/>
                <w:szCs w:val="19"/>
              </w:rPr>
              <w:t xml:space="preserve">Send WhatsApp</w:t>
            </w:r>
            <w:r>
              <w:rPr>
                <w:sz w:val="19"/>
                <w:szCs w:val="19"/>
              </w:rPr>
              <w:t xml:space="preserve">. WhatsApp only accepts a written message within 24 hours of their last message; after that, email or phone them. Email replies to the study address appear there too, and you can answer them under </w:t>
            </w:r>
            <w:r>
              <w:rPr>
                <w:b/>
                <w:bCs/>
                <w:sz w:val="19"/>
                <w:szCs w:val="19"/>
              </w:rPr>
              <w:t xml:space="preserve">Email</w:t>
            </w:r>
            <w:r>
              <w:rPr>
                <w:sz w:val="19"/>
                <w:szCs w:val="19"/>
              </w:rPr>
              <w:t xml:space="preserve">. </w:t>
            </w:r>
            <w:r>
              <w:rPr>
                <w:b/>
                <w:bCs/>
                <w:sz w:val="19"/>
                <w:szCs w:val="19"/>
              </w:rPr>
              <w:t xml:space="preserve">Mark handled</w:t>
            </w:r>
            <w:r>
              <w:rPr>
                <w:sz w:val="19"/>
                <w:szCs w:val="19"/>
              </w:rPr>
              <w:t xml:space="preserve"> when it's dealt with. Voice notes play, pictures show and a shared contact appears as its name and number in the conversation. A message that is someone's own invitation code is marked </w:t>
            </w:r>
            <w:r>
              <w:rPr>
                <w:b/>
                <w:bCs/>
                <w:sz w:val="19"/>
                <w:szCs w:val="19"/>
              </w:rPr>
              <w:t xml:space="preserve">Wants to answer by phone: call them</w:t>
            </w:r>
            <w:r>
              <w:rPr>
                <w:sz w:val="19"/>
                <w:szCs w:val="19"/>
              </w:rPr>
              <w:t xml:space="preserve">: they are asking to do the questionnaire with you on the phone. A Contact RA sees only their own cases; messages from numbers the study has no record of go to the PI and Field Coordinator.</w:t>
            </w:r>
          </w:p>
        </w:tc>
      </w:tr>
    </w:tbl>
    <w:p>
      <w:pPr>
        <w:pStyle w:val="Heading3"/>
      </w:pPr>
      <w:r>
        <w:t xml:space="preserve">Reminders sent automatically</w:t>
      </w:r>
    </w:p>
    <w:p>
      <w:pPr>
        <w:spacing w:after="120" w:line="288"/>
      </w:pPr>
      <w:r>
        <w:t xml:space="preserve">Once SMS or WhatsApp is set up, the portal sends the Day 2 and Day 7 reminders itself every morning at 08:00: by WhatsApp once Meta has approved its template, otherwise by SMS, to the respondent's mobile. While Meta still has a template pending, that reminder is not sent by WhatsApp at all: it goes by SMS if SMS is set up, or waits on Follow-ups. </w:t>
      </w:r>
      <w:r>
        <w:rPr>
          <w:b/>
          <w:bCs/>
        </w:rPr>
        <w:t xml:space="preserve">Follow-ups</w:t>
      </w:r>
      <w:r>
        <w:t xml:space="preserve"> says “The portal sends this one automatically” for those. Reminders for anyone without a mobile, and any automatic message that did not get through, stay on Follow-ups to send by hand, marked “The automatic message did not get through”. A failed reminder is never re-sent automatically, and it does not count toward Nonresponse until a person sends it.</w:t>
      </w:r>
    </w:p>
    <w:p>
      <w:pPr>
        <w:pStyle w:val="Heading2"/>
      </w:pPr>
      <w:r>
        <w:t xml:space="preserve">7.30 Sending WhatsApp invitations from the queue (PI, FC, Contact RA)</w:t>
      </w:r>
    </w:p>
    <w:p>
      <w:pPr>
        <w:spacing w:after="120" w:line="288"/>
      </w:pPr>
      <w:r>
        <w:t xml:space="preserve">The study has no WhatsApp Business account, so the portal cannot send WhatsApp messages itself. The queue does the next best thing: it lists every verified case (</w:t>
      </w:r>
      <w:r>
        <w:rPr>
          <w:b/>
          <w:bCs/>
        </w:rPr>
        <w:t xml:space="preserve">S03</w:t>
      </w:r>
      <w:r>
        <w:t xml:space="preserve"> or </w:t>
      </w:r>
      <w:r>
        <w:rPr>
          <w:b/>
          <w:bCs/>
        </w:rPr>
        <w:t xml:space="preserve">S04</w:t>
      </w:r>
      <w:r>
        <w:t xml:space="preserve">) with a WhatsApp or phone number and no open invitation, and prepares each invitation so you send it with one tap from the study phone. A Contact RA sees only their own cases.</w:t>
      </w:r>
    </w:p>
    <w:p>
      <w:pPr>
        <w:pStyle w:val="ListParagraph"/>
        <w:numPr>
          <w:ilvl w:val="0"/>
          <w:numId w:val="54"/>
        </w:numPr>
        <w:spacing w:after="80" w:line="276"/>
      </w:pPr>
      <w:r>
        <w:t xml:space="preserve">Open </w:t>
      </w:r>
      <w:r>
        <w:rPr>
          <w:b/>
          <w:bCs/>
        </w:rPr>
        <w:t xml:space="preserve">Main-400 Register</w:t>
      </w:r>
      <w:r>
        <w:t xml:space="preserve"> and find </w:t>
      </w:r>
      <w:r>
        <w:rPr>
          <w:b/>
          <w:bCs/>
        </w:rPr>
        <w:t xml:space="preserve">WhatsApp invitations</w:t>
      </w:r>
      <w:r>
        <w:t xml:space="preserve">. Each row shows the Sample ID, the organisation, the person and a partly hidden number.</w:t>
      </w:r>
    </w:p>
    <w:p>
      <w:pPr>
        <w:pStyle w:val="ListParagraph"/>
        <w:numPr>
          <w:ilvl w:val="0"/>
          <w:numId w:val="54"/>
        </w:numPr>
        <w:spacing w:after="80" w:line="276"/>
      </w:pPr>
      <w:r>
        <w:t xml:space="preserve">Select </w:t>
      </w:r>
      <w:r>
        <w:rPr>
          <w:b/>
          <w:bCs/>
        </w:rPr>
        <w:t xml:space="preserve">Prepare</w:t>
      </w:r>
      <w:r>
        <w:t xml:space="preserve"> on a row. The portal creates the case's personal link and code, writes the approved WhatsApp message, and moves the case to </w:t>
      </w:r>
      <w:r>
        <w:rPr>
          <w:b/>
          <w:bCs/>
        </w:rPr>
        <w:t xml:space="preserve">S05 Invitation sent</w:t>
      </w:r>
      <w:r>
        <w:t xml:space="preserve">.</w:t>
      </w:r>
    </w:p>
    <w:p>
      <w:pPr>
        <w:pStyle w:val="ListParagraph"/>
        <w:numPr>
          <w:ilvl w:val="0"/>
          <w:numId w:val="54"/>
        </w:numPr>
        <w:spacing w:after="80" w:line="276"/>
      </w:pPr>
      <w:r>
        <w:t xml:space="preserve">Select </w:t>
      </w:r>
      <w:r>
        <w:rPr>
          <w:b/>
          <w:bCs/>
        </w:rPr>
        <w:t xml:space="preserve">Open WhatsApp</w:t>
      </w:r>
      <w:r>
        <w:t xml:space="preserve">. WhatsApp opens at that person's chat with the message ready. Check you are on the study number, then press Send. (</w:t>
      </w:r>
      <w:r>
        <w:rPr>
          <w:b/>
          <w:bCs/>
        </w:rPr>
        <w:t xml:space="preserve">Copy message</w:t>
      </w:r>
      <w:r>
        <w:t xml:space="preserve"> copies the text if WhatsApp will not open.)</w:t>
      </w:r>
    </w:p>
    <w:p>
      <w:pPr>
        <w:pStyle w:val="ListParagraph"/>
        <w:numPr>
          <w:ilvl w:val="0"/>
          <w:numId w:val="54"/>
        </w:numPr>
        <w:spacing w:after="80" w:line="276"/>
      </w:pPr>
      <w:r>
        <w:t xml:space="preserve">If the case also has an email address, select </w:t>
      </w:r>
      <w:r>
        <w:rPr>
          <w:b/>
          <w:bCs/>
        </w:rPr>
        <w:t xml:space="preserve">Email the same link</w:t>
      </w:r>
      <w:r>
        <w:t xml:space="preserve"> straight away. The same invitation goes by email from the study address, so the organisation can use whichever message it sees first. The button then reads </w:t>
      </w:r>
      <w:r>
        <w:rPr>
          <w:b/>
          <w:bCs/>
        </w:rPr>
        <w:t xml:space="preserve">Emailed to …</w:t>
      </w:r>
      <w:r>
        <w:t xml:space="preserve">.</w:t>
      </w:r>
    </w:p>
    <w:p>
      <w:pPr>
        <w:pStyle w:val="ListParagraph"/>
        <w:numPr>
          <w:ilvl w:val="0"/>
          <w:numId w:val="54"/>
        </w:numPr>
        <w:spacing w:after="80" w:line="276"/>
      </w:pPr>
      <w:r>
        <w:t xml:space="preserve">Log the attempt on the case's </w:t>
      </w:r>
      <w:r>
        <w:rPr>
          <w:b/>
          <w:bCs/>
        </w:rPr>
        <w:t xml:space="preserve">Contact timeline</w:t>
      </w:r>
      <w:r>
        <w:t xml:space="preserve">, as for any invitation.</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Prepare only what you are about to send</w:t>
            </w:r>
          </w:p>
          <w:p>
            <w:pPr>
              <w:spacing w:after="40" w:line="264"/>
            </w:pPr>
            <w:r>
              <w:rPr>
                <w:sz w:val="19"/>
                <w:szCs w:val="19"/>
              </w:rPr>
              <w:t xml:space="preserve">Preparing an invitation counts it as sent: the case moves to S05 and the Day 2 and Day 7 reminders start counting. If you prepare one and cannot send it, open the case and </w:t>
            </w:r>
            <w:r>
              <w:rPr>
                <w:b/>
                <w:bCs/>
                <w:sz w:val="19"/>
                <w:szCs w:val="19"/>
              </w:rPr>
              <w:t xml:space="preserve">Revoke</w:t>
            </w:r>
            <w:r>
              <w:rPr>
                <w:sz w:val="19"/>
                <w:szCs w:val="19"/>
              </w:rPr>
              <w:t xml:space="preserve"> that invitation so the link stops working. The case stays at S05 and does not come back to the queue: when you can reach the person, send a new invitation from the case's </w:t>
            </w:r>
            <w:r>
              <w:rPr>
                <w:b/>
                <w:bCs/>
                <w:sz w:val="19"/>
                <w:szCs w:val="19"/>
              </w:rPr>
              <w:t xml:space="preserve">Invitations</w:t>
            </w:r>
            <w:r>
              <w:rPr>
                <w:sz w:val="19"/>
                <w:szCs w:val="19"/>
              </w:rPr>
              <w:t xml:space="preserve"> panel.</w:t>
            </w:r>
          </w:p>
        </w:tc>
      </w:tr>
    </w:tbl>
    <w:p>
      <w:pPr>
        <w:pStyle w:val="Heading1"/>
        <w:pageBreakBefore/>
      </w:pPr>
      <w:r>
        <w:t xml:space="preserve">8. The respondent's experience</w:t>
      </w:r>
    </w:p>
    <w:p>
      <w:pPr>
        <w:spacing w:after="120" w:line="288"/>
      </w:pPr>
      <w:r>
        <w:t xml:space="preserve">What respondents see on their phone. The separate </w:t>
      </w:r>
      <w:r>
        <w:rPr>
          <w:b/>
          <w:bCs/>
        </w:rPr>
        <w:t xml:space="preserve">Respondent Guide</w:t>
      </w:r>
      <w:r>
        <w:t xml:space="preserve"> can be shared with respondents as it is.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tblHeader/>
        </w:trPr>
        <w:tc>
          <w:tcPr>
            <w:tcW w:type="dxa" w:w="2824"/>
            <w:shd w:fill="1B3350" w:color="auto" w:val="clear"/>
            <w:tcMar>
              <w:top w:type="dxa" w:w="70"/>
              <w:left w:type="dxa" w:w="110"/>
              <w:bottom w:type="dxa" w:w="70"/>
              <w:right w:type="dxa" w:w="110"/>
            </w:tcMar>
            <w:vAlign w:val="top"/>
          </w:tcPr>
          <w:p>
            <w:pPr>
              <w:spacing w:after="40"/>
            </w:pPr>
            <w:r>
              <w:rPr>
                <w:b/>
                <w:bCs/>
                <w:color w:val="FFFFFF"/>
                <w:sz w:val="19"/>
                <w:szCs w:val="19"/>
              </w:rPr>
              <w:t xml:space="preserve">Screen</w:t>
            </w:r>
          </w:p>
        </w:tc>
        <w:tc>
          <w:tcPr>
            <w:tcW w:type="dxa" w:w="6588"/>
            <w:shd w:fill="1B3350" w:color="auto" w:val="clear"/>
            <w:tcMar>
              <w:top w:type="dxa" w:w="70"/>
              <w:left w:type="dxa" w:w="110"/>
              <w:bottom w:type="dxa" w:w="70"/>
              <w:right w:type="dxa" w:w="110"/>
            </w:tcMar>
            <w:vAlign w:val="top"/>
          </w:tcPr>
          <w:p>
            <w:pPr>
              <w:spacing w:after="40"/>
            </w:pPr>
            <w:r>
              <w:rPr>
                <w:b/>
                <w:bCs/>
                <w:color w:val="FFFFFF"/>
                <w:sz w:val="19"/>
                <w:szCs w:val="19"/>
              </w:rPr>
              <w:t xml:space="preserve">What the respondent does</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Confirm organisation</w:t>
            </w:r>
          </w:p>
        </w:tc>
        <w:tc>
          <w:tcPr>
            <w:tcW w:type="dxa" w:w="6588"/>
            <w:tcMar>
              <w:top w:type="dxa" w:w="70"/>
              <w:left w:type="dxa" w:w="110"/>
              <w:bottom w:type="dxa" w:w="70"/>
              <w:right w:type="dxa" w:w="110"/>
            </w:tcMar>
            <w:vAlign w:val="top"/>
          </w:tcPr>
          <w:p>
            <w:pPr>
              <w:spacing w:after="40"/>
            </w:pPr>
            <w:r>
              <w:rPr>
                <w:b w:val="false"/>
                <w:bCs w:val="false"/>
                <w:sz w:val="19"/>
                <w:szCs w:val="19"/>
              </w:rPr>
              <w:t xml:space="preserve">Confirms "is this &lt;organisation&gt;?" with </w:t>
            </w:r>
            <w:r>
              <w:rPr>
                <w:b w:val="false"/>
                <w:bCs w:val="false"/>
                <w:sz w:val="19"/>
                <w:szCs w:val="19"/>
              </w:rPr>
              <w:t xml:space="preserve">Yes, that's correct</w:t>
            </w:r>
            <w:r>
              <w:rPr>
                <w:b w:val="false"/>
                <w:bCs w:val="false"/>
                <w:sz w:val="19"/>
                <w:szCs w:val="19"/>
              </w:rPr>
              <w:t xml:space="preserve">, or contacts the team if not.</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A little about you</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Enters their name and role; </w:t>
            </w:r>
            <w:r>
              <w:rPr>
                <w:b w:val="false"/>
                <w:bCs w:val="false"/>
                <w:sz w:val="19"/>
                <w:szCs w:val="19"/>
              </w:rPr>
              <w:t xml:space="preserve">None of these describe me</w:t>
            </w:r>
            <w:r>
              <w:rPr>
                <w:b w:val="false"/>
                <w:bCs w:val="false"/>
                <w:sz w:val="19"/>
                <w:szCs w:val="19"/>
              </w:rPr>
              <w:t xml:space="preserve"> ends politely without any questions.</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Participant Information</w:t>
            </w:r>
          </w:p>
        </w:tc>
        <w:tc>
          <w:tcPr>
            <w:tcW w:type="dxa" w:w="6588"/>
            <w:tcMar>
              <w:top w:type="dxa" w:w="70"/>
              <w:left w:type="dxa" w:w="110"/>
              <w:bottom w:type="dxa" w:w="70"/>
              <w:right w:type="dxa" w:w="110"/>
            </w:tcMar>
            <w:vAlign w:val="top"/>
          </w:tcPr>
          <w:p>
            <w:pPr>
              <w:spacing w:after="40"/>
            </w:pPr>
            <w:r>
              <w:rPr>
                <w:b w:val="false"/>
                <w:bCs w:val="false"/>
                <w:sz w:val="19"/>
                <w:szCs w:val="19"/>
              </w:rPr>
              <w:t xml:space="preserve">Reads the information sheet (v1.3), then </w:t>
            </w:r>
            <w:r>
              <w:rPr>
                <w:b w:val="false"/>
                <w:bCs w:val="false"/>
                <w:sz w:val="19"/>
                <w:szCs w:val="19"/>
              </w:rPr>
              <w:t xml:space="preserve">Continue to consent</w:t>
            </w:r>
            <w:r>
              <w:rPr>
                <w:b w:val="false"/>
                <w:bCs w:val="false"/>
                <w:sz w:val="19"/>
                <w:szCs w:val="19"/>
              </w:rPr>
              <w:t xml:space="preserve"> or </w:t>
            </w:r>
            <w:r>
              <w:rPr>
                <w:b w:val="false"/>
                <w:bCs w:val="false"/>
                <w:sz w:val="19"/>
                <w:szCs w:val="19"/>
              </w:rPr>
              <w:t xml:space="preserve">Go back</w:t>
            </w:r>
            <w:r>
              <w:rPr>
                <w:b w:val="false"/>
                <w:bCs w:val="false"/>
                <w:sz w:val="19"/>
                <w:szCs w:val="19"/>
              </w:rPr>
              <w:t xml:space="preserve">. If the PI has published any, a </w:t>
            </w:r>
            <w:r>
              <w:rPr>
                <w:b w:val="false"/>
                <w:bCs w:val="false"/>
                <w:sz w:val="19"/>
                <w:szCs w:val="19"/>
              </w:rPr>
              <w:t xml:space="preserve">How to verify this is a genuine study</w:t>
            </w:r>
            <w:r>
              <w:rPr>
                <w:b w:val="false"/>
                <w:bCs w:val="false"/>
                <w:sz w:val="19"/>
                <w:szCs w:val="19"/>
              </w:rPr>
              <w:t xml:space="preserve"> section lists the official approval letters with a link to open each one.</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Your consent</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I agree to take part</w:t>
            </w:r>
            <w:r>
              <w:rPr>
                <w:b w:val="false"/>
                <w:bCs w:val="false"/>
                <w:sz w:val="19"/>
                <w:szCs w:val="19"/>
              </w:rPr>
              <w:t xml:space="preserve"> or </w:t>
            </w:r>
            <w:r>
              <w:rPr>
                <w:b w:val="false"/>
                <w:bCs w:val="false"/>
                <w:sz w:val="19"/>
                <w:szCs w:val="19"/>
              </w:rPr>
              <w:t xml:space="preserve">I do not wish to take part</w:t>
            </w:r>
            <w:r>
              <w:rPr>
                <w:b w:val="false"/>
                <w:bCs w:val="false"/>
                <w:sz w:val="19"/>
                <w:szCs w:val="19"/>
              </w:rPr>
              <w:t xml:space="preserve">; can re-read the information.</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Before we continue (PROIT)</w:t>
            </w:r>
          </w:p>
        </w:tc>
        <w:tc>
          <w:tcPr>
            <w:tcW w:type="dxa" w:w="6588"/>
            <w:tcMar>
              <w:top w:type="dxa" w:w="70"/>
              <w:left w:type="dxa" w:w="110"/>
              <w:bottom w:type="dxa" w:w="70"/>
              <w:right w:type="dxa" w:w="110"/>
            </w:tcMar>
            <w:vAlign w:val="top"/>
          </w:tcPr>
          <w:p>
            <w:pPr>
              <w:spacing w:after="40"/>
            </w:pPr>
            <w:r>
              <w:rPr>
                <w:b w:val="false"/>
                <w:bCs w:val="false"/>
                <w:sz w:val="19"/>
                <w:szCs w:val="19"/>
              </w:rPr>
              <w:t xml:space="preserve">Only if a locked profile exists: confirms, corrects or skips background facts.</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How would you like to take part?</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Complete it myself now</w:t>
            </w:r>
            <w:r>
              <w:rPr>
                <w:b w:val="false"/>
                <w:bCs w:val="false"/>
                <w:sz w:val="19"/>
                <w:szCs w:val="19"/>
              </w:rPr>
              <w:t xml:space="preserve">, </w:t>
            </w:r>
            <w:r>
              <w:rPr>
                <w:b w:val="false"/>
                <w:bCs w:val="false"/>
                <w:sz w:val="19"/>
                <w:szCs w:val="19"/>
              </w:rPr>
              <w:t xml:space="preserve">Have a researcher call me</w:t>
            </w:r>
            <w:r>
              <w:rPr>
                <w:b w:val="false"/>
                <w:bCs w:val="false"/>
                <w:sz w:val="19"/>
                <w:szCs w:val="19"/>
              </w:rPr>
              <w:t xml:space="preserve">, </w:t>
            </w:r>
            <w:r>
              <w:rPr>
                <w:b w:val="false"/>
                <w:bCs w:val="false"/>
                <w:sz w:val="19"/>
                <w:szCs w:val="19"/>
              </w:rPr>
              <w:t xml:space="preserve">Complete it via WhatsApp</w:t>
            </w:r>
            <w:r>
              <w:rPr>
                <w:b w:val="false"/>
                <w:bCs w:val="false"/>
                <w:sz w:val="19"/>
                <w:szCs w:val="19"/>
              </w:rPr>
              <w:t xml:space="preserve">, or </w:t>
            </w:r>
            <w:r>
              <w:rPr>
                <w:b w:val="false"/>
                <w:bCs w:val="false"/>
                <w:sz w:val="19"/>
                <w:szCs w:val="19"/>
              </w:rPr>
              <w:t xml:space="preserve">Ask someone to contact me another way</w:t>
            </w:r>
            <w:r>
              <w:rPr>
                <w:b w:val="false"/>
                <w:bCs w:val="false"/>
                <w:sz w:val="19"/>
                <w:szCs w:val="19"/>
              </w:rPr>
              <w:t xml:space="preserve">.</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Questionnaire</w:t>
            </w:r>
          </w:p>
        </w:tc>
        <w:tc>
          <w:tcPr>
            <w:tcW w:type="dxa" w:w="6588"/>
            <w:tcMar>
              <w:top w:type="dxa" w:w="70"/>
              <w:left w:type="dxa" w:w="110"/>
              <w:bottom w:type="dxa" w:w="70"/>
              <w:right w:type="dxa" w:w="110"/>
            </w:tcMar>
            <w:vAlign w:val="top"/>
          </w:tcPr>
          <w:p>
            <w:pPr>
              <w:spacing w:after="40"/>
            </w:pPr>
            <w:r>
              <w:rPr>
                <w:b w:val="false"/>
                <w:bCs w:val="false"/>
                <w:sz w:val="19"/>
                <w:szCs w:val="19"/>
              </w:rPr>
              <w:t xml:space="preserve">Start the questionnaire</w:t>
            </w:r>
            <w:r>
              <w:rPr>
                <w:b w:val="false"/>
                <w:bCs w:val="false"/>
                <w:sz w:val="19"/>
                <w:szCs w:val="19"/>
              </w:rPr>
              <w:t xml:space="preserve"> opens the KoboToolbox form (about 15–25 minutes).</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When works best for you?</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For a call: picks a future date and time and selects </w:t>
            </w:r>
            <w:r>
              <w:rPr>
                <w:b w:val="false"/>
                <w:bCs w:val="false"/>
                <w:sz w:val="19"/>
                <w:szCs w:val="19"/>
              </w:rPr>
              <w:t xml:space="preserve">Request this time</w:t>
            </w:r>
            <w:r>
              <w:rPr>
                <w:b w:val="false"/>
                <w:bCs w:val="false"/>
                <w:sz w:val="19"/>
                <w:szCs w:val="19"/>
              </w:rPr>
              <w:t xml:space="preserve">.</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Thank you</w:t>
            </w:r>
          </w:p>
        </w:tc>
        <w:tc>
          <w:tcPr>
            <w:tcW w:type="dxa" w:w="6588"/>
            <w:tcMar>
              <w:top w:type="dxa" w:w="70"/>
              <w:left w:type="dxa" w:w="110"/>
              <w:bottom w:type="dxa" w:w="70"/>
              <w:right w:type="dxa" w:w="110"/>
            </w:tcMar>
            <w:vAlign w:val="top"/>
          </w:tcPr>
          <w:p>
            <w:pPr>
              <w:spacing w:after="40"/>
            </w:pPr>
            <w:r>
              <w:rPr>
                <w:b w:val="false"/>
                <w:bCs w:val="false"/>
                <w:sz w:val="19"/>
                <w:szCs w:val="19"/>
              </w:rPr>
              <w:t xml:space="preserve">Neutral closing message. No score or rating.</w:t>
            </w:r>
          </w:p>
        </w:tc>
      </w:tr>
    </w:tbl>
    <w:p>
      <w:pPr>
        <w:spacing w:after="120"/>
      </w:pPr>
    </w:p>
    <w:p>
      <w:pPr>
        <w:keepNext/>
        <w:spacing w:after="40" w:before="80"/>
        <w:jc w:val="center"/>
      </w:pPr>
      <w:r>
        <w:drawing>
          <wp:inline distT="0" distB="0" distL="0" distR="0">
            <wp:extent cx="2476500" cy="4533900"/>
            <wp:effectExtent t="0" r="0" b="0" l="0"/>
            <wp:docPr id="1" name="resp_06_choice.jpg" descr="Choosing how to take part (phone view)." title="Choosing how to take part (phon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476500" cy="4533900"/>
                    </a:xfrm>
                    <a:prstGeom prst="rect">
                      <a:avLst/>
                    </a:prstGeom>
                  </pic:spPr>
                </pic:pic>
              </a:graphicData>
            </a:graphic>
          </wp:inline>
        </w:drawing>
      </w:r>
    </w:p>
    <w:p>
      <w:pPr>
        <w:spacing w:after="180"/>
        <w:jc w:val="center"/>
      </w:pPr>
      <w:r>
        <w:rPr>
          <w:b/>
          <w:bCs/>
          <w:color w:val="5B6670"/>
          <w:sz w:val="17"/>
          <w:szCs w:val="17"/>
        </w:rPr>
        <w:t xml:space="preserve">Figure 66. </w:t>
      </w:r>
      <w:r>
        <w:rPr>
          <w:i/>
          <w:iCs/>
          <w:color w:val="5B6670"/>
          <w:sz w:val="17"/>
          <w:szCs w:val="17"/>
        </w:rPr>
        <w:t xml:space="preserve">Choosing how to take part (phone view).</w:t>
      </w:r>
    </w:p>
    <w:p>
      <w:pPr>
        <w:pStyle w:val="Heading2"/>
      </w:pPr>
      <w:r>
        <w:t xml:space="preserve">8.1 Message templates</w:t>
      </w:r>
    </w:p>
    <w:p>
      <w:pPr>
        <w:spacing w:after="120" w:line="288"/>
      </w:pPr>
      <w:r>
        <w:t xml:space="preserve">The invitation screen writes the approved invitation message for WhatsApp automatically. The approved reminders are: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Day 2 reminder</w:t>
            </w:r>
          </w:p>
        </w:tc>
        <w:tc>
          <w:tcPr>
            <w:tcW w:type="dxa" w:w="6588"/>
            <w:tcMar>
              <w:top w:type="dxa" w:w="70"/>
              <w:left w:type="dxa" w:w="110"/>
              <w:bottom w:type="dxa" w:w="70"/>
              <w:right w:type="dxa" w:w="110"/>
            </w:tcMar>
            <w:vAlign w:val="top"/>
          </w:tcPr>
          <w:p>
            <w:pPr>
              <w:spacing w:after="40"/>
            </w:pPr>
            <w:r>
              <w:rPr>
                <w:b w:val="false"/>
                <w:bCs w:val="false"/>
                <w:sz w:val="19"/>
                <w:szCs w:val="19"/>
              </w:rPr>
              <w:t xml:space="preserve">Hello, this is a reminder about the ABF-FST research study invitation sent to your organisation. Please use the link you were sent to take part, or reply here if you have questions.</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Day 7 final routine attempt</w:t>
            </w:r>
          </w:p>
        </w:tc>
        <w:tc>
          <w:tcPr>
            <w:tcW w:type="dxa" w:w="6588"/>
            <w:tcMar>
              <w:top w:type="dxa" w:w="70"/>
              <w:left w:type="dxa" w:w="110"/>
              <w:bottom w:type="dxa" w:w="70"/>
              <w:right w:type="dxa" w:w="110"/>
            </w:tcMar>
            <w:vAlign w:val="top"/>
          </w:tcPr>
          <w:p>
            <w:pPr>
              <w:spacing w:after="40"/>
            </w:pPr>
            <w:r>
              <w:rPr>
                <w:b w:val="false"/>
                <w:bCs w:val="false"/>
                <w:sz w:val="19"/>
                <w:szCs w:val="19"/>
              </w:rPr>
              <w:t xml:space="preserve">Hello, this is a final reminder about the ABF-FST research study invitation. If you would still like to take part, please use the link you were sent. Thank you.</w:t>
            </w:r>
          </w:p>
        </w:tc>
      </w:tr>
    </w:tbl>
    <w:p>
      <w:pPr>
        <w:spacing w:after="120"/>
      </w:pPr>
    </w:p>
    <w:p>
      <w:pPr>
        <w:pStyle w:val="Heading1"/>
        <w:pageBreakBefore/>
      </w:pPr>
      <w:r>
        <w:t xml:space="preserve">9. KoboToolbox administration (PI)</w:t>
      </w:r>
    </w:p>
    <w:p>
      <w:pPr>
        <w:pStyle w:val="Heading2"/>
      </w:pPr>
      <w:r>
        <w:t xml:space="preserve">9.1 The connected forms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3577"/>
        <w:gridCol w:w="3482"/>
        <w:gridCol w:w="2353"/>
      </w:tblGrid>
      <w:tr>
        <w:trPr>
          <w:tblHeader/>
        </w:trPr>
        <w:tc>
          <w:tcPr>
            <w:tcW w:type="dxa" w:w="3577"/>
            <w:shd w:fill="1B3350" w:color="auto" w:val="clear"/>
            <w:tcMar>
              <w:top w:type="dxa" w:w="70"/>
              <w:left w:type="dxa" w:w="110"/>
              <w:bottom w:type="dxa" w:w="70"/>
              <w:right w:type="dxa" w:w="110"/>
            </w:tcMar>
            <w:vAlign w:val="top"/>
          </w:tcPr>
          <w:p>
            <w:pPr>
              <w:spacing w:after="40"/>
            </w:pPr>
            <w:r>
              <w:rPr>
                <w:b/>
                <w:bCs/>
                <w:color w:val="FFFFFF"/>
                <w:sz w:val="19"/>
                <w:szCs w:val="19"/>
              </w:rPr>
              <w:t xml:space="preserve">Form</w:t>
            </w:r>
          </w:p>
        </w:tc>
        <w:tc>
          <w:tcPr>
            <w:tcW w:type="dxa" w:w="3482"/>
            <w:shd w:fill="1B3350" w:color="auto" w:val="clear"/>
            <w:tcMar>
              <w:top w:type="dxa" w:w="70"/>
              <w:left w:type="dxa" w:w="110"/>
              <w:bottom w:type="dxa" w:w="70"/>
              <w:right w:type="dxa" w:w="110"/>
            </w:tcMar>
            <w:vAlign w:val="top"/>
          </w:tcPr>
          <w:p>
            <w:pPr>
              <w:spacing w:after="40"/>
            </w:pPr>
            <w:r>
              <w:rPr>
                <w:b/>
                <w:bCs/>
                <w:color w:val="FFFFFF"/>
                <w:sz w:val="19"/>
                <w:szCs w:val="19"/>
              </w:rPr>
              <w:t xml:space="preserve">Public web link</w:t>
            </w:r>
          </w:p>
        </w:tc>
        <w:tc>
          <w:tcPr>
            <w:tcW w:type="dxa" w:w="2353"/>
            <w:shd w:fill="1B3350" w:color="auto" w:val="clear"/>
            <w:tcMar>
              <w:top w:type="dxa" w:w="70"/>
              <w:left w:type="dxa" w:w="110"/>
              <w:bottom w:type="dxa" w:w="70"/>
              <w:right w:type="dxa" w:w="110"/>
            </w:tcMar>
            <w:vAlign w:val="top"/>
          </w:tcPr>
          <w:p>
            <w:pPr>
              <w:spacing w:after="40"/>
            </w:pPr>
            <w:r>
              <w:rPr>
                <w:b/>
                <w:bCs/>
                <w:color w:val="FFFFFF"/>
                <w:sz w:val="19"/>
                <w:szCs w:val="19"/>
              </w:rPr>
              <w:t xml:space="preserve">Portal setting</w:t>
            </w:r>
          </w:p>
        </w:tc>
      </w:tr>
      <w:tr>
        <w:trPr>
          <w:cantSplit/>
        </w:trPr>
        <w:tc>
          <w:tcPr>
            <w:tcW w:type="dxa" w:w="3577"/>
            <w:tcMar>
              <w:top w:type="dxa" w:w="70"/>
              <w:left w:type="dxa" w:w="110"/>
              <w:bottom w:type="dxa" w:w="70"/>
              <w:right w:type="dxa" w:w="110"/>
            </w:tcMar>
            <w:vAlign w:val="top"/>
          </w:tcPr>
          <w:p>
            <w:pPr>
              <w:spacing w:after="40"/>
            </w:pPr>
            <w:r>
              <w:rPr>
                <w:b w:val="false"/>
                <w:bCs w:val="false"/>
                <w:sz w:val="19"/>
                <w:szCs w:val="19"/>
              </w:rPr>
              <w:t xml:space="preserve">Main Study Questionnaire</w:t>
            </w:r>
          </w:p>
        </w:tc>
        <w:tc>
          <w:tcPr>
            <w:tcW w:type="dxa" w:w="3482"/>
            <w:tcMar>
              <w:top w:type="dxa" w:w="70"/>
              <w:left w:type="dxa" w:w="110"/>
              <w:bottom w:type="dxa" w:w="70"/>
              <w:right w:type="dxa" w:w="110"/>
            </w:tcMar>
            <w:vAlign w:val="top"/>
          </w:tcPr>
          <w:p>
            <w:pPr>
              <w:spacing w:after="40"/>
            </w:pPr>
            <w:r>
              <w:rPr>
                <w:b w:val="false"/>
                <w:bCs w:val="false"/>
                <w:sz w:val="19"/>
                <w:szCs w:val="19"/>
              </w:rPr>
              <w:t xml:space="preserve">https://ee.kobotoolbox.org/x/fSOJejrV</w:t>
            </w:r>
          </w:p>
        </w:tc>
        <w:tc>
          <w:tcPr>
            <w:tcW w:type="dxa" w:w="2353"/>
            <w:tcMar>
              <w:top w:type="dxa" w:w="70"/>
              <w:left w:type="dxa" w:w="110"/>
              <w:bottom w:type="dxa" w:w="70"/>
              <w:right w:type="dxa" w:w="110"/>
            </w:tcMar>
            <w:vAlign w:val="top"/>
          </w:tcPr>
          <w:p>
            <w:pPr>
              <w:spacing w:after="40"/>
            </w:pPr>
            <w:r>
              <w:rPr>
                <w:b w:val="false"/>
                <w:bCs w:val="false"/>
                <w:sz w:val="19"/>
                <w:szCs w:val="19"/>
              </w:rPr>
              <w:t xml:space="preserve">KOBO_ASSET_UID, KOBO_FORM_URL</w:t>
            </w:r>
          </w:p>
        </w:tc>
      </w:tr>
      <w:tr>
        <w:trPr>
          <w:cantSplit/>
        </w:trPr>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Main Study KII Guide</w:t>
            </w:r>
          </w:p>
        </w:tc>
        <w:tc>
          <w:tcPr>
            <w:tcW w:type="dxa" w:w="3482"/>
            <w:shd w:fill="F8FAFB" w:color="auto" w:val="clear"/>
            <w:tcMar>
              <w:top w:type="dxa" w:w="70"/>
              <w:left w:type="dxa" w:w="110"/>
              <w:bottom w:type="dxa" w:w="70"/>
              <w:right w:type="dxa" w:w="110"/>
            </w:tcMar>
            <w:vAlign w:val="top"/>
          </w:tcPr>
          <w:p>
            <w:pPr>
              <w:spacing w:after="40"/>
            </w:pPr>
            <w:r>
              <w:rPr>
                <w:b w:val="false"/>
                <w:bCs w:val="false"/>
                <w:sz w:val="19"/>
                <w:szCs w:val="19"/>
              </w:rPr>
              <w:t xml:space="preserve">https://ee.kobotoolbox.org/x/hwMQ5dG3</w:t>
            </w:r>
          </w:p>
        </w:tc>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KOBO_KII_ASSET_UID</w:t>
            </w:r>
          </w:p>
        </w:tc>
      </w:tr>
      <w:tr>
        <w:trPr>
          <w:cantSplit/>
        </w:trPr>
        <w:tc>
          <w:tcPr>
            <w:tcW w:type="dxa" w:w="3577"/>
            <w:tcMar>
              <w:top w:type="dxa" w:w="70"/>
              <w:left w:type="dxa" w:w="110"/>
              <w:bottom w:type="dxa" w:w="70"/>
              <w:right w:type="dxa" w:w="110"/>
            </w:tcMar>
            <w:vAlign w:val="top"/>
          </w:tcPr>
          <w:p>
            <w:pPr>
              <w:spacing w:after="40"/>
            </w:pPr>
            <w:r>
              <w:rPr>
                <w:b w:val="false"/>
                <w:bCs w:val="false"/>
                <w:sz w:val="19"/>
                <w:szCs w:val="19"/>
              </w:rPr>
              <w:t xml:space="preserve">Document, Digital Platform &amp; Media Analysis Tool</w:t>
            </w:r>
          </w:p>
        </w:tc>
        <w:tc>
          <w:tcPr>
            <w:tcW w:type="dxa" w:w="3482"/>
            <w:tcMar>
              <w:top w:type="dxa" w:w="70"/>
              <w:left w:type="dxa" w:w="110"/>
              <w:bottom w:type="dxa" w:w="70"/>
              <w:right w:type="dxa" w:w="110"/>
            </w:tcMar>
            <w:vAlign w:val="top"/>
          </w:tcPr>
          <w:p>
            <w:pPr>
              <w:spacing w:after="40"/>
            </w:pPr>
            <w:r>
              <w:rPr>
                <w:b w:val="false"/>
                <w:bCs w:val="false"/>
                <w:sz w:val="19"/>
                <w:szCs w:val="19"/>
              </w:rPr>
              <w:t xml:space="preserve">https://ee.kobotoolbox.org/x/nM616hqU</w:t>
            </w:r>
          </w:p>
        </w:tc>
        <w:tc>
          <w:tcPr>
            <w:tcW w:type="dxa" w:w="2353"/>
            <w:tcMar>
              <w:top w:type="dxa" w:w="70"/>
              <w:left w:type="dxa" w:w="110"/>
              <w:bottom w:type="dxa" w:w="70"/>
              <w:right w:type="dxa" w:w="110"/>
            </w:tcMar>
            <w:vAlign w:val="top"/>
          </w:tcPr>
          <w:p>
            <w:pPr>
              <w:spacing w:after="40"/>
            </w:pPr>
            <w:r>
              <w:rPr>
                <w:b w:val="false"/>
                <w:bCs w:val="false"/>
                <w:sz w:val="19"/>
                <w:szCs w:val="19"/>
              </w:rPr>
              <w:t xml:space="preserve">KOBO_DOCUMENTS_ASSET_UID</w:t>
            </w:r>
          </w:p>
        </w:tc>
      </w:tr>
    </w:tbl>
    <w:p>
      <w:pPr>
        <w:spacing w:after="12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Respondents must start from the portal</w:t>
            </w:r>
          </w:p>
          <w:p>
            <w:pPr>
              <w:spacing w:after="40" w:line="264"/>
            </w:pPr>
            <w:r>
              <w:rPr>
                <w:sz w:val="19"/>
                <w:szCs w:val="19"/>
              </w:rPr>
              <w:t xml:space="preserve">Do not send the questionnaire's public KoboToolbox link to respondents. Submissions made directly on that link carry no portal signature and are set aside. Always send the personal invitation link.</w:t>
            </w:r>
          </w:p>
        </w:tc>
      </w:tr>
    </w:tbl>
    <w:p>
      <w:pPr>
        <w:pStyle w:val="Heading2"/>
      </w:pPr>
      <w:r>
        <w:t xml:space="preserve">9.2 Changing a form</w:t>
      </w:r>
    </w:p>
    <w:p>
      <w:pPr>
        <w:pStyle w:val="ListParagraph"/>
        <w:numPr>
          <w:ilvl w:val="0"/>
          <w:numId w:val="2"/>
        </w:numPr>
        <w:spacing w:after="60" w:line="276"/>
      </w:pPr>
      <w:r>
        <w:t xml:space="preserve">Keep the hidden identifier fields (</w:t>
      </w:r>
      <w:r>
        <w:rPr>
          <w:rFonts w:ascii="Consolas" w:cs="Consolas" w:eastAsia="Consolas" w:hAnsi="Consolas"/>
          <w:b w:val="false"/>
          <w:bCs w:val="false"/>
          <w:color w:val="122238"/>
          <w:sz w:val="19"/>
          <w:szCs w:val="19"/>
        </w:rPr>
        <w:t xml:space="preserve">master_id</w:t>
      </w:r>
      <w:r>
        <w:t xml:space="preserve">, </w:t>
      </w:r>
      <w:r>
        <w:rPr>
          <w:rFonts w:ascii="Consolas" w:cs="Consolas" w:eastAsia="Consolas" w:hAnsi="Consolas"/>
          <w:b w:val="false"/>
          <w:bCs w:val="false"/>
          <w:color w:val="122238"/>
          <w:sz w:val="19"/>
          <w:szCs w:val="19"/>
        </w:rPr>
        <w:t xml:space="preserve">sample_id</w:t>
      </w:r>
      <w:r>
        <w:t xml:space="preserve">, </w:t>
      </w:r>
      <w:r>
        <w:rPr>
          <w:rFonts w:ascii="Consolas" w:cs="Consolas" w:eastAsia="Consolas" w:hAnsi="Consolas"/>
          <w:b w:val="false"/>
          <w:bCs w:val="false"/>
          <w:color w:val="122238"/>
          <w:sz w:val="19"/>
          <w:szCs w:val="19"/>
        </w:rPr>
        <w:t xml:space="preserve">administration_mode</w:t>
      </w:r>
      <w:r>
        <w:t xml:space="preserve">, </w:t>
      </w:r>
      <w:r>
        <w:rPr>
          <w:rFonts w:ascii="Consolas" w:cs="Consolas" w:eastAsia="Consolas" w:hAnsi="Consolas"/>
          <w:b w:val="false"/>
          <w:bCs w:val="false"/>
          <w:color w:val="122238"/>
          <w:sz w:val="19"/>
          <w:szCs w:val="19"/>
        </w:rPr>
        <w:t xml:space="preserve">respondent_role_category</w:t>
      </w:r>
      <w:r>
        <w:t xml:space="preserve">, </w:t>
      </w:r>
      <w:r>
        <w:rPr>
          <w:rFonts w:ascii="Consolas" w:cs="Consolas" w:eastAsia="Consolas" w:hAnsi="Consolas"/>
          <w:b w:val="false"/>
          <w:bCs w:val="false"/>
          <w:color w:val="122238"/>
          <w:sz w:val="19"/>
          <w:szCs w:val="19"/>
        </w:rPr>
        <w:t xml:space="preserve">portal_token_id</w:t>
      </w:r>
      <w:r>
        <w:t xml:space="preserve">) and the </w:t>
      </w:r>
      <w:r>
        <w:rPr>
          <w:rFonts w:ascii="Consolas" w:cs="Consolas" w:eastAsia="Consolas" w:hAnsi="Consolas"/>
          <w:b w:val="false"/>
          <w:bCs w:val="false"/>
          <w:color w:val="122238"/>
          <w:sz w:val="19"/>
          <w:szCs w:val="19"/>
        </w:rPr>
        <w:t xml:space="preserve">SAMPLE_ID_FINAL</w:t>
      </w:r>
      <w:r>
        <w:t xml:space="preserve">, </w:t>
      </w:r>
      <w:r>
        <w:rPr>
          <w:rFonts w:ascii="Consolas" w:cs="Consolas" w:eastAsia="Consolas" w:hAnsi="Consolas"/>
          <w:b w:val="false"/>
          <w:bCs w:val="false"/>
          <w:color w:val="122238"/>
          <w:sz w:val="19"/>
          <w:szCs w:val="19"/>
        </w:rPr>
        <w:t xml:space="preserve">part_a/KII_ID</w:t>
      </w:r>
      <w:r>
        <w:t xml:space="preserve"> and </w:t>
      </w:r>
      <w:r>
        <w:rPr>
          <w:rFonts w:ascii="Consolas" w:cs="Consolas" w:eastAsia="Consolas" w:hAnsi="Consolas"/>
          <w:b w:val="false"/>
          <w:bCs w:val="false"/>
          <w:color w:val="122238"/>
          <w:sz w:val="19"/>
          <w:szCs w:val="19"/>
        </w:rPr>
        <w:t xml:space="preserve">section_a/DOC_ID</w:t>
      </w:r>
      <w:r>
        <w:t xml:space="preserve"> fields unchanged — they link answers to records.</w:t>
      </w:r>
    </w:p>
    <w:p>
      <w:pPr>
        <w:pStyle w:val="ListParagraph"/>
        <w:numPr>
          <w:ilvl w:val="0"/>
          <w:numId w:val="2"/>
        </w:numPr>
        <w:spacing w:after="60" w:line="276"/>
      </w:pPr>
      <w:r>
        <w:t xml:space="preserve">After redeploying the questionnaire with new required questions, ask the technical administrator to refresh the required-field QA list (</w:t>
      </w:r>
      <w:r>
        <w:rPr>
          <w:rFonts w:ascii="Consolas" w:cs="Consolas" w:eastAsia="Consolas" w:hAnsi="Consolas"/>
          <w:b w:val="false"/>
          <w:bCs w:val="false"/>
          <w:color w:val="122238"/>
          <w:sz w:val="19"/>
          <w:szCs w:val="19"/>
        </w:rPr>
        <w:t xml:space="preserve">qa_required_fields_from_kobo</w:t>
      </w:r>
      <w:r>
        <w:t xml:space="preserve">).</w:t>
      </w:r>
    </w:p>
    <w:p>
      <w:pPr>
        <w:pStyle w:val="ListParagraph"/>
        <w:numPr>
          <w:ilvl w:val="0"/>
          <w:numId w:val="2"/>
        </w:numPr>
        <w:spacing w:after="60" w:line="276"/>
      </w:pPr>
      <w:r>
        <w:t xml:space="preserve">Test every change with one test submission launched from a test invitation, then delete the test submission in KoboToolbox.</w:t>
      </w:r>
    </w:p>
    <w:p>
      <w:pPr>
        <w:spacing w:after="60"/>
      </w:pPr>
    </w:p>
    <w:p>
      <w:pPr>
        <w:pStyle w:val="Heading2"/>
      </w:pPr>
      <w:r>
        <w:t xml:space="preserve">9.3 Instrument decisions (PI, 15 September 2026)</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3294"/>
        <w:gridCol w:w="6118"/>
      </w:tblGrid>
      <w:tr>
        <w:trPr>
          <w:tblHeader/>
        </w:trPr>
        <w:tc>
          <w:tcPr>
            <w:tcW w:type="dxa" w:w="3294"/>
            <w:shd w:fill="1B3350" w:color="auto" w:val="clear"/>
            <w:tcMar>
              <w:top w:type="dxa" w:w="70"/>
              <w:left w:type="dxa" w:w="110"/>
              <w:bottom w:type="dxa" w:w="70"/>
              <w:right w:type="dxa" w:w="110"/>
            </w:tcMar>
            <w:vAlign w:val="top"/>
          </w:tcPr>
          <w:p>
            <w:pPr>
              <w:spacing w:after="40"/>
            </w:pPr>
            <w:r>
              <w:rPr>
                <w:b/>
                <w:bCs/>
                <w:color w:val="FFFFFF"/>
                <w:sz w:val="19"/>
                <w:szCs w:val="19"/>
              </w:rPr>
              <w:t xml:space="preserve">Question</w:t>
            </w:r>
          </w:p>
        </w:tc>
        <w:tc>
          <w:tcPr>
            <w:tcW w:type="dxa" w:w="6118"/>
            <w:shd w:fill="1B3350" w:color="auto" w:val="clear"/>
            <w:tcMar>
              <w:top w:type="dxa" w:w="70"/>
              <w:left w:type="dxa" w:w="110"/>
              <w:bottom w:type="dxa" w:w="70"/>
              <w:right w:type="dxa" w:w="110"/>
            </w:tcMar>
            <w:vAlign w:val="top"/>
          </w:tcPr>
          <w:p>
            <w:pPr>
              <w:spacing w:after="40"/>
            </w:pPr>
            <w:r>
              <w:rPr>
                <w:b/>
                <w:bCs/>
                <w:color w:val="FFFFFF"/>
                <w:sz w:val="19"/>
                <w:szCs w:val="19"/>
              </w:rPr>
              <w:t xml:space="preserve">Decision</w:t>
            </w:r>
          </w:p>
        </w:tc>
      </w:tr>
      <w:tr>
        <w:trPr>
          <w:cantSplit/>
        </w:trPr>
        <w:tc>
          <w:tcPr>
            <w:tcW w:type="dxa" w:w="3294"/>
            <w:tcMar>
              <w:top w:type="dxa" w:w="70"/>
              <w:left w:type="dxa" w:w="110"/>
              <w:bottom w:type="dxa" w:w="70"/>
              <w:right w:type="dxa" w:w="110"/>
            </w:tcMar>
            <w:vAlign w:val="top"/>
          </w:tcPr>
          <w:p>
            <w:pPr>
              <w:spacing w:after="40"/>
            </w:pPr>
            <w:r>
              <w:rPr>
                <w:b w:val="false"/>
                <w:bCs w:val="false"/>
                <w:sz w:val="19"/>
                <w:szCs w:val="19"/>
              </w:rPr>
              <w:t xml:space="preserve">Questionnaire Section 10 (Optional Routed Evidence Module)</w:t>
            </w:r>
          </w:p>
        </w:tc>
        <w:tc>
          <w:tcPr>
            <w:tcW w:type="dxa" w:w="6118"/>
            <w:tcMar>
              <w:top w:type="dxa" w:w="70"/>
              <w:left w:type="dxa" w:w="110"/>
              <w:bottom w:type="dxa" w:w="70"/>
              <w:right w:type="dxa" w:w="110"/>
            </w:tcMar>
            <w:vAlign w:val="top"/>
          </w:tcPr>
          <w:p>
            <w:pPr>
              <w:spacing w:after="40"/>
            </w:pPr>
            <w:r>
              <w:rPr>
                <w:b w:val="false"/>
                <w:bCs w:val="false"/>
                <w:sz w:val="19"/>
                <w:szCs w:val="19"/>
              </w:rPr>
              <w:t xml:space="preserve">Shown to every consenting respondent; all questions optional, exactly as the frozen v3.0 instrument. No routing added.</w:t>
            </w:r>
          </w:p>
        </w:tc>
      </w:tr>
      <w:tr>
        <w:trPr>
          <w:cantSplit/>
        </w:trPr>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Document tool: records rated Exclude</w:t>
            </w:r>
          </w:p>
        </w:tc>
        <w:tc>
          <w:tcPr>
            <w:tcW w:type="dxa" w:w="6118"/>
            <w:shd w:fill="F8FAFB" w:color="auto" w:val="clear"/>
            <w:tcMar>
              <w:top w:type="dxa" w:w="70"/>
              <w:left w:type="dxa" w:w="110"/>
              <w:bottom w:type="dxa" w:w="70"/>
              <w:right w:type="dxa" w:w="110"/>
            </w:tcMar>
            <w:vAlign w:val="top"/>
          </w:tcPr>
          <w:p>
            <w:pPr>
              <w:spacing w:after="40"/>
            </w:pPr>
            <w:r>
              <w:rPr>
                <w:b w:val="false"/>
                <w:bCs w:val="false"/>
                <w:sz w:val="19"/>
                <w:szCs w:val="19"/>
              </w:rPr>
              <w:t xml:space="preserve">Keep Section A–B provenance and screening; skip Sections C–L. Publication/event date stays free text so year-only dates are accepted.</w:t>
            </w:r>
          </w:p>
        </w:tc>
      </w:tr>
      <w:tr>
        <w:trPr>
          <w:cantSplit/>
        </w:trPr>
        <w:tc>
          <w:tcPr>
            <w:tcW w:type="dxa" w:w="3294"/>
            <w:tcMar>
              <w:top w:type="dxa" w:w="70"/>
              <w:left w:type="dxa" w:w="110"/>
              <w:bottom w:type="dxa" w:w="70"/>
              <w:right w:type="dxa" w:w="110"/>
            </w:tcMar>
            <w:vAlign w:val="top"/>
          </w:tcPr>
          <w:p>
            <w:pPr>
              <w:spacing w:after="40"/>
            </w:pPr>
            <w:r>
              <w:rPr>
                <w:b w:val="false"/>
                <w:bCs w:val="false"/>
                <w:sz w:val="19"/>
                <w:szCs w:val="19"/>
              </w:rPr>
              <w:t xml:space="preserve">KII respondent category list</w:t>
            </w:r>
          </w:p>
        </w:tc>
        <w:tc>
          <w:tcPr>
            <w:tcW w:type="dxa" w:w="6118"/>
            <w:tcMar>
              <w:top w:type="dxa" w:w="70"/>
              <w:left w:type="dxa" w:w="110"/>
              <w:bottom w:type="dxa" w:w="70"/>
              <w:right w:type="dxa" w:w="110"/>
            </w:tcMar>
            <w:vAlign w:val="top"/>
          </w:tcPr>
          <w:p>
            <w:pPr>
              <w:spacing w:after="40"/>
            </w:pPr>
            <w:r>
              <w:rPr>
                <w:b w:val="false"/>
                <w:bCs w:val="false"/>
                <w:sz w:val="19"/>
                <w:szCs w:val="19"/>
              </w:rPr>
              <w:t xml:space="preserve">Confirmed identical to the frozen KII Guide v3.0 (10 named categories + Other).</w:t>
            </w:r>
          </w:p>
        </w:tc>
      </w:tr>
      <w:tr>
        <w:trPr>
          <w:cantSplit/>
        </w:trPr>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KII Executive Short Form</w:t>
            </w:r>
          </w:p>
        </w:tc>
        <w:tc>
          <w:tcPr>
            <w:tcW w:type="dxa" w:w="6118"/>
            <w:shd w:fill="F8FAFB" w:color="auto" w:val="clear"/>
            <w:tcMar>
              <w:top w:type="dxa" w:w="70"/>
              <w:left w:type="dxa" w:w="110"/>
              <w:bottom w:type="dxa" w:w="70"/>
              <w:right w:type="dxa" w:w="110"/>
            </w:tcMar>
            <w:vAlign w:val="top"/>
          </w:tcPr>
          <w:p>
            <w:pPr>
              <w:spacing w:after="40"/>
            </w:pPr>
            <w:r>
              <w:rPr>
                <w:b w:val="false"/>
                <w:bCs w:val="false"/>
                <w:sz w:val="19"/>
                <w:szCs w:val="19"/>
              </w:rPr>
              <w:t xml:space="preserve">Source wording restored: 'Ask K1, K2, K3, K7 and K9 below', each question labelled with its source code. Data columns EXEC1–EXEC5 unchanged. Redeployed 15 September 2026.</w:t>
            </w:r>
          </w:p>
        </w:tc>
      </w:tr>
      <w:tr>
        <w:trPr>
          <w:cantSplit/>
        </w:trPr>
        <w:tc>
          <w:tcPr>
            <w:tcW w:type="dxa" w:w="3294"/>
            <w:tcMar>
              <w:top w:type="dxa" w:w="70"/>
              <w:left w:type="dxa" w:w="110"/>
              <w:bottom w:type="dxa" w:w="70"/>
              <w:right w:type="dxa" w:w="110"/>
            </w:tcMar>
            <w:vAlign w:val="top"/>
          </w:tcPr>
          <w:p>
            <w:pPr>
              <w:spacing w:after="40"/>
            </w:pPr>
            <w:r>
              <w:rPr>
                <w:b w:val="false"/>
                <w:bCs w:val="false"/>
                <w:sz w:val="19"/>
                <w:szCs w:val="19"/>
              </w:rPr>
              <w:t xml:space="preserve">Answers from a participant who later withdraws</w:t>
            </w:r>
          </w:p>
        </w:tc>
        <w:tc>
          <w:tcPr>
            <w:tcW w:type="dxa" w:w="6118"/>
            <w:tcMar>
              <w:top w:type="dxa" w:w="70"/>
              <w:left w:type="dxa" w:w="110"/>
              <w:bottom w:type="dxa" w:w="70"/>
              <w:right w:type="dxa" w:w="110"/>
            </w:tcMar>
            <w:vAlign w:val="top"/>
          </w:tcPr>
          <w:p>
            <w:pPr>
              <w:spacing w:after="40"/>
            </w:pPr>
            <w:r>
              <w:rPr>
                <w:b w:val="false"/>
                <w:bCs w:val="false"/>
                <w:sz w:val="19"/>
                <w:szCs w:val="19"/>
              </w:rPr>
              <w:t xml:space="preserve">Kept for the audit trail, never analysed: left out of the analysis export, marked in the operational export and KoboToolbox downloads.</w:t>
            </w:r>
          </w:p>
        </w:tc>
      </w:tr>
    </w:tbl>
    <w:p>
      <w:pPr>
        <w:spacing w:after="120"/>
      </w:pPr>
    </w:p>
    <w:p>
      <w:pPr>
        <w:pStyle w:val="Heading2"/>
      </w:pPr>
      <w:r>
        <w:t xml:space="preserve">9.4 Rotating the KoboToolbox password and API token</w:t>
      </w:r>
    </w:p>
    <w:p>
      <w:pPr>
        <w:pStyle w:val="ListParagraph"/>
        <w:numPr>
          <w:ilvl w:val="0"/>
          <w:numId w:val="55"/>
        </w:numPr>
        <w:spacing w:after="80" w:line="276"/>
      </w:pPr>
      <w:r>
        <w:t xml:space="preserve">Sign in to KoboToolbox (https://kf.kobotoolbox.org) and change the account password.</w:t>
      </w:r>
    </w:p>
    <w:p>
      <w:pPr>
        <w:pStyle w:val="ListParagraph"/>
        <w:numPr>
          <w:ilvl w:val="0"/>
          <w:numId w:val="55"/>
        </w:numPr>
        <w:spacing w:after="80" w:line="276"/>
      </w:pPr>
      <w:r>
        <w:t xml:space="preserve">In </w:t>
      </w:r>
      <w:r>
        <w:rPr>
          <w:b/>
          <w:bCs/>
        </w:rPr>
        <w:t xml:space="preserve">Account settings → Security</w:t>
      </w:r>
      <w:r>
        <w:t xml:space="preserve">, generate a new API token.</w:t>
      </w:r>
    </w:p>
    <w:p>
      <w:pPr>
        <w:pStyle w:val="ListParagraph"/>
        <w:numPr>
          <w:ilvl w:val="0"/>
          <w:numId w:val="55"/>
        </w:numPr>
        <w:spacing w:after="80" w:line="276"/>
      </w:pPr>
      <w:r>
        <w:t xml:space="preserve">On the server, run </w:t>
      </w:r>
      <w:r>
        <w:rPr>
          <w:rFonts w:ascii="Consolas" w:cs="Consolas" w:eastAsia="Consolas" w:hAnsi="Consolas"/>
          <w:b w:val="false"/>
          <w:bCs w:val="false"/>
          <w:color w:val="122238"/>
          <w:sz w:val="19"/>
          <w:szCs w:val="19"/>
        </w:rPr>
        <w:t xml:space="preserve">sudo bash /srv/agribiz-drp/deploy/configure-kobo.sh</w:t>
      </w:r>
      <w:r>
        <w:t xml:space="preserve"> and paste the new token when asked. The script never displays it.</w:t>
      </w:r>
    </w:p>
    <w:p>
      <w:pPr>
        <w:pStyle w:val="ListParagraph"/>
        <w:numPr>
          <w:ilvl w:val="0"/>
          <w:numId w:val="55"/>
        </w:numPr>
        <w:spacing w:after="80" w:line="276"/>
      </w:pPr>
      <w:r>
        <w:t xml:space="preserve">In the portal, open </w:t>
      </w:r>
      <w:r>
        <w:rPr>
          <w:b/>
          <w:bCs/>
        </w:rPr>
        <w:t xml:space="preserve">QA Queue</w:t>
      </w:r>
      <w:r>
        <w:t xml:space="preserve"> and select </w:t>
      </w:r>
      <w:r>
        <w:rPr>
          <w:b/>
          <w:bCs/>
        </w:rPr>
        <w:t xml:space="preserve">Sync now</w:t>
      </w:r>
      <w:r>
        <w:t xml:space="preserve">; the panel should report a successful run.</w:t>
      </w:r>
    </w:p>
    <w:p>
      <w:pPr>
        <w:spacing w:after="80"/>
      </w:pPr>
    </w:p>
    <w:p>
      <w:pPr>
        <w:pStyle w:val="Heading1"/>
        <w:pageBreakBefore/>
      </w:pPr>
      <w:r>
        <w:t xml:space="preserve">10. System administration</w:t>
      </w:r>
    </w:p>
    <w:p>
      <w:pPr>
        <w:pStyle w:val="Heading2"/>
      </w:pPr>
      <w:r>
        <w:t xml:space="preserve">10.1 Creating and managing accounts (PI)</w:t>
      </w:r>
    </w:p>
    <w:p>
      <w:pPr>
        <w:pStyle w:val="ListParagraph"/>
        <w:numPr>
          <w:ilvl w:val="0"/>
          <w:numId w:val="56"/>
        </w:numPr>
        <w:spacing w:after="80" w:line="276"/>
      </w:pPr>
      <w:r>
        <w:t xml:space="preserve">For a whole team, fill in </w:t>
      </w:r>
      <w:r>
        <w:rPr>
          <w:b/>
          <w:bCs/>
        </w:rPr>
        <w:t xml:space="preserve">docs/templates/ABF-FST_Staff_Accounts_Template.xlsx</w:t>
      </w:r>
      <w:r>
        <w:t xml:space="preserve"> and run </w:t>
      </w:r>
      <w:r>
        <w:rPr>
          <w:rFonts w:ascii="Consolas" w:cs="Consolas" w:eastAsia="Consolas" w:hAnsi="Consolas"/>
          <w:b w:val="false"/>
          <w:bCs w:val="false"/>
          <w:color w:val="122238"/>
          <w:sz w:val="19"/>
          <w:szCs w:val="19"/>
        </w:rPr>
        <w:t xml:space="preserve">manage.py create_staff_accounts --file &lt;sheet&gt; --dry-run</w:t>
      </w:r>
      <w:r>
        <w:t xml:space="preserve">, then again without </w:t>
      </w:r>
      <w:r>
        <w:rPr>
          <w:rFonts w:ascii="Consolas" w:cs="Consolas" w:eastAsia="Consolas" w:hAnsi="Consolas"/>
          <w:b w:val="false"/>
          <w:bCs w:val="false"/>
          <w:color w:val="122238"/>
          <w:sz w:val="19"/>
          <w:szCs w:val="19"/>
        </w:rPr>
        <w:t xml:space="preserve">--dry-run</w:t>
      </w:r>
      <w:r>
        <w:t xml:space="preserve"> (add </w:t>
      </w:r>
      <w:r>
        <w:rPr>
          <w:rFonts w:ascii="Consolas" w:cs="Consolas" w:eastAsia="Consolas" w:hAnsi="Consolas"/>
          <w:b w:val="false"/>
          <w:bCs w:val="false"/>
          <w:color w:val="122238"/>
          <w:sz w:val="19"/>
          <w:szCs w:val="19"/>
        </w:rPr>
        <w:t xml:space="preserve">--assign-cases</w:t>
      </w:r>
      <w:r>
        <w:t xml:space="preserve"> to share the shared account's Main cases among the new Contact RAs by province). Temporary passwords go to a private credentials file, never the screen. For one person:</w:t>
      </w:r>
    </w:p>
    <w:p>
      <w:pPr>
        <w:pStyle w:val="ListParagraph"/>
        <w:numPr>
          <w:ilvl w:val="0"/>
          <w:numId w:val="56"/>
        </w:numPr>
        <w:spacing w:after="80" w:line="276"/>
      </w:pPr>
      <w:r>
        <w:t xml:space="preserve">Open </w:t>
      </w:r>
      <w:r>
        <w:rPr>
          <w:b/>
          <w:bCs/>
        </w:rPr>
        <w:t xml:space="preserve">https://research.agribizframework.com/django-admin/</w:t>
      </w:r>
      <w:r>
        <w:t xml:space="preserve"> and sign in with the PI account.</w:t>
      </w:r>
    </w:p>
    <w:p>
      <w:pPr>
        <w:pStyle w:val="ListParagraph"/>
        <w:numPr>
          <w:ilvl w:val="0"/>
          <w:numId w:val="56"/>
        </w:numPr>
        <w:spacing w:after="80" w:line="276"/>
      </w:pPr>
      <w:r>
        <w:t xml:space="preserve">Select </w:t>
      </w:r>
      <w:r>
        <w:rPr>
          <w:b/>
          <w:bCs/>
        </w:rPr>
        <w:t xml:space="preserve">Users → Add user</w:t>
      </w:r>
      <w:r>
        <w:t xml:space="preserve">, enter a username and a strong temporary password, and save.</w:t>
      </w:r>
    </w:p>
    <w:p>
      <w:pPr>
        <w:pStyle w:val="ListParagraph"/>
        <w:numPr>
          <w:ilvl w:val="0"/>
          <w:numId w:val="56"/>
        </w:numPr>
        <w:spacing w:after="80" w:line="276"/>
      </w:pPr>
      <w:r>
        <w:t xml:space="preserve">On the next page, set the person's name and </w:t>
      </w:r>
      <w:r>
        <w:rPr>
          <w:b/>
          <w:bCs/>
        </w:rPr>
        <w:t xml:space="preserve">email</w:t>
      </w:r>
      <w:r>
        <w:t xml:space="preserve"> (used for </w:t>
      </w:r>
      <w:r>
        <w:rPr>
          <w:b/>
          <w:bCs/>
        </w:rPr>
        <w:t xml:space="preserve">Email to me</w:t>
      </w:r>
      <w:r>
        <w:t xml:space="preserve">), choose the </w:t>
      </w:r>
      <w:r>
        <w:rPr>
          <w:b/>
          <w:bCs/>
        </w:rPr>
        <w:t xml:space="preserve">Role</w:t>
      </w:r>
      <w:r>
        <w:t xml:space="preserve"> under </w:t>
      </w:r>
      <w:r>
        <w:rPr>
          <w:b/>
          <w:bCs/>
        </w:rPr>
        <w:t xml:space="preserve">ABF-FST role</w:t>
      </w:r>
      <w:r>
        <w:t xml:space="preserve">, and save.</w:t>
      </w:r>
    </w:p>
    <w:p>
      <w:pPr>
        <w:pStyle w:val="ListParagraph"/>
        <w:numPr>
          <w:ilvl w:val="0"/>
          <w:numId w:val="56"/>
        </w:numPr>
        <w:spacing w:after="80" w:line="276"/>
      </w:pPr>
      <w:r>
        <w:t xml:space="preserve">Give the person their username and temporary password separately and ask them to change it at first sign-in (</w:t>
      </w:r>
      <w:r>
        <w:rPr>
          <w:b/>
          <w:bCs/>
        </w:rPr>
        <w:t xml:space="preserve">Change password</w:t>
      </w:r>
      <w:r>
        <w:t xml:space="preserve">).</w:t>
      </w:r>
    </w:p>
    <w:p>
      <w:pPr>
        <w:pStyle w:val="ListParagraph"/>
        <w:numPr>
          <w:ilvl w:val="0"/>
          <w:numId w:val="56"/>
        </w:numPr>
        <w:spacing w:after="80" w:line="276"/>
      </w:pPr>
      <w:r>
        <w:t xml:space="preserve">When someone leaves the team, untick </w:t>
      </w:r>
      <w:r>
        <w:rPr>
          <w:b/>
          <w:bCs/>
        </w:rPr>
        <w:t xml:space="preserve">Active</w:t>
      </w:r>
      <w:r>
        <w:t xml:space="preserve"> on their user record. Never delete users: their audit history must remain.</w:t>
      </w:r>
    </w:p>
    <w:p>
      <w:pPr>
        <w:pStyle w:val="ListParagraph"/>
        <w:numPr>
          <w:ilvl w:val="0"/>
          <w:numId w:val="56"/>
        </w:numPr>
        <w:spacing w:after="80" w:line="276"/>
      </w:pPr>
      <w:r>
        <w:t xml:space="preserve">Reassign a departing Contact RA's cases with </w:t>
      </w:r>
      <w:r>
        <w:rPr>
          <w:b/>
          <w:bCs/>
        </w:rPr>
        <w:t xml:space="preserve">Reassign cases</w:t>
      </w:r>
      <w:r>
        <w:t xml:space="preserve"> on the Main-400 Register before deactivating them.</w:t>
      </w:r>
    </w:p>
    <w:p>
      <w:pPr>
        <w:spacing w:after="80"/>
      </w:pPr>
    </w:p>
    <w:p>
      <w:pPr>
        <w:pStyle w:val="Heading2"/>
      </w:pPr>
      <w:r>
        <w:t xml:space="preserve">10.2 Server operations (technical administrator)</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3577"/>
        <w:gridCol w:w="5835"/>
      </w:tblGrid>
      <w:tr>
        <w:trPr>
          <w:tblHeader/>
        </w:trPr>
        <w:tc>
          <w:tcPr>
            <w:tcW w:type="dxa" w:w="3577"/>
            <w:shd w:fill="1B3350" w:color="auto" w:val="clear"/>
            <w:tcMar>
              <w:top w:type="dxa" w:w="70"/>
              <w:left w:type="dxa" w:w="110"/>
              <w:bottom w:type="dxa" w:w="70"/>
              <w:right w:type="dxa" w:w="110"/>
            </w:tcMar>
            <w:vAlign w:val="top"/>
          </w:tcPr>
          <w:p>
            <w:pPr>
              <w:spacing w:after="40"/>
            </w:pPr>
            <w:r>
              <w:rPr>
                <w:b/>
                <w:bCs/>
                <w:color w:val="FFFFFF"/>
                <w:sz w:val="19"/>
                <w:szCs w:val="19"/>
              </w:rPr>
              <w:t xml:space="preserve">Task</w:t>
            </w:r>
          </w:p>
        </w:tc>
        <w:tc>
          <w:tcPr>
            <w:tcW w:type="dxa" w:w="5835"/>
            <w:shd w:fill="1B3350" w:color="auto" w:val="clear"/>
            <w:tcMar>
              <w:top w:type="dxa" w:w="70"/>
              <w:left w:type="dxa" w:w="110"/>
              <w:bottom w:type="dxa" w:w="70"/>
              <w:right w:type="dxa" w:w="110"/>
            </w:tcMar>
            <w:vAlign w:val="top"/>
          </w:tcPr>
          <w:p>
            <w:pPr>
              <w:spacing w:after="40"/>
            </w:pPr>
            <w:r>
              <w:rPr>
                <w:b/>
                <w:bCs/>
                <w:color w:val="FFFFFF"/>
                <w:sz w:val="19"/>
                <w:szCs w:val="19"/>
              </w:rPr>
              <w:t xml:space="preserve">Command (on the server, as root)</w:t>
            </w:r>
          </w:p>
        </w:tc>
      </w:tr>
      <w:tr>
        <w:trPr>
          <w:cantSplit/>
        </w:trPr>
        <w:tc>
          <w:tcPr>
            <w:tcW w:type="dxa" w:w="3577"/>
            <w:tcMar>
              <w:top w:type="dxa" w:w="70"/>
              <w:left w:type="dxa" w:w="110"/>
              <w:bottom w:type="dxa" w:w="70"/>
              <w:right w:type="dxa" w:w="110"/>
            </w:tcMar>
            <w:vAlign w:val="top"/>
          </w:tcPr>
          <w:p>
            <w:pPr>
              <w:spacing w:after="40"/>
            </w:pPr>
            <w:r>
              <w:rPr>
                <w:b w:val="false"/>
                <w:bCs w:val="false"/>
                <w:sz w:val="19"/>
                <w:szCs w:val="19"/>
              </w:rPr>
              <w:t xml:space="preserve">Deploy an update</w:t>
            </w:r>
          </w:p>
        </w:tc>
        <w:tc>
          <w:tcPr>
            <w:tcW w:type="dxa" w:w="5835"/>
            <w:tcMar>
              <w:top w:type="dxa" w:w="70"/>
              <w:left w:type="dxa" w:w="110"/>
              <w:bottom w:type="dxa" w:w="70"/>
              <w:right w:type="dxa" w:w="110"/>
            </w:tcMar>
            <w:vAlign w:val="top"/>
          </w:tcPr>
          <w:p>
            <w:pPr>
              <w:spacing w:after="40"/>
            </w:pPr>
            <w:r>
              <w:rPr>
                <w:rFonts w:ascii="Consolas" w:cs="Consolas" w:eastAsia="Consolas" w:hAnsi="Consolas"/>
                <w:b w:val="false"/>
                <w:bCs w:val="false"/>
                <w:sz w:val="19"/>
                <w:szCs w:val="19"/>
              </w:rPr>
              <w:t xml:space="preserve">sudo bash /srv/agribiz-drp/deploy/deploy.sh</w:t>
            </w:r>
          </w:p>
        </w:tc>
      </w:tr>
      <w:tr>
        <w:trPr>
          <w:cantSplit/>
        </w:trPr>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Roll back the last deploy</w:t>
            </w:r>
          </w:p>
        </w:tc>
        <w:tc>
          <w:tcPr>
            <w:tcW w:type="dxa" w:w="5835"/>
            <w:shd w:fill="F8FAFB"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9"/>
                <w:szCs w:val="19"/>
              </w:rPr>
              <w:t xml:space="preserve">sudo bash /srv/agribiz-drp/deploy/rollback.sh</w:t>
            </w:r>
          </w:p>
        </w:tc>
      </w:tr>
      <w:tr>
        <w:trPr>
          <w:cantSplit/>
        </w:trPr>
        <w:tc>
          <w:tcPr>
            <w:tcW w:type="dxa" w:w="3577"/>
            <w:tcMar>
              <w:top w:type="dxa" w:w="70"/>
              <w:left w:type="dxa" w:w="110"/>
              <w:bottom w:type="dxa" w:w="70"/>
              <w:right w:type="dxa" w:w="110"/>
            </w:tcMar>
            <w:vAlign w:val="top"/>
          </w:tcPr>
          <w:p>
            <w:pPr>
              <w:spacing w:after="40"/>
            </w:pPr>
            <w:r>
              <w:rPr>
                <w:b w:val="false"/>
                <w:bCs w:val="false"/>
                <w:sz w:val="19"/>
                <w:szCs w:val="19"/>
              </w:rPr>
              <w:t xml:space="preserve">Check go-live readiness without changing data</w:t>
            </w:r>
          </w:p>
        </w:tc>
        <w:tc>
          <w:tcPr>
            <w:tcW w:type="dxa" w:w="5835"/>
            <w:tcMar>
              <w:top w:type="dxa" w:w="70"/>
              <w:left w:type="dxa" w:w="110"/>
              <w:bottom w:type="dxa" w:w="70"/>
              <w:right w:type="dxa" w:w="110"/>
            </w:tcMar>
            <w:vAlign w:val="top"/>
          </w:tcPr>
          <w:p>
            <w:pPr>
              <w:spacing w:after="40"/>
            </w:pPr>
            <w:r>
              <w:rPr>
                <w:rFonts w:ascii="Consolas" w:cs="Consolas" w:eastAsia="Consolas" w:hAnsi="Consolas"/>
                <w:b w:val="false"/>
                <w:bCs w:val="false"/>
                <w:sz w:val="19"/>
                <w:szCs w:val="19"/>
              </w:rPr>
              <w:t xml:space="preserve">cd /srv/agribiz-drp/backend &amp;&amp; sudo -u agribiz-drp venv/bin/python manage.py golive_preflight</w:t>
            </w:r>
          </w:p>
        </w:tc>
      </w:tr>
      <w:tr>
        <w:trPr>
          <w:cantSplit/>
        </w:trPr>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Connect or reconnect KoboToolbox</w:t>
            </w:r>
          </w:p>
        </w:tc>
        <w:tc>
          <w:tcPr>
            <w:tcW w:type="dxa" w:w="5835"/>
            <w:shd w:fill="F8FAFB"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9"/>
                <w:szCs w:val="19"/>
              </w:rPr>
              <w:t xml:space="preserve">sudo bash /srv/agribiz-drp/deploy/configure-kobo.sh</w:t>
            </w:r>
          </w:p>
        </w:tc>
      </w:tr>
      <w:tr>
        <w:trPr>
          <w:cantSplit/>
        </w:trPr>
        <w:tc>
          <w:tcPr>
            <w:tcW w:type="dxa" w:w="3577"/>
            <w:tcMar>
              <w:top w:type="dxa" w:w="70"/>
              <w:left w:type="dxa" w:w="110"/>
              <w:bottom w:type="dxa" w:w="70"/>
              <w:right w:type="dxa" w:w="110"/>
            </w:tcMar>
            <w:vAlign w:val="top"/>
          </w:tcPr>
          <w:p>
            <w:pPr>
              <w:spacing w:after="40"/>
            </w:pPr>
            <w:r>
              <w:rPr>
                <w:b w:val="false"/>
                <w:bCs w:val="false"/>
                <w:sz w:val="19"/>
                <w:szCs w:val="19"/>
              </w:rPr>
              <w:t xml:space="preserve">Send document drafting to Meta's Muse model (add </w:t>
            </w:r>
            <w:r>
              <w:rPr>
                <w:rFonts w:ascii="Consolas" w:cs="Consolas" w:eastAsia="Consolas" w:hAnsi="Consolas"/>
                <w:b w:val="false"/>
                <w:bCs w:val="false"/>
                <w:sz w:val="19"/>
                <w:szCs w:val="19"/>
              </w:rPr>
              <w:t xml:space="preserve">--revert</w:t>
            </w:r>
            <w:r>
              <w:rPr>
                <w:b w:val="false"/>
                <w:bCs w:val="false"/>
                <w:sz w:val="19"/>
                <w:szCs w:val="19"/>
              </w:rPr>
              <w:t xml:space="preserve"> to switch back to Anthropic)</w:t>
            </w:r>
          </w:p>
        </w:tc>
        <w:tc>
          <w:tcPr>
            <w:tcW w:type="dxa" w:w="5835"/>
            <w:tcMar>
              <w:top w:type="dxa" w:w="70"/>
              <w:left w:type="dxa" w:w="110"/>
              <w:bottom w:type="dxa" w:w="70"/>
              <w:right w:type="dxa" w:w="110"/>
            </w:tcMar>
            <w:vAlign w:val="top"/>
          </w:tcPr>
          <w:p>
            <w:pPr>
              <w:spacing w:after="40"/>
            </w:pPr>
            <w:r>
              <w:rPr>
                <w:rFonts w:ascii="Consolas" w:cs="Consolas" w:eastAsia="Consolas" w:hAnsi="Consolas"/>
                <w:b w:val="false"/>
                <w:bCs w:val="false"/>
                <w:sz w:val="19"/>
                <w:szCs w:val="19"/>
              </w:rPr>
              <w:t xml:space="preserve">sudo bash /srv/agribiz-drp/deploy/configure-ai-provider.sh</w:t>
            </w:r>
          </w:p>
        </w:tc>
      </w:tr>
      <w:tr>
        <w:trPr>
          <w:cantSplit/>
        </w:trPr>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Send PROIT research and the contact finder to Muse (add </w:t>
            </w:r>
            <w:r>
              <w:rPr>
                <w:rFonts w:ascii="Consolas" w:cs="Consolas" w:eastAsia="Consolas" w:hAnsi="Consolas"/>
                <w:b w:val="false"/>
                <w:bCs w:val="false"/>
                <w:sz w:val="19"/>
                <w:szCs w:val="19"/>
              </w:rPr>
              <w:t xml:space="preserve">--revert</w:t>
            </w:r>
            <w:r>
              <w:rPr>
                <w:b w:val="false"/>
                <w:bCs w:val="false"/>
                <w:sz w:val="19"/>
                <w:szCs w:val="19"/>
              </w:rPr>
              <w:t xml:space="preserve"> to switch back)</w:t>
            </w:r>
          </w:p>
        </w:tc>
        <w:tc>
          <w:tcPr>
            <w:tcW w:type="dxa" w:w="5835"/>
            <w:shd w:fill="F8FAFB"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9"/>
                <w:szCs w:val="19"/>
              </w:rPr>
              <w:t xml:space="preserve">sudo bash /srv/agribiz-drp/deploy/configure-ai-provider.sh --proit</w:t>
            </w:r>
          </w:p>
        </w:tc>
      </w:tr>
      <w:tr>
        <w:trPr>
          <w:cantSplit/>
        </w:trPr>
        <w:tc>
          <w:tcPr>
            <w:tcW w:type="dxa" w:w="3577"/>
            <w:tcMar>
              <w:top w:type="dxa" w:w="70"/>
              <w:left w:type="dxa" w:w="110"/>
              <w:bottom w:type="dxa" w:w="70"/>
              <w:right w:type="dxa" w:w="110"/>
            </w:tcMar>
            <w:vAlign w:val="top"/>
          </w:tcPr>
          <w:p>
            <w:pPr>
              <w:spacing w:after="40"/>
            </w:pPr>
            <w:r>
              <w:rPr>
                <w:b w:val="false"/>
                <w:bCs w:val="false"/>
                <w:sz w:val="19"/>
                <w:szCs w:val="19"/>
              </w:rPr>
              <w:t xml:space="preserve">Turn on AI drafting with Anthropic (the original set-up)</w:t>
            </w:r>
          </w:p>
        </w:tc>
        <w:tc>
          <w:tcPr>
            <w:tcW w:type="dxa" w:w="5835"/>
            <w:tcMar>
              <w:top w:type="dxa" w:w="70"/>
              <w:left w:type="dxa" w:w="110"/>
              <w:bottom w:type="dxa" w:w="70"/>
              <w:right w:type="dxa" w:w="110"/>
            </w:tcMar>
            <w:vAlign w:val="top"/>
          </w:tcPr>
          <w:p>
            <w:pPr>
              <w:spacing w:after="40"/>
            </w:pPr>
            <w:r>
              <w:rPr>
                <w:rFonts w:ascii="Consolas" w:cs="Consolas" w:eastAsia="Consolas" w:hAnsi="Consolas"/>
                <w:b w:val="false"/>
                <w:bCs w:val="false"/>
                <w:sz w:val="19"/>
                <w:szCs w:val="19"/>
              </w:rPr>
              <w:t xml:space="preserve">sudo bash /srv/agribiz-drp/deploy/configure-ai-coding.sh</w:t>
            </w:r>
          </w:p>
        </w:tc>
      </w:tr>
      <w:tr>
        <w:trPr>
          <w:cantSplit/>
        </w:trPr>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Set up outgoing email (Gmail App Password)</w:t>
            </w:r>
          </w:p>
        </w:tc>
        <w:tc>
          <w:tcPr>
            <w:tcW w:type="dxa" w:w="5835"/>
            <w:shd w:fill="F8FAFB"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9"/>
                <w:szCs w:val="19"/>
              </w:rPr>
              <w:t xml:space="preserve">sudo bash /srv/agribiz-drp/deploy/configure-email.sh</w:t>
            </w:r>
          </w:p>
        </w:tc>
      </w:tr>
      <w:tr>
        <w:trPr>
          <w:cantSplit/>
        </w:trPr>
        <w:tc>
          <w:tcPr>
            <w:tcW w:type="dxa" w:w="3577"/>
            <w:tcMar>
              <w:top w:type="dxa" w:w="70"/>
              <w:left w:type="dxa" w:w="110"/>
              <w:bottom w:type="dxa" w:w="70"/>
              <w:right w:type="dxa" w:w="110"/>
            </w:tcMar>
            <w:vAlign w:val="top"/>
          </w:tcPr>
          <w:p>
            <w:pPr>
              <w:spacing w:after="40"/>
            </w:pPr>
            <w:r>
              <w:rPr>
                <w:b w:val="false"/>
                <w:bCs w:val="false"/>
                <w:sz w:val="19"/>
                <w:szCs w:val="19"/>
              </w:rPr>
              <w:t xml:space="preserve">Set up SMS and WhatsApp (Twilio)</w:t>
            </w:r>
          </w:p>
        </w:tc>
        <w:tc>
          <w:tcPr>
            <w:tcW w:type="dxa" w:w="5835"/>
            <w:tcMar>
              <w:top w:type="dxa" w:w="70"/>
              <w:left w:type="dxa" w:w="110"/>
              <w:bottom w:type="dxa" w:w="70"/>
              <w:right w:type="dxa" w:w="110"/>
            </w:tcMar>
            <w:vAlign w:val="top"/>
          </w:tcPr>
          <w:p>
            <w:pPr>
              <w:spacing w:after="40"/>
            </w:pPr>
            <w:r>
              <w:rPr>
                <w:rFonts w:ascii="Consolas" w:cs="Consolas" w:eastAsia="Consolas" w:hAnsi="Consolas"/>
                <w:b w:val="false"/>
                <w:bCs w:val="false"/>
                <w:sz w:val="19"/>
                <w:szCs w:val="19"/>
              </w:rPr>
              <w:t xml:space="preserve">sudo bash /srv/agribiz-drp/deploy/configure-twilio.sh</w:t>
            </w:r>
            <w:r>
              <w:rPr>
                <w:b w:val="false"/>
                <w:bCs w:val="false"/>
                <w:sz w:val="19"/>
                <w:szCs w:val="19"/>
              </w:rPr>
              <w:t xml:space="preserve"> (re-run to add the WhatsApp values once Meta approves them)</w:t>
            </w:r>
          </w:p>
        </w:tc>
      </w:tr>
      <w:tr>
        <w:trPr>
          <w:cantSplit/>
        </w:trPr>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Enable encrypted Google Drive backups</w:t>
            </w:r>
          </w:p>
        </w:tc>
        <w:tc>
          <w:tcPr>
            <w:tcW w:type="dxa" w:w="5835"/>
            <w:shd w:fill="F8FAFB"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9"/>
                <w:szCs w:val="19"/>
              </w:rPr>
              <w:t xml:space="preserve">sudo bash /srv/agribiz-drp/deploy/configure-offsite-backup.sh</w:t>
            </w:r>
          </w:p>
        </w:tc>
      </w:tr>
      <w:tr>
        <w:trPr>
          <w:cantSplit/>
        </w:trPr>
        <w:tc>
          <w:tcPr>
            <w:tcW w:type="dxa" w:w="3577"/>
            <w:tcMar>
              <w:top w:type="dxa" w:w="70"/>
              <w:left w:type="dxa" w:w="110"/>
              <w:bottom w:type="dxa" w:w="70"/>
              <w:right w:type="dxa" w:w="110"/>
            </w:tcMar>
            <w:vAlign w:val="top"/>
          </w:tcPr>
          <w:p>
            <w:pPr>
              <w:spacing w:after="40"/>
            </w:pPr>
            <w:r>
              <w:rPr>
                <w:b w:val="false"/>
                <w:bCs w:val="false"/>
                <w:sz w:val="19"/>
                <w:szCs w:val="19"/>
              </w:rPr>
              <w:t xml:space="preserve">Check services</w:t>
            </w:r>
          </w:p>
        </w:tc>
        <w:tc>
          <w:tcPr>
            <w:tcW w:type="dxa" w:w="5835"/>
            <w:tcMar>
              <w:top w:type="dxa" w:w="70"/>
              <w:left w:type="dxa" w:w="110"/>
              <w:bottom w:type="dxa" w:w="70"/>
              <w:right w:type="dxa" w:w="110"/>
            </w:tcMar>
            <w:vAlign w:val="top"/>
          </w:tcPr>
          <w:p>
            <w:pPr>
              <w:spacing w:after="40"/>
            </w:pPr>
            <w:r>
              <w:rPr>
                <w:rFonts w:ascii="Consolas" w:cs="Consolas" w:eastAsia="Consolas" w:hAnsi="Consolas"/>
                <w:b w:val="false"/>
                <w:bCs w:val="false"/>
                <w:sz w:val="19"/>
                <w:szCs w:val="19"/>
              </w:rPr>
              <w:t xml:space="preserve">systemctl status drp-backend drp-frontend drp-celery-worker drp-celery-research drp-celery-beat nginx</w:t>
            </w:r>
            <w:r>
              <w:rPr>
                <w:b w:val="false"/>
                <w:bCs w:val="false"/>
                <w:sz w:val="19"/>
                <w:szCs w:val="19"/>
              </w:rPr>
              <w:t xml:space="preserve"> (drp-celery-research runs the AI contact searches, one at a time, so they never hold up the KoboToolbox sync)</w:t>
            </w:r>
          </w:p>
        </w:tc>
      </w:tr>
    </w:tbl>
    <w:p>
      <w:pPr>
        <w:spacing w:after="120"/>
      </w:pPr>
    </w:p>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Secrets never go in chat or email</w:t>
            </w:r>
          </w:p>
          <w:p>
            <w:pPr>
              <w:spacing w:after="40" w:line="264"/>
            </w:pPr>
            <w:r>
              <w:rPr>
                <w:sz w:val="19"/>
                <w:szCs w:val="19"/>
              </w:rPr>
              <w:t xml:space="preserve">Passwords, API tokens, App Passwords and backup encryption keys are typed only into the configuration scripts on the server. Store the backup encryption key in a password manager: without it the offsite backups cannot be restored.</w:t>
            </w:r>
          </w:p>
        </w:tc>
      </w:tr>
    </w:tbl>
    <w:tbl>
      <w:tblPr>
        <w:tblW w:type="dxa" w:w="9412"/>
        <w:tblBorders>
          <w:top w:val="single" w:color="EAF2FA" w:sz="2"/>
          <w:left w:val="single" w:color="2A6FB0" w:sz="24"/>
          <w:bottom w:val="single" w:color="EAF2FA" w:sz="2"/>
          <w:right w:val="single" w:color="EAF2FA" w:sz="2"/>
          <w:insideH w:val="single" w:color="EAF2FA" w:sz="4"/>
          <w:insideV w:val="single" w:color="EAF2FA" w:sz="4"/>
        </w:tblBorders>
      </w:tblPr>
      <w:tblGrid>
        <w:gridCol w:w="9412"/>
      </w:tblGrid>
      <w:tr>
        <w:trPr>
          <w:cantSplit/>
        </w:trPr>
        <w:tc>
          <w:tcPr>
            <w:tcW w:type="dxa" w:w="9412"/>
            <w:shd w:fill="EAF2FA" w:color="auto" w:val="clear"/>
            <w:tcMar>
              <w:top w:type="dxa" w:w="100"/>
              <w:left w:type="dxa" w:w="180"/>
              <w:bottom w:type="dxa" w:w="100"/>
              <w:right w:type="dxa" w:w="160"/>
            </w:tcMar>
          </w:tcPr>
          <w:p>
            <w:pPr>
              <w:spacing w:after="40"/>
            </w:pPr>
            <w:r>
              <w:rPr>
                <w:b/>
                <w:bCs/>
                <w:color w:val="22282E"/>
                <w:sz w:val="20"/>
                <w:szCs w:val="20"/>
              </w:rPr>
              <w:t xml:space="preserve">The AI account is a paid Meta account, watch its balance</w:t>
            </w:r>
          </w:p>
          <w:p>
            <w:pPr>
              <w:spacing w:after="40" w:line="264"/>
            </w:pPr>
            <w:r>
              <w:rPr>
                <w:sz w:val="19"/>
                <w:szCs w:val="19"/>
              </w:rPr>
              <w:t xml:space="preserve">Document drafting, PROIT research and the contact finder run on Meta's Muse model, billed by tokens used to the study's Meta Model API account (dev.meta.ai). Each configuration script asks for the API key at a hidden prompt, writes it only to the server's settings file, and runs three synthetic checks; if any check fails it puts the old settings back and changes nothing. If a screen reports that the AI account has run out of credit, add credit on that account's billing page; no portal setting needs to change. Measured costs: about USD 0.50 per organisation for PROIT research, USD 0.05–0.15 for a contact search. The Muse Code subscription is a separate coding-assistant product and is not used by the portal.</w:t>
            </w:r>
          </w:p>
        </w:tc>
      </w:tr>
    </w:tbl>
    <w:p>
      <w:pPr>
        <w:pStyle w:val="Heading2"/>
      </w:pPr>
      <w:r>
        <w:t xml:space="preserve">10.3 Backups</w:t>
      </w:r>
    </w:p>
    <w:p>
      <w:pPr>
        <w:pStyle w:val="ListParagraph"/>
        <w:numPr>
          <w:ilvl w:val="0"/>
          <w:numId w:val="2"/>
        </w:numPr>
        <w:spacing w:after="60" w:line="276"/>
      </w:pPr>
      <w:r>
        <w:t xml:space="preserve">The database and private KoboToolbox files are backed up on the server every 4 hours.</w:t>
      </w:r>
    </w:p>
    <w:p>
      <w:pPr>
        <w:pStyle w:val="ListParagraph"/>
        <w:numPr>
          <w:ilvl w:val="0"/>
          <w:numId w:val="2"/>
        </w:numPr>
        <w:spacing w:after="60" w:line="276"/>
      </w:pPr>
      <w:r>
        <w:t xml:space="preserve">Once offsite backup is configured, each backup is encrypted and copied to Google Drive.</w:t>
      </w:r>
    </w:p>
    <w:p>
      <w:pPr>
        <w:pStyle w:val="ListParagraph"/>
        <w:numPr>
          <w:ilvl w:val="0"/>
          <w:numId w:val="2"/>
        </w:numPr>
        <w:spacing w:after="60" w:line="276"/>
      </w:pPr>
      <w:r>
        <w:t xml:space="preserve">Recovery targets: lose at most 4 hours of data, restore within 4 hours.</w:t>
      </w:r>
    </w:p>
    <w:p>
      <w:pPr>
        <w:spacing w:after="60"/>
      </w:pPr>
    </w:p>
    <w:p>
      <w:pPr>
        <w:pStyle w:val="Heading1"/>
        <w:pageBreakBefore/>
      </w:pPr>
      <w:r>
        <w:t xml:space="preserve">11. Data protection and ethics in practice</w:t>
      </w:r>
    </w:p>
    <w:p>
      <w:pPr>
        <w:pStyle w:val="ListParagraph"/>
        <w:numPr>
          <w:ilvl w:val="0"/>
          <w:numId w:val="2"/>
        </w:numPr>
        <w:spacing w:after="60" w:line="276"/>
      </w:pPr>
      <w:r>
        <w:t xml:space="preserve">Treat everything in the portal as </w:t>
      </w:r>
      <w:r>
        <w:rPr>
          <w:b/>
          <w:bCs/>
        </w:rPr>
        <w:t xml:space="preserve">confidential research data</w:t>
      </w:r>
      <w:r>
        <w:t xml:space="preserve">. Do not screenshot, copy, print or forward names, phone numbers, email addresses or answers except as your role requires.</w:t>
      </w:r>
    </w:p>
    <w:p>
      <w:pPr>
        <w:pStyle w:val="ListParagraph"/>
        <w:numPr>
          <w:ilvl w:val="0"/>
          <w:numId w:val="2"/>
        </w:numPr>
        <w:spacing w:after="60" w:line="276"/>
      </w:pPr>
      <w:r>
        <w:t xml:space="preserve">Never share your username or password, and never sign in for someone else.</w:t>
      </w:r>
    </w:p>
    <w:p>
      <w:pPr>
        <w:pStyle w:val="ListParagraph"/>
        <w:numPr>
          <w:ilvl w:val="0"/>
          <w:numId w:val="2"/>
        </w:numPr>
        <w:spacing w:after="60" w:line="276"/>
      </w:pPr>
      <w:r>
        <w:t xml:space="preserve">Use the respondent's contact details </w:t>
      </w:r>
      <w:r>
        <w:rPr>
          <w:b/>
          <w:bCs/>
        </w:rPr>
        <w:t xml:space="preserve">only</w:t>
      </w:r>
      <w:r>
        <w:t xml:space="preserve"> to manage their participation in this study (invitations, reminders, appointments).</w:t>
      </w:r>
    </w:p>
    <w:p>
      <w:pPr>
        <w:pStyle w:val="ListParagraph"/>
        <w:numPr>
          <w:ilvl w:val="0"/>
          <w:numId w:val="2"/>
        </w:numPr>
        <w:spacing w:after="60" w:line="276"/>
      </w:pPr>
      <w:r>
        <w:t xml:space="preserve">Never tell a respondent, lender or anyone else that answers affect financing. The study generates </w:t>
      </w:r>
      <w:r>
        <w:rPr>
          <w:b/>
          <w:bCs/>
        </w:rPr>
        <w:t xml:space="preserve">no score, rating or financing decision</w:t>
      </w:r>
      <w:r>
        <w:t xml:space="preserve">.</w:t>
      </w:r>
    </w:p>
    <w:p>
      <w:pPr>
        <w:pStyle w:val="ListParagraph"/>
        <w:numPr>
          <w:ilvl w:val="0"/>
          <w:numId w:val="2"/>
        </w:numPr>
        <w:spacing w:after="60" w:line="276"/>
      </w:pPr>
      <w:r>
        <w:t xml:space="preserve">If a respondent asks to withdraw, stop contacting them and tell the Field Coordinator or PI the same day so the withdrawal is recorded.</w:t>
      </w:r>
    </w:p>
    <w:p>
      <w:pPr>
        <w:pStyle w:val="ListParagraph"/>
        <w:numPr>
          <w:ilvl w:val="0"/>
          <w:numId w:val="2"/>
        </w:numPr>
        <w:spacing w:after="60" w:line="276"/>
      </w:pPr>
      <w:r>
        <w:t xml:space="preserve">Report a lost device, a suspected account compromise, or data sent to the wrong person to the PI immediately.</w:t>
      </w:r>
    </w:p>
    <w:p>
      <w:pPr>
        <w:spacing w:after="60"/>
      </w:pPr>
    </w:p>
    <w:p>
      <w:pPr>
        <w:pStyle w:val="Heading2"/>
      </w:pPr>
      <w:r>
        <w:t xml:space="preserve">11.1 What respondents are told (PIS v1.5, summary)</w:t>
      </w:r>
    </w:p>
    <w:p>
      <w:pPr>
        <w:pStyle w:val="ListParagraph"/>
        <w:numPr>
          <w:ilvl w:val="0"/>
          <w:numId w:val="2"/>
        </w:numPr>
        <w:spacing w:after="60" w:line="276"/>
      </w:pPr>
      <w:r>
        <w:t xml:space="preserve">The study, the researcher, the supervisors and the CUT ethics clearance.</w:t>
      </w:r>
    </w:p>
    <w:p>
      <w:pPr>
        <w:pStyle w:val="ListParagraph"/>
        <w:numPr>
          <w:ilvl w:val="0"/>
          <w:numId w:val="2"/>
        </w:numPr>
        <w:spacing w:after="60" w:line="276"/>
      </w:pPr>
      <w:r>
        <w:t xml:space="preserve">The questionnaire takes around 15–25 minutes, online or with a researcher by phone or WhatsApp.</w:t>
      </w:r>
    </w:p>
    <w:p>
      <w:pPr>
        <w:pStyle w:val="ListParagraph"/>
        <w:numPr>
          <w:ilvl w:val="0"/>
          <w:numId w:val="2"/>
        </w:numPr>
        <w:spacing w:after="60" w:line="276"/>
      </w:pPr>
      <w:r>
        <w:t xml:space="preserve">Public information may be looked up beforehand and shown for confirmation; they may skip that step.</w:t>
      </w:r>
    </w:p>
    <w:p>
      <w:pPr>
        <w:pStyle w:val="ListParagraph"/>
        <w:numPr>
          <w:ilvl w:val="0"/>
          <w:numId w:val="2"/>
        </w:numPr>
        <w:spacing w:after="60" w:line="276"/>
      </w:pPr>
      <w:r>
        <w:t xml:space="preserve">An AI tool from a company outside Zimbabwe helps with that search. It is given the organisation's details and the respondent's name and job title, never a phone number, email address or any answer, and a researcher checks everything it finds.</w:t>
      </w:r>
    </w:p>
    <w:p>
      <w:pPr>
        <w:pStyle w:val="ListParagraph"/>
        <w:numPr>
          <w:ilvl w:val="0"/>
          <w:numId w:val="2"/>
        </w:numPr>
        <w:spacing w:after="60" w:line="276"/>
      </w:pPr>
      <w:r>
        <w:t xml:space="preserve">Participation is voluntary; they may decline or stop at any time without consequence.</w:t>
      </w:r>
    </w:p>
    <w:p>
      <w:pPr>
        <w:pStyle w:val="ListParagraph"/>
        <w:numPr>
          <w:ilvl w:val="0"/>
          <w:numId w:val="2"/>
        </w:numPr>
        <w:spacing w:after="60" w:line="276"/>
      </w:pPr>
      <w:r>
        <w:t xml:space="preserve">No score, rating or financing decision is produced; individual answers are never shared with lenders.</w:t>
      </w:r>
    </w:p>
    <w:p>
      <w:pPr>
        <w:pStyle w:val="ListParagraph"/>
        <w:numPr>
          <w:ilvl w:val="0"/>
          <w:numId w:val="2"/>
        </w:numPr>
        <w:spacing w:after="60" w:line="276"/>
      </w:pPr>
      <w:r>
        <w:t xml:space="preserve">Names and contact details are kept separately from answers, used only to manage participation, and results are reported only in combined, anonymised form.</w:t>
      </w:r>
    </w:p>
    <w:p>
      <w:pPr>
        <w:pStyle w:val="ListParagraph"/>
        <w:numPr>
          <w:ilvl w:val="0"/>
          <w:numId w:val="2"/>
        </w:numPr>
        <w:spacing w:after="60" w:line="276"/>
      </w:pPr>
      <w:r>
        <w:t xml:space="preserve">Contact: Happyson Saina, 0773943709, abffst.research@gmail.com.</w:t>
      </w:r>
    </w:p>
    <w:p>
      <w:pPr>
        <w:spacing w:after="60"/>
      </w:pPr>
    </w:p>
    <w:p>
      <w:pPr>
        <w:pStyle w:val="Heading1"/>
        <w:pageBreakBefore/>
      </w:pPr>
      <w:r>
        <w:t xml:space="preserve">12. Troubleshooting</w:t>
      </w:r>
    </w:p>
    <w:p>
      <w:pPr>
        <w:pStyle w:val="Heading2"/>
      </w:pPr>
      <w:r>
        <w:t xml:space="preserve">12.1 Staff</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635"/>
        <w:gridCol w:w="3200"/>
        <w:gridCol w:w="3577"/>
      </w:tblGrid>
      <w:tr>
        <w:trPr>
          <w:tblHeader/>
        </w:trPr>
        <w:tc>
          <w:tcPr>
            <w:tcW w:type="dxa" w:w="2635"/>
            <w:shd w:fill="1B3350" w:color="auto" w:val="clear"/>
            <w:tcMar>
              <w:top w:type="dxa" w:w="70"/>
              <w:left w:type="dxa" w:w="110"/>
              <w:bottom w:type="dxa" w:w="70"/>
              <w:right w:type="dxa" w:w="110"/>
            </w:tcMar>
            <w:vAlign w:val="top"/>
          </w:tcPr>
          <w:p>
            <w:pPr>
              <w:spacing w:after="40"/>
            </w:pPr>
            <w:r>
              <w:rPr>
                <w:b/>
                <w:bCs/>
                <w:color w:val="FFFFFF"/>
                <w:sz w:val="19"/>
                <w:szCs w:val="19"/>
              </w:rPr>
              <w:t xml:space="preserve">Situation</w:t>
            </w:r>
          </w:p>
        </w:tc>
        <w:tc>
          <w:tcPr>
            <w:tcW w:type="dxa" w:w="3200"/>
            <w:shd w:fill="1B3350" w:color="auto" w:val="clear"/>
            <w:tcMar>
              <w:top w:type="dxa" w:w="70"/>
              <w:left w:type="dxa" w:w="110"/>
              <w:bottom w:type="dxa" w:w="70"/>
              <w:right w:type="dxa" w:w="110"/>
            </w:tcMar>
            <w:vAlign w:val="top"/>
          </w:tcPr>
          <w:p>
            <w:pPr>
              <w:spacing w:after="40"/>
            </w:pPr>
            <w:r>
              <w:rPr>
                <w:b/>
                <w:bCs/>
                <w:color w:val="FFFFFF"/>
                <w:sz w:val="19"/>
                <w:szCs w:val="19"/>
              </w:rPr>
              <w:t xml:space="preserve">Likely cause</w:t>
            </w:r>
          </w:p>
        </w:tc>
        <w:tc>
          <w:tcPr>
            <w:tcW w:type="dxa" w:w="3577"/>
            <w:shd w:fill="1B3350" w:color="auto" w:val="clear"/>
            <w:tcMar>
              <w:top w:type="dxa" w:w="70"/>
              <w:left w:type="dxa" w:w="110"/>
              <w:bottom w:type="dxa" w:w="70"/>
              <w:right w:type="dxa" w:w="110"/>
            </w:tcMar>
            <w:vAlign w:val="top"/>
          </w:tcPr>
          <w:p>
            <w:pPr>
              <w:spacing w:after="40"/>
            </w:pPr>
            <w:r>
              <w:rPr>
                <w:b/>
                <w:bCs/>
                <w:color w:val="FFFFFF"/>
                <w:sz w:val="19"/>
                <w:szCs w:val="19"/>
              </w:rPr>
              <w:t xml:space="preserve">What to do</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"This screen isn't part of your role"</w:t>
            </w:r>
          </w:p>
        </w:tc>
        <w:tc>
          <w:tcPr>
            <w:tcW w:type="dxa" w:w="3200"/>
            <w:tcMar>
              <w:top w:type="dxa" w:w="70"/>
              <w:left w:type="dxa" w:w="110"/>
              <w:bottom w:type="dxa" w:w="70"/>
              <w:right w:type="dxa" w:w="110"/>
            </w:tcMar>
            <w:vAlign w:val="top"/>
          </w:tcPr>
          <w:p>
            <w:pPr>
              <w:spacing w:after="40"/>
            </w:pPr>
            <w:r>
              <w:rPr>
                <w:b w:val="false"/>
                <w:bCs w:val="false"/>
                <w:sz w:val="19"/>
                <w:szCs w:val="19"/>
              </w:rPr>
              <w:t xml:space="preserve">The screen belongs to another role (often an old bookmark or shared link).</w:t>
            </w:r>
          </w:p>
        </w:tc>
        <w:tc>
          <w:tcPr>
            <w:tcW w:type="dxa" w:w="3577"/>
            <w:tcMar>
              <w:top w:type="dxa" w:w="70"/>
              <w:left w:type="dxa" w:w="110"/>
              <w:bottom w:type="dxa" w:w="70"/>
              <w:right w:type="dxa" w:w="110"/>
            </w:tcMar>
            <w:vAlign w:val="top"/>
          </w:tcPr>
          <w:p>
            <w:pPr>
              <w:spacing w:after="40"/>
            </w:pPr>
            <w:r>
              <w:rPr>
                <w:b w:val="false"/>
                <w:bCs w:val="false"/>
                <w:sz w:val="19"/>
                <w:szCs w:val="19"/>
              </w:rPr>
              <w:t xml:space="preserve">Select </w:t>
            </w:r>
            <w:r>
              <w:rPr>
                <w:b w:val="false"/>
                <w:bCs w:val="false"/>
                <w:sz w:val="19"/>
                <w:szCs w:val="19"/>
              </w:rPr>
              <w:t xml:space="preserve">Go to my start screen</w:t>
            </w:r>
            <w:r>
              <w:rPr>
                <w:b w:val="false"/>
                <w:bCs w:val="false"/>
                <w:sz w:val="19"/>
                <w:szCs w:val="19"/>
              </w:rPr>
              <w:t xml:space="preserve">. If you need that screen, ask the PI about your role.</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"Too many sign-in attempts from this network"</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Sign-in is rate-limited per network; an office shares one address.</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Wait a minute and try again. A wrong password says so explicitly.</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A register shows fewer rows than expected</w:t>
            </w:r>
          </w:p>
        </w:tc>
        <w:tc>
          <w:tcPr>
            <w:tcW w:type="dxa" w:w="3200"/>
            <w:tcMar>
              <w:top w:type="dxa" w:w="70"/>
              <w:left w:type="dxa" w:w="110"/>
              <w:bottom w:type="dxa" w:w="70"/>
              <w:right w:type="dxa" w:w="110"/>
            </w:tcMar>
            <w:vAlign w:val="top"/>
          </w:tcPr>
          <w:p>
            <w:pPr>
              <w:spacing w:after="40"/>
            </w:pPr>
            <w:r>
              <w:rPr>
                <w:b w:val="false"/>
                <w:bCs w:val="false"/>
                <w:sz w:val="19"/>
                <w:szCs w:val="19"/>
              </w:rPr>
              <w:t xml:space="preserve">Registers show 20 rows per page to begin with; a Contact RA sees only assigned cases.</w:t>
            </w:r>
          </w:p>
        </w:tc>
        <w:tc>
          <w:tcPr>
            <w:tcW w:type="dxa" w:w="3577"/>
            <w:tcMar>
              <w:top w:type="dxa" w:w="70"/>
              <w:left w:type="dxa" w:w="110"/>
              <w:bottom w:type="dxa" w:w="70"/>
              <w:right w:type="dxa" w:w="110"/>
            </w:tcMar>
            <w:vAlign w:val="top"/>
          </w:tcPr>
          <w:p>
            <w:pPr>
              <w:spacing w:after="40"/>
            </w:pPr>
            <w:r>
              <w:rPr>
                <w:b w:val="false"/>
                <w:bCs w:val="false"/>
                <w:sz w:val="19"/>
                <w:szCs w:val="19"/>
              </w:rPr>
              <w:t xml:space="preserve">Choose more rows under </w:t>
            </w:r>
            <w:r>
              <w:rPr>
                <w:b w:val="false"/>
                <w:bCs w:val="false"/>
                <w:sz w:val="19"/>
                <w:szCs w:val="19"/>
              </w:rPr>
              <w:t xml:space="preserve">Show</w:t>
            </w:r>
            <w:r>
              <w:rPr>
                <w:b w:val="false"/>
                <w:bCs w:val="false"/>
                <w:sz w:val="19"/>
                <w:szCs w:val="19"/>
              </w:rPr>
              <w:t xml:space="preserve"> at the foot of the list, use the page numbers or </w:t>
            </w:r>
            <w:r>
              <w:rPr>
                <w:b w:val="false"/>
                <w:bCs w:val="false"/>
                <w:sz w:val="19"/>
                <w:szCs w:val="19"/>
              </w:rPr>
              <w:t xml:space="preserve">Next</w:t>
            </w:r>
            <w:r>
              <w:rPr>
                <w:b w:val="false"/>
                <w:bCs w:val="false"/>
                <w:sz w:val="19"/>
                <w:szCs w:val="19"/>
              </w:rPr>
              <w:t xml:space="preserve">, or search. Ask the Field Coordinator to assign the case.</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button is greyed out</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A required step is missing (a note, an authenticity decision, a selection).</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Read the message beside the button; complete the missing step first.</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"KoboToolbox couldn't be reached"</w:t>
            </w:r>
          </w:p>
        </w:tc>
        <w:tc>
          <w:tcPr>
            <w:tcW w:type="dxa" w:w="3200"/>
            <w:tcMar>
              <w:top w:type="dxa" w:w="70"/>
              <w:left w:type="dxa" w:w="110"/>
              <w:bottom w:type="dxa" w:w="70"/>
              <w:right w:type="dxa" w:w="110"/>
            </w:tcMar>
            <w:vAlign w:val="top"/>
          </w:tcPr>
          <w:p>
            <w:pPr>
              <w:spacing w:after="40"/>
            </w:pPr>
            <w:r>
              <w:rPr>
                <w:b w:val="false"/>
                <w:bCs w:val="false"/>
                <w:sz w:val="19"/>
                <w:szCs w:val="19"/>
              </w:rPr>
              <w:t xml:space="preserve">KoboToolbox is slow or the connection token has changed.</w:t>
            </w:r>
          </w:p>
        </w:tc>
        <w:tc>
          <w:tcPr>
            <w:tcW w:type="dxa" w:w="3577"/>
            <w:tcMar>
              <w:top w:type="dxa" w:w="70"/>
              <w:left w:type="dxa" w:w="110"/>
              <w:bottom w:type="dxa" w:w="70"/>
              <w:right w:type="dxa" w:w="110"/>
            </w:tcMar>
            <w:vAlign w:val="top"/>
          </w:tcPr>
          <w:p>
            <w:pPr>
              <w:spacing w:after="40"/>
            </w:pPr>
            <w:r>
              <w:rPr>
                <w:b w:val="false"/>
                <w:bCs w:val="false"/>
                <w:sz w:val="19"/>
                <w:szCs w:val="19"/>
              </w:rPr>
              <w:t xml:space="preserve">Try again in a few minutes. If it persists, tell the PI.</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Form PDFs says "Not in sync with KoboToolbox yet"</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The counts differ: a form was submitted or changed in KoboToolbox since the last sync (it runs every 15 minutes).</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Select </w:t>
            </w:r>
            <w:r>
              <w:rPr>
                <w:b w:val="false"/>
                <w:bCs w:val="false"/>
                <w:sz w:val="19"/>
                <w:szCs w:val="19"/>
              </w:rPr>
              <w:t xml:space="preserve">Sync now</w:t>
            </w:r>
            <w:r>
              <w:rPr>
                <w:b w:val="false"/>
                <w:bCs w:val="false"/>
                <w:sz w:val="19"/>
                <w:szCs w:val="19"/>
              </w:rPr>
              <w:t xml:space="preserve">. If it still differs, or says it couldn't reach KoboToolbox, try again in a few minutes and tell the PI if it persists.</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A document says "Already submitted" and its answers are locked</w:t>
            </w:r>
          </w:p>
        </w:tc>
        <w:tc>
          <w:tcPr>
            <w:tcW w:type="dxa" w:w="3200"/>
            <w:tcMar>
              <w:top w:type="dxa" w:w="70"/>
              <w:left w:type="dxa" w:w="110"/>
              <w:bottom w:type="dxa" w:w="70"/>
              <w:right w:type="dxa" w:w="110"/>
            </w:tcMar>
            <w:vAlign w:val="top"/>
          </w:tcPr>
          <w:p>
            <w:pPr>
              <w:spacing w:after="40"/>
            </w:pPr>
            <w:r>
              <w:rPr>
                <w:b w:val="false"/>
                <w:bCs w:val="false"/>
                <w:sz w:val="19"/>
                <w:szCs w:val="19"/>
              </w:rPr>
              <w:t xml:space="preserve">Its coding was already sent to KoboToolbox; changing it here would not change that record.</w:t>
            </w:r>
          </w:p>
        </w:tc>
        <w:tc>
          <w:tcPr>
            <w:tcW w:type="dxa" w:w="3577"/>
            <w:tcMar>
              <w:top w:type="dxa" w:w="70"/>
              <w:left w:type="dxa" w:w="110"/>
              <w:bottom w:type="dxa" w:w="70"/>
              <w:right w:type="dxa" w:w="110"/>
            </w:tcMar>
            <w:vAlign w:val="top"/>
          </w:tcPr>
          <w:p>
            <w:pPr>
              <w:spacing w:after="40"/>
            </w:pPr>
            <w:r>
              <w:rPr>
                <w:b w:val="false"/>
                <w:bCs w:val="false"/>
                <w:sz w:val="19"/>
                <w:szCs w:val="19"/>
              </w:rPr>
              <w:t xml:space="preserve">To redo the coding, delete that record in KoboToolbox, then select </w:t>
            </w:r>
            <w:r>
              <w:rPr>
                <w:b w:val="false"/>
                <w:bCs w:val="false"/>
                <w:sz w:val="19"/>
                <w:szCs w:val="19"/>
              </w:rPr>
              <w:t xml:space="preserve">Sync now</w:t>
            </w:r>
            <w:r>
              <w:rPr>
                <w:b w:val="false"/>
                <w:bCs w:val="false"/>
                <w:sz w:val="19"/>
                <w:szCs w:val="19"/>
              </w:rPr>
              <w:t xml:space="preserve"> on Form PDFs. The document unlocks.</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page keeps loading</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A slow or dropped connection.</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Refresh the page. Your saved work is not lost; unsaved typing may be.</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Send invitations</w:t>
            </w:r>
            <w:r>
              <w:rPr>
                <w:b w:val="false"/>
                <w:bCs w:val="false"/>
                <w:sz w:val="19"/>
                <w:szCs w:val="19"/>
              </w:rPr>
              <w:t xml:space="preserve"> says email isn't set up</w:t>
            </w:r>
          </w:p>
        </w:tc>
        <w:tc>
          <w:tcPr>
            <w:tcW w:type="dxa" w:w="3200"/>
            <w:tcMar>
              <w:top w:type="dxa" w:w="70"/>
              <w:left w:type="dxa" w:w="110"/>
              <w:bottom w:type="dxa" w:w="70"/>
              <w:right w:type="dxa" w:w="110"/>
            </w:tcMar>
            <w:vAlign w:val="top"/>
          </w:tcPr>
          <w:p>
            <w:pPr>
              <w:spacing w:after="40"/>
            </w:pPr>
            <w:r>
              <w:rPr>
                <w:b w:val="false"/>
                <w:bCs w:val="false"/>
                <w:sz w:val="19"/>
                <w:szCs w:val="19"/>
              </w:rPr>
              <w:t xml:space="preserve">Outgoing email has not been configured on the server.</w:t>
            </w:r>
          </w:p>
        </w:tc>
        <w:tc>
          <w:tcPr>
            <w:tcW w:type="dxa" w:w="3577"/>
            <w:tcMar>
              <w:top w:type="dxa" w:w="70"/>
              <w:left w:type="dxa" w:w="110"/>
              <w:bottom w:type="dxa" w:w="70"/>
              <w:right w:type="dxa" w:w="110"/>
            </w:tcMar>
            <w:vAlign w:val="top"/>
          </w:tcPr>
          <w:p>
            <w:pPr>
              <w:spacing w:after="40"/>
            </w:pPr>
            <w:r>
              <w:rPr>
                <w:b w:val="false"/>
                <w:bCs w:val="false"/>
                <w:sz w:val="19"/>
                <w:szCs w:val="19"/>
              </w:rPr>
              <w:t xml:space="preserve">Ask the administrator to run </w:t>
            </w:r>
            <w:r>
              <w:rPr>
                <w:rFonts w:ascii="Consolas" w:cs="Consolas" w:eastAsia="Consolas" w:hAnsi="Consolas"/>
                <w:b w:val="false"/>
                <w:bCs w:val="false"/>
                <w:sz w:val="19"/>
                <w:szCs w:val="19"/>
              </w:rPr>
              <w:t xml:space="preserve">configure-email.sh</w:t>
            </w:r>
            <w:r>
              <w:rPr>
                <w:b w:val="false"/>
                <w:bCs w:val="false"/>
                <w:sz w:val="19"/>
                <w:szCs w:val="19"/>
              </w:rPr>
              <w:t xml:space="preserve">. Until then, send invitations by WhatsApp.</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Send invitations</w:t>
            </w:r>
            <w:r>
              <w:rPr>
                <w:b w:val="false"/>
                <w:bCs w:val="false"/>
                <w:sz w:val="19"/>
                <w:szCs w:val="19"/>
              </w:rPr>
              <w:t xml:space="preserve"> says SMS or WhatsApp isn't set up</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Twilio has not been configured on the server, or (WhatsApp) Meta has not approved the sender and templates yet.</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Ask the administrator to run </w:t>
            </w:r>
            <w:r>
              <w:rPr>
                <w:rFonts w:ascii="Consolas" w:cs="Consolas" w:eastAsia="Consolas" w:hAnsi="Consolas"/>
                <w:b w:val="false"/>
                <w:bCs w:val="false"/>
                <w:sz w:val="19"/>
                <w:szCs w:val="19"/>
              </w:rPr>
              <w:t xml:space="preserve">configure-twilio.sh</w:t>
            </w:r>
            <w:r>
              <w:rPr>
                <w:b w:val="false"/>
                <w:bCs w:val="false"/>
                <w:sz w:val="19"/>
                <w:szCs w:val="19"/>
              </w:rPr>
              <w:t xml:space="preserve">. Until then, send by email, or by hand from the study WhatsApp number.</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A WhatsApp invitation was prepared but never sent</w:t>
            </w:r>
          </w:p>
        </w:tc>
        <w:tc>
          <w:tcPr>
            <w:tcW w:type="dxa" w:w="3200"/>
            <w:tcMar>
              <w:top w:type="dxa" w:w="70"/>
              <w:left w:type="dxa" w:w="110"/>
              <w:bottom w:type="dxa" w:w="70"/>
              <w:right w:type="dxa" w:w="110"/>
            </w:tcMar>
            <w:vAlign w:val="top"/>
          </w:tcPr>
          <w:p>
            <w:pPr>
              <w:spacing w:after="40"/>
            </w:pPr>
            <w:r>
              <w:rPr>
                <w:b w:val="false"/>
                <w:bCs w:val="false"/>
                <w:sz w:val="19"/>
                <w:szCs w:val="19"/>
              </w:rPr>
              <w:t xml:space="preserve">Prepare</w:t>
            </w:r>
            <w:r>
              <w:rPr>
                <w:b w:val="false"/>
                <w:bCs w:val="false"/>
                <w:sz w:val="19"/>
                <w:szCs w:val="19"/>
              </w:rPr>
              <w:t xml:space="preserve"> counts it as sent and moves the case to S05.</w:t>
            </w:r>
          </w:p>
        </w:tc>
        <w:tc>
          <w:tcPr>
            <w:tcW w:type="dxa" w:w="3577"/>
            <w:tcMar>
              <w:top w:type="dxa" w:w="70"/>
              <w:left w:type="dxa" w:w="110"/>
              <w:bottom w:type="dxa" w:w="70"/>
              <w:right w:type="dxa" w:w="110"/>
            </w:tcMar>
            <w:vAlign w:val="top"/>
          </w:tcPr>
          <w:p>
            <w:pPr>
              <w:spacing w:after="40"/>
            </w:pPr>
            <w:r>
              <w:rPr>
                <w:b w:val="false"/>
                <w:bCs w:val="false"/>
                <w:sz w:val="19"/>
                <w:szCs w:val="19"/>
              </w:rPr>
              <w:t xml:space="preserve">Open the case and </w:t>
            </w:r>
            <w:r>
              <w:rPr>
                <w:b w:val="false"/>
                <w:bCs w:val="false"/>
                <w:sz w:val="19"/>
                <w:szCs w:val="19"/>
              </w:rPr>
              <w:t xml:space="preserve">Revoke</w:t>
            </w:r>
            <w:r>
              <w:rPr>
                <w:b w:val="false"/>
                <w:bCs w:val="false"/>
                <w:sz w:val="19"/>
                <w:szCs w:val="19"/>
              </w:rPr>
              <w:t xml:space="preserve"> that invitation; send a new one from the case's Invitations panel when you can reach the person.</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case is missing from the WhatsApp or email queue</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It is not verified (S03 or S04), has no number or email on file, already has an open invitation, or is assigned to another Contact RA.</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Verify the case, add the contact detail, or check its invitation history.</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The contact finder says it would overwrite a detail</w:t>
            </w:r>
          </w:p>
        </w:tc>
        <w:tc>
          <w:tcPr>
            <w:tcW w:type="dxa" w:w="3200"/>
            <w:tcMar>
              <w:top w:type="dxa" w:w="70"/>
              <w:left w:type="dxa" w:w="110"/>
              <w:bottom w:type="dxa" w:w="70"/>
              <w:right w:type="dxa" w:w="110"/>
            </w:tcMar>
            <w:vAlign w:val="top"/>
          </w:tcPr>
          <w:p>
            <w:pPr>
              <w:spacing w:after="40"/>
            </w:pPr>
            <w:r>
              <w:rPr>
                <w:b w:val="false"/>
                <w:bCs w:val="false"/>
                <w:sz w:val="19"/>
                <w:szCs w:val="19"/>
              </w:rPr>
              <w:t xml:space="preserve">The organisation contact already has a different phone or email.</w:t>
            </w:r>
          </w:p>
        </w:tc>
        <w:tc>
          <w:tcPr>
            <w:tcW w:type="dxa" w:w="3577"/>
            <w:tcMar>
              <w:top w:type="dxa" w:w="70"/>
              <w:left w:type="dxa" w:w="110"/>
              <w:bottom w:type="dxa" w:w="70"/>
              <w:right w:type="dxa" w:w="110"/>
            </w:tcMar>
            <w:vAlign w:val="top"/>
          </w:tcPr>
          <w:p>
            <w:pPr>
              <w:spacing w:after="40"/>
            </w:pPr>
            <w:r>
              <w:rPr>
                <w:b w:val="false"/>
                <w:bCs w:val="false"/>
                <w:sz w:val="19"/>
                <w:szCs w:val="19"/>
              </w:rPr>
              <w:t xml:space="preserve">Check which is right and correct it under </w:t>
            </w:r>
            <w:r>
              <w:rPr>
                <w:b w:val="false"/>
                <w:bCs w:val="false"/>
                <w:sz w:val="19"/>
                <w:szCs w:val="19"/>
              </w:rPr>
              <w:t xml:space="preserve">Respondents and contact details</w:t>
            </w:r>
            <w:r>
              <w:rPr>
                <w:b w:val="false"/>
                <w:bCs w:val="false"/>
                <w:sz w:val="19"/>
                <w:szCs w:val="19"/>
              </w:rPr>
              <w:t xml:space="preserve">.</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A file upload seems stuck</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A large file on a slow connection takes time; the bar shows how much has been sent.</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Wait for </w:t>
            </w:r>
            <w:r>
              <w:rPr>
                <w:b w:val="false"/>
                <w:bCs w:val="false"/>
                <w:sz w:val="19"/>
                <w:szCs w:val="19"/>
              </w:rPr>
              <w:t xml:space="preserve">Saving…</w:t>
            </w:r>
            <w:r>
              <w:rPr>
                <w:b w:val="false"/>
                <w:bCs w:val="false"/>
                <w:sz w:val="19"/>
                <w:szCs w:val="19"/>
              </w:rPr>
              <w:t xml:space="preserve"> and the file name. If it fails, try again or upload a smaller version.</w:t>
            </w:r>
          </w:p>
        </w:tc>
      </w:tr>
    </w:tbl>
    <w:p>
      <w:pPr>
        <w:spacing w:after="120"/>
      </w:pPr>
    </w:p>
    <w:p>
      <w:pPr>
        <w:pStyle w:val="Heading2"/>
      </w:pPr>
      <w:r>
        <w:t xml:space="preserve">12.2 Respondents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635"/>
        <w:gridCol w:w="3200"/>
        <w:gridCol w:w="3577"/>
      </w:tblGrid>
      <w:tr>
        <w:trPr>
          <w:tblHeader/>
        </w:trPr>
        <w:tc>
          <w:tcPr>
            <w:tcW w:type="dxa" w:w="2635"/>
            <w:shd w:fill="1B3350" w:color="auto" w:val="clear"/>
            <w:tcMar>
              <w:top w:type="dxa" w:w="70"/>
              <w:left w:type="dxa" w:w="110"/>
              <w:bottom w:type="dxa" w:w="70"/>
              <w:right w:type="dxa" w:w="110"/>
            </w:tcMar>
            <w:vAlign w:val="top"/>
          </w:tcPr>
          <w:p>
            <w:pPr>
              <w:spacing w:after="40"/>
            </w:pPr>
            <w:r>
              <w:rPr>
                <w:b/>
                <w:bCs/>
                <w:color w:val="FFFFFF"/>
                <w:sz w:val="19"/>
                <w:szCs w:val="19"/>
              </w:rPr>
              <w:t xml:space="preserve">Respondent says</w:t>
            </w:r>
          </w:p>
        </w:tc>
        <w:tc>
          <w:tcPr>
            <w:tcW w:type="dxa" w:w="3200"/>
            <w:shd w:fill="1B3350" w:color="auto" w:val="clear"/>
            <w:tcMar>
              <w:top w:type="dxa" w:w="70"/>
              <w:left w:type="dxa" w:w="110"/>
              <w:bottom w:type="dxa" w:w="70"/>
              <w:right w:type="dxa" w:w="110"/>
            </w:tcMar>
            <w:vAlign w:val="top"/>
          </w:tcPr>
          <w:p>
            <w:pPr>
              <w:spacing w:after="40"/>
            </w:pPr>
            <w:r>
              <w:rPr>
                <w:b/>
                <w:bCs/>
                <w:color w:val="FFFFFF"/>
                <w:sz w:val="19"/>
                <w:szCs w:val="19"/>
              </w:rPr>
              <w:t xml:space="preserve">Likely cause</w:t>
            </w:r>
          </w:p>
        </w:tc>
        <w:tc>
          <w:tcPr>
            <w:tcW w:type="dxa" w:w="3577"/>
            <w:shd w:fill="1B3350" w:color="auto" w:val="clear"/>
            <w:tcMar>
              <w:top w:type="dxa" w:w="70"/>
              <w:left w:type="dxa" w:w="110"/>
              <w:bottom w:type="dxa" w:w="70"/>
              <w:right w:type="dxa" w:w="110"/>
            </w:tcMar>
            <w:vAlign w:val="top"/>
          </w:tcPr>
          <w:p>
            <w:pPr>
              <w:spacing w:after="40"/>
            </w:pPr>
            <w:r>
              <w:rPr>
                <w:b/>
                <w:bCs/>
                <w:color w:val="FFFFFF"/>
                <w:sz w:val="19"/>
                <w:szCs w:val="19"/>
              </w:rPr>
              <w:t xml:space="preserve">What to do</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"The link says it's not valid"</w:t>
            </w:r>
          </w:p>
        </w:tc>
        <w:tc>
          <w:tcPr>
            <w:tcW w:type="dxa" w:w="3200"/>
            <w:tcMar>
              <w:top w:type="dxa" w:w="70"/>
              <w:left w:type="dxa" w:w="110"/>
              <w:bottom w:type="dxa" w:w="70"/>
              <w:right w:type="dxa" w:w="110"/>
            </w:tcMar>
            <w:vAlign w:val="top"/>
          </w:tcPr>
          <w:p>
            <w:pPr>
              <w:spacing w:after="40"/>
            </w:pPr>
            <w:r>
              <w:rPr>
                <w:b w:val="false"/>
                <w:bCs w:val="false"/>
                <w:sz w:val="19"/>
                <w:szCs w:val="19"/>
              </w:rPr>
              <w:t xml:space="preserve">Mistyped, expired (14 days), revoked, or replaced by a newer link.</w:t>
            </w:r>
          </w:p>
        </w:tc>
        <w:tc>
          <w:tcPr>
            <w:tcW w:type="dxa" w:w="3577"/>
            <w:tcMar>
              <w:top w:type="dxa" w:w="70"/>
              <w:left w:type="dxa" w:w="110"/>
              <w:bottom w:type="dxa" w:w="70"/>
              <w:right w:type="dxa" w:w="110"/>
            </w:tcMar>
            <w:vAlign w:val="top"/>
          </w:tcPr>
          <w:p>
            <w:pPr>
              <w:spacing w:after="40"/>
            </w:pPr>
            <w:r>
              <w:rPr>
                <w:b w:val="false"/>
                <w:bCs w:val="false"/>
                <w:sz w:val="19"/>
                <w:szCs w:val="19"/>
              </w:rPr>
              <w:t xml:space="preserve">Check the case's invitation history; send a new invitation.</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"I'm not the right person"</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They are not in a senior, knowledgeable role.</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Ask them to nominate the right person; record and invite that person.</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"It won't let me pick a time"</w:t>
            </w:r>
          </w:p>
        </w:tc>
        <w:tc>
          <w:tcPr>
            <w:tcW w:type="dxa" w:w="3200"/>
            <w:tcMar>
              <w:top w:type="dxa" w:w="70"/>
              <w:left w:type="dxa" w:w="110"/>
              <w:bottom w:type="dxa" w:w="70"/>
              <w:right w:type="dxa" w:w="110"/>
            </w:tcMar>
            <w:vAlign w:val="top"/>
          </w:tcPr>
          <w:p>
            <w:pPr>
              <w:spacing w:after="40"/>
            </w:pPr>
            <w:r>
              <w:rPr>
                <w:b w:val="false"/>
                <w:bCs w:val="false"/>
                <w:sz w:val="19"/>
                <w:szCs w:val="19"/>
              </w:rPr>
              <w:t xml:space="preserve">The time chosen is in the past.</w:t>
            </w:r>
          </w:p>
        </w:tc>
        <w:tc>
          <w:tcPr>
            <w:tcW w:type="dxa" w:w="3577"/>
            <w:tcMar>
              <w:top w:type="dxa" w:w="70"/>
              <w:left w:type="dxa" w:w="110"/>
              <w:bottom w:type="dxa" w:w="70"/>
              <w:right w:type="dxa" w:w="110"/>
            </w:tcMar>
            <w:vAlign w:val="top"/>
          </w:tcPr>
          <w:p>
            <w:pPr>
              <w:spacing w:after="40"/>
            </w:pPr>
            <w:r>
              <w:rPr>
                <w:b w:val="false"/>
                <w:bCs w:val="false"/>
                <w:sz w:val="19"/>
                <w:szCs w:val="19"/>
              </w:rPr>
              <w:t xml:space="preserve">Choose a future date and time.</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"The questionnaire won't open"</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Weak connection or a busy service.</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Select </w:t>
            </w:r>
            <w:r>
              <w:rPr>
                <w:b w:val="false"/>
                <w:bCs w:val="false"/>
                <w:sz w:val="19"/>
                <w:szCs w:val="19"/>
              </w:rPr>
              <w:t xml:space="preserve">Try again</w:t>
            </w:r>
            <w:r>
              <w:rPr>
                <w:b w:val="false"/>
                <w:bCs w:val="false"/>
                <w:sz w:val="19"/>
                <w:szCs w:val="19"/>
              </w:rPr>
              <w:t xml:space="preserve">, or </w:t>
            </w:r>
            <w:r>
              <w:rPr>
                <w:b w:val="false"/>
                <w:bCs w:val="false"/>
                <w:sz w:val="19"/>
                <w:szCs w:val="19"/>
              </w:rPr>
              <w:t xml:space="preserve">Ask a researcher to help me instead</w:t>
            </w:r>
            <w:r>
              <w:rPr>
                <w:b w:val="false"/>
                <w:bCs w:val="false"/>
                <w:sz w:val="19"/>
                <w:szCs w:val="19"/>
              </w:rPr>
              <w:t xml:space="preserve">; offer a call.</w:t>
            </w:r>
          </w:p>
        </w:tc>
      </w:tr>
      <w:tr>
        <w:trPr>
          <w:cantSplit/>
        </w:trPr>
        <w:tc>
          <w:tcPr>
            <w:tcW w:type="dxa" w:w="2635"/>
            <w:tcMar>
              <w:top w:type="dxa" w:w="70"/>
              <w:left w:type="dxa" w:w="110"/>
              <w:bottom w:type="dxa" w:w="70"/>
              <w:right w:type="dxa" w:w="110"/>
            </w:tcMar>
            <w:vAlign w:val="top"/>
          </w:tcPr>
          <w:p>
            <w:pPr>
              <w:spacing w:after="40"/>
            </w:pPr>
            <w:r>
              <w:rPr>
                <w:b w:val="false"/>
                <w:bCs w:val="false"/>
                <w:sz w:val="19"/>
                <w:szCs w:val="19"/>
              </w:rPr>
              <w:t xml:space="preserve">"Will this affect our financing?"</w:t>
            </w:r>
          </w:p>
        </w:tc>
        <w:tc>
          <w:tcPr>
            <w:tcW w:type="dxa" w:w="3200"/>
            <w:tcMar>
              <w:top w:type="dxa" w:w="70"/>
              <w:left w:type="dxa" w:w="110"/>
              <w:bottom w:type="dxa" w:w="70"/>
              <w:right w:type="dxa" w:w="110"/>
            </w:tcMar>
            <w:vAlign w:val="top"/>
          </w:tcPr>
          <w:p>
            <w:pPr>
              <w:spacing w:after="40"/>
            </w:pPr>
            <w:r>
              <w:rPr>
                <w:b w:val="false"/>
                <w:bCs w:val="false"/>
                <w:sz w:val="19"/>
                <w:szCs w:val="19"/>
              </w:rPr>
              <w:t xml:space="preserve">Understandable concern.</w:t>
            </w:r>
          </w:p>
        </w:tc>
        <w:tc>
          <w:tcPr>
            <w:tcW w:type="dxa" w:w="3577"/>
            <w:tcMar>
              <w:top w:type="dxa" w:w="70"/>
              <w:left w:type="dxa" w:w="110"/>
              <w:bottom w:type="dxa" w:w="70"/>
              <w:right w:type="dxa" w:w="110"/>
            </w:tcMar>
            <w:vAlign w:val="top"/>
          </w:tcPr>
          <w:p>
            <w:pPr>
              <w:spacing w:after="40"/>
            </w:pPr>
            <w:r>
              <w:rPr>
                <w:b w:val="false"/>
                <w:bCs w:val="false"/>
                <w:sz w:val="19"/>
                <w:szCs w:val="19"/>
              </w:rPr>
              <w:t xml:space="preserve">No. No score, rating or financing decision is produced, and answers are never shared with lenders.</w:t>
            </w:r>
          </w:p>
        </w:tc>
      </w:tr>
      <w:tr>
        <w:trPr>
          <w:cantSplit/>
        </w:trPr>
        <w:tc>
          <w:tcPr>
            <w:tcW w:type="dxa" w:w="2635"/>
            <w:shd w:fill="F8FAFB" w:color="auto" w:val="clear"/>
            <w:tcMar>
              <w:top w:type="dxa" w:w="70"/>
              <w:left w:type="dxa" w:w="110"/>
              <w:bottom w:type="dxa" w:w="70"/>
              <w:right w:type="dxa" w:w="110"/>
            </w:tcMar>
            <w:vAlign w:val="top"/>
          </w:tcPr>
          <w:p>
            <w:pPr>
              <w:spacing w:after="40"/>
            </w:pPr>
            <w:r>
              <w:rPr>
                <w:b w:val="false"/>
                <w:bCs w:val="false"/>
                <w:sz w:val="19"/>
                <w:szCs w:val="19"/>
              </w:rPr>
              <w:t xml:space="preserve">"I want to stop / withdraw"</w:t>
            </w:r>
          </w:p>
        </w:tc>
        <w:tc>
          <w:tcPr>
            <w:tcW w:type="dxa" w:w="3200"/>
            <w:shd w:fill="F8FAFB" w:color="auto" w:val="clear"/>
            <w:tcMar>
              <w:top w:type="dxa" w:w="70"/>
              <w:left w:type="dxa" w:w="110"/>
              <w:bottom w:type="dxa" w:w="70"/>
              <w:right w:type="dxa" w:w="110"/>
            </w:tcMar>
            <w:vAlign w:val="top"/>
          </w:tcPr>
          <w:p>
            <w:pPr>
              <w:spacing w:after="40"/>
            </w:pPr>
            <w:r>
              <w:rPr>
                <w:b w:val="false"/>
                <w:bCs w:val="false"/>
                <w:sz w:val="19"/>
                <w:szCs w:val="19"/>
              </w:rPr>
              <w:t xml:space="preserve">Their right at any time.</w:t>
            </w:r>
          </w:p>
        </w:tc>
        <w:tc>
          <w:tcPr>
            <w:tcW w:type="dxa" w:w="3577"/>
            <w:shd w:fill="F8FAFB" w:color="auto" w:val="clear"/>
            <w:tcMar>
              <w:top w:type="dxa" w:w="70"/>
              <w:left w:type="dxa" w:w="110"/>
              <w:bottom w:type="dxa" w:w="70"/>
              <w:right w:type="dxa" w:w="110"/>
            </w:tcMar>
            <w:vAlign w:val="top"/>
          </w:tcPr>
          <w:p>
            <w:pPr>
              <w:spacing w:after="40"/>
            </w:pPr>
            <w:r>
              <w:rPr>
                <w:b w:val="false"/>
                <w:bCs w:val="false"/>
                <w:sz w:val="19"/>
                <w:szCs w:val="19"/>
              </w:rPr>
              <w:t xml:space="preserve">Thank them, stop contact, and have the Field Coordinator or PI record the withdrawal.</w:t>
            </w:r>
          </w:p>
        </w:tc>
      </w:tr>
    </w:tbl>
    <w:p>
      <w:pPr>
        <w:spacing w:after="120"/>
      </w:pPr>
    </w:p>
    <w:p>
      <w:pPr>
        <w:pStyle w:val="Heading1"/>
        <w:pageBreakBefore/>
      </w:pPr>
      <w:r>
        <w:t xml:space="preserve">13. Glossary</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353"/>
        <w:gridCol w:w="7059"/>
      </w:tblGrid>
      <w:tr>
        <w:trPr>
          <w:tblHeader/>
        </w:trPr>
        <w:tc>
          <w:tcPr>
            <w:tcW w:type="dxa" w:w="2353"/>
            <w:shd w:fill="1B3350" w:color="auto" w:val="clear"/>
            <w:tcMar>
              <w:top w:type="dxa" w:w="70"/>
              <w:left w:type="dxa" w:w="110"/>
              <w:bottom w:type="dxa" w:w="70"/>
              <w:right w:type="dxa" w:w="110"/>
            </w:tcMar>
            <w:vAlign w:val="top"/>
          </w:tcPr>
          <w:p>
            <w:pPr>
              <w:spacing w:after="40"/>
            </w:pPr>
            <w:r>
              <w:rPr>
                <w:b/>
                <w:bCs/>
                <w:color w:val="FFFFFF"/>
                <w:sz w:val="19"/>
                <w:szCs w:val="19"/>
              </w:rPr>
              <w:t xml:space="preserve">Term</w:t>
            </w:r>
          </w:p>
        </w:tc>
        <w:tc>
          <w:tcPr>
            <w:tcW w:type="dxa" w:w="7059"/>
            <w:shd w:fill="1B3350" w:color="auto" w:val="clear"/>
            <w:tcMar>
              <w:top w:type="dxa" w:w="70"/>
              <w:left w:type="dxa" w:w="110"/>
              <w:bottom w:type="dxa" w:w="70"/>
              <w:right w:type="dxa" w:w="110"/>
            </w:tcMar>
            <w:vAlign w:val="top"/>
          </w:tcPr>
          <w:p>
            <w:pPr>
              <w:spacing w:after="40"/>
            </w:pPr>
            <w:r>
              <w:rPr>
                <w:b/>
                <w:bCs/>
                <w:color w:val="FFFFFF"/>
                <w:sz w:val="19"/>
                <w:szCs w:val="19"/>
              </w:rPr>
              <w:t xml:space="preserve">Meaning</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ABF-FST</w:t>
            </w:r>
          </w:p>
        </w:tc>
        <w:tc>
          <w:tcPr>
            <w:tcW w:type="dxa" w:w="7059"/>
            <w:tcMar>
              <w:top w:type="dxa" w:w="70"/>
              <w:left w:type="dxa" w:w="110"/>
              <w:bottom w:type="dxa" w:w="70"/>
              <w:right w:type="dxa" w:w="110"/>
            </w:tcMar>
            <w:vAlign w:val="top"/>
          </w:tcPr>
          <w:p>
            <w:pPr>
              <w:spacing w:after="40"/>
            </w:pPr>
            <w:r>
              <w:rPr>
                <w:b w:val="false"/>
                <w:bCs w:val="false"/>
                <w:sz w:val="19"/>
                <w:szCs w:val="19"/>
              </w:rPr>
              <w:t xml:space="preserve">Agribusiness Bankability Framework for Food Systems Transformation — the doctoral study this portal supports.</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Main-400 / Reserve-400</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The 400 selected organisations and their 400 locked, matched replacements.</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Master ID</w:t>
            </w:r>
          </w:p>
        </w:tc>
        <w:tc>
          <w:tcPr>
            <w:tcW w:type="dxa" w:w="7059"/>
            <w:tcMar>
              <w:top w:type="dxa" w:w="70"/>
              <w:left w:type="dxa" w:w="110"/>
              <w:bottom w:type="dxa" w:w="70"/>
              <w:right w:type="dxa" w:w="110"/>
            </w:tcMar>
            <w:vAlign w:val="top"/>
          </w:tcPr>
          <w:p>
            <w:pPr>
              <w:spacing w:after="40"/>
            </w:pPr>
            <w:r>
              <w:rPr>
                <w:b w:val="false"/>
                <w:bCs w:val="false"/>
                <w:sz w:val="19"/>
                <w:szCs w:val="19"/>
              </w:rPr>
              <w:t xml:space="preserve">System-generated organisation identifier, e.g. MID-HA-000001 (province code + sequence).</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Sample ID</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System-generated case identifier, e.g. SID-2026-000001. Never typed by hand, never reused.</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Stratum</w:t>
            </w:r>
          </w:p>
        </w:tc>
        <w:tc>
          <w:tcPr>
            <w:tcW w:type="dxa" w:w="7059"/>
            <w:tcMar>
              <w:top w:type="dxa" w:w="70"/>
              <w:left w:type="dxa" w:w="110"/>
              <w:bottom w:type="dxa" w:w="70"/>
              <w:right w:type="dxa" w:w="110"/>
            </w:tcMar>
            <w:vAlign w:val="top"/>
          </w:tcPr>
          <w:p>
            <w:pPr>
              <w:spacing w:after="40"/>
            </w:pPr>
            <w:r>
              <w:rPr>
                <w:b w:val="false"/>
                <w:bCs w:val="false"/>
                <w:sz w:val="19"/>
                <w:szCs w:val="19"/>
              </w:rPr>
              <w:t xml:space="preserve">The sampling cell: Province × Actor family × Size class.</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Case</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One organisation's place in the sample (a Sample ID).</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Workflow status</w:t>
            </w:r>
          </w:p>
        </w:tc>
        <w:tc>
          <w:tcPr>
            <w:tcW w:type="dxa" w:w="7059"/>
            <w:tcMar>
              <w:top w:type="dxa" w:w="70"/>
              <w:left w:type="dxa" w:w="110"/>
              <w:bottom w:type="dxa" w:w="70"/>
              <w:right w:type="dxa" w:w="110"/>
            </w:tcMar>
            <w:vAlign w:val="top"/>
          </w:tcPr>
          <w:p>
            <w:pPr>
              <w:spacing w:after="40"/>
            </w:pPr>
            <w:r>
              <w:rPr>
                <w:b w:val="false"/>
                <w:bCs w:val="false"/>
                <w:sz w:val="19"/>
                <w:szCs w:val="19"/>
              </w:rPr>
              <w:t xml:space="preserve">Where a Main case is, from S00 Selected to S11 Completed, or a drop state (S12–S15).</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Invitation</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A personal link (valid 14 days) plus an 8-character manual code, issued per case.</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Eligibility</w:t>
            </w:r>
          </w:p>
        </w:tc>
        <w:tc>
          <w:tcPr>
            <w:tcW w:type="dxa" w:w="7059"/>
            <w:tcMar>
              <w:top w:type="dxa" w:w="70"/>
              <w:left w:type="dxa" w:w="110"/>
              <w:bottom w:type="dxa" w:w="70"/>
              <w:right w:type="dxa" w:w="110"/>
            </w:tcMar>
            <w:vAlign w:val="top"/>
          </w:tcPr>
          <w:p>
            <w:pPr>
              <w:spacing w:after="40"/>
            </w:pPr>
            <w:r>
              <w:rPr>
                <w:b w:val="false"/>
                <w:bCs w:val="false"/>
                <w:sz w:val="19"/>
                <w:szCs w:val="19"/>
              </w:rPr>
              <w:t xml:space="preserve">The respondent's confirmation that they hold a senior, knowledgeable role.</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Consent</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The respondent's recorded agreement to take part (participation consent). KII recording consent is separate.</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PIS</w:t>
            </w:r>
          </w:p>
        </w:tc>
        <w:tc>
          <w:tcPr>
            <w:tcW w:type="dxa" w:w="7059"/>
            <w:tcMar>
              <w:top w:type="dxa" w:w="70"/>
              <w:left w:type="dxa" w:w="110"/>
              <w:bottom w:type="dxa" w:w="70"/>
              <w:right w:type="dxa" w:w="110"/>
            </w:tcMar>
            <w:vAlign w:val="top"/>
          </w:tcPr>
          <w:p>
            <w:pPr>
              <w:spacing w:after="40"/>
            </w:pPr>
            <w:r>
              <w:rPr>
                <w:b w:val="false"/>
                <w:bCs w:val="false"/>
                <w:sz w:val="19"/>
                <w:szCs w:val="19"/>
              </w:rPr>
              <w:t xml:space="preserve">Participant Information Sheet, currently version 1.5.</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AI research</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In PROIT, an AI searches public sources for an organisation and the respondent's published professional role and proposes background facts with sources. A researcher accepts or rejects each; nothing enters the profile automatically.</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Muse</w:t>
            </w:r>
          </w:p>
        </w:tc>
        <w:tc>
          <w:tcPr>
            <w:tcW w:type="dxa" w:w="7059"/>
            <w:tcMar>
              <w:top w:type="dxa" w:w="70"/>
              <w:left w:type="dxa" w:w="110"/>
              <w:bottom w:type="dxa" w:w="70"/>
              <w:right w:type="dxa" w:w="110"/>
            </w:tcMar>
            <w:vAlign w:val="top"/>
          </w:tcPr>
          <w:p>
            <w:pPr>
              <w:spacing w:after="40"/>
            </w:pPr>
            <w:r>
              <w:rPr>
                <w:b w:val="false"/>
                <w:bCs w:val="false"/>
                <w:sz w:val="19"/>
                <w:szCs w:val="19"/>
              </w:rPr>
              <w:t xml:space="preserve">Meta's AI model, used for document drafting, PROIT research and the contact finder, billed to the study's Meta account.</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Organisation social page</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An organisation's own business page on Facebook, LinkedIn, X or similar. It may be cited as a Tier 4 source for the organisation's own facts and contact details, never for a person. Personal profiles are never used.</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Contact finder</w:t>
            </w:r>
          </w:p>
        </w:tc>
        <w:tc>
          <w:tcPr>
            <w:tcW w:type="dxa" w:w="7059"/>
            <w:tcMar>
              <w:top w:type="dxa" w:w="70"/>
              <w:left w:type="dxa" w:w="110"/>
              <w:bottom w:type="dxa" w:w="70"/>
              <w:right w:type="dxa" w:w="110"/>
            </w:tcMar>
            <w:vAlign w:val="top"/>
          </w:tcPr>
          <w:p>
            <w:pPr>
              <w:spacing w:after="40"/>
            </w:pPr>
            <w:r>
              <w:rPr>
                <w:b w:val="false"/>
                <w:bCs w:val="false"/>
                <w:sz w:val="19"/>
                <w:szCs w:val="19"/>
              </w:rPr>
              <w:t xml:space="preserve">Find contact details with AI</w:t>
            </w:r>
            <w:r>
              <w:rPr>
                <w:b w:val="false"/>
                <w:bCs w:val="false"/>
                <w:sz w:val="19"/>
                <w:szCs w:val="19"/>
              </w:rPr>
              <w:t xml:space="preserve">: proposes an organisation's published phone, email, website, office location and named senior staff, each with its page and passage. Nothing is saved until a person accepts it.</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Email invitations</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The register panel that emails the approved invitation to a batch of verified cases (S03 or S04) with a respondent email and no open invitation.</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WhatsApp queue</w:t>
            </w:r>
          </w:p>
        </w:tc>
        <w:tc>
          <w:tcPr>
            <w:tcW w:type="dxa" w:w="7059"/>
            <w:tcMar>
              <w:top w:type="dxa" w:w="70"/>
              <w:left w:type="dxa" w:w="110"/>
              <w:bottom w:type="dxa" w:w="70"/>
              <w:right w:type="dxa" w:w="110"/>
            </w:tcMar>
            <w:vAlign w:val="top"/>
          </w:tcPr>
          <w:p>
            <w:pPr>
              <w:spacing w:after="40"/>
            </w:pPr>
            <w:r>
              <w:rPr>
                <w:b w:val="false"/>
                <w:bCs w:val="false"/>
                <w:sz w:val="19"/>
                <w:szCs w:val="19"/>
              </w:rPr>
              <w:t xml:space="preserve">The register panel listing verified cases ready for a WhatsApp invitation. </w:t>
            </w:r>
            <w:r>
              <w:rPr>
                <w:b w:val="false"/>
                <w:bCs w:val="false"/>
                <w:sz w:val="19"/>
                <w:szCs w:val="19"/>
              </w:rPr>
              <w:t xml:space="preserve">Prepare</w:t>
            </w:r>
            <w:r>
              <w:rPr>
                <w:b w:val="false"/>
                <w:bCs w:val="false"/>
                <w:sz w:val="19"/>
                <w:szCs w:val="19"/>
              </w:rPr>
              <w:t xml:space="preserve"> creates the link and message; the RA sends it from the study phone.</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Interview sheet</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The locked pre-interview profile as the interviewer uses it: public facts to confirm, gaps to ask, and where the respondent's answers stand.</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Reconciliation</w:t>
            </w:r>
          </w:p>
        </w:tc>
        <w:tc>
          <w:tcPr>
            <w:tcW w:type="dxa" w:w="7059"/>
            <w:tcMar>
              <w:top w:type="dxa" w:w="70"/>
              <w:left w:type="dxa" w:w="110"/>
              <w:bottom w:type="dxa" w:w="70"/>
              <w:right w:type="dxa" w:w="110"/>
            </w:tcMar>
            <w:vAlign w:val="top"/>
          </w:tcPr>
          <w:p>
            <w:pPr>
              <w:spacing w:after="40"/>
            </w:pPr>
            <w:r>
              <w:rPr>
                <w:b w:val="false"/>
                <w:bCs w:val="false"/>
                <w:sz w:val="19"/>
                <w:szCs w:val="19"/>
              </w:rPr>
              <w:t xml:space="preserve">After the interview, the researcher's coded value for each fact the respondent corrected or qualified. A case is not complete until its profile is reconciled.</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Protocol deviation</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A recorded reason why a profile could not be reconciled. It releases the case but leaves it flagged.</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PROIT</w:t>
            </w:r>
          </w:p>
        </w:tc>
        <w:tc>
          <w:tcPr>
            <w:tcW w:type="dxa" w:w="7059"/>
            <w:tcMar>
              <w:top w:type="dxa" w:w="70"/>
              <w:left w:type="dxa" w:w="110"/>
              <w:bottom w:type="dxa" w:w="70"/>
              <w:right w:type="dxa" w:w="110"/>
            </w:tcMar>
            <w:vAlign w:val="top"/>
          </w:tcPr>
          <w:p>
            <w:pPr>
              <w:spacing w:after="40"/>
            </w:pPr>
            <w:r>
              <w:rPr>
                <w:b w:val="false"/>
                <w:bCs w:val="false"/>
                <w:sz w:val="19"/>
                <w:szCs w:val="19"/>
              </w:rPr>
              <w:t xml:space="preserve">Pre-Interview Respondent &amp; Organisation Intelligence and Verification Tool: background facts found before contact, confirmed by the respondent.</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KoboToolbox</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The external data-collection service that hosts the three study forms.</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Submission</w:t>
            </w:r>
          </w:p>
        </w:tc>
        <w:tc>
          <w:tcPr>
            <w:tcW w:type="dxa" w:w="7059"/>
            <w:tcMar>
              <w:top w:type="dxa" w:w="70"/>
              <w:left w:type="dxa" w:w="110"/>
              <w:bottom w:type="dxa" w:w="70"/>
              <w:right w:type="dxa" w:w="110"/>
            </w:tcMar>
            <w:vAlign w:val="top"/>
          </w:tcPr>
          <w:p>
            <w:pPr>
              <w:spacing w:after="40"/>
            </w:pPr>
            <w:r>
              <w:rPr>
                <w:b w:val="false"/>
                <w:bCs w:val="false"/>
                <w:sz w:val="19"/>
                <w:szCs w:val="19"/>
              </w:rPr>
              <w:t xml:space="preserve">One completed KoboToolbox form.</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Sync</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Bringing the portal's own copy of the three KoboToolbox forms level with KoboToolbox. Automatic every 15 minutes, or </w:t>
            </w:r>
            <w:r>
              <w:rPr>
                <w:b w:val="false"/>
                <w:bCs w:val="false"/>
                <w:sz w:val="19"/>
                <w:szCs w:val="19"/>
              </w:rPr>
              <w:t xml:space="preserve">Sync now</w:t>
            </w:r>
            <w:r>
              <w:rPr>
                <w:b w:val="false"/>
                <w:bCs w:val="false"/>
                <w:sz w:val="19"/>
                <w:szCs w:val="19"/>
              </w:rPr>
              <w:t xml:space="preserve">.</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QA</w:t>
            </w:r>
          </w:p>
        </w:tc>
        <w:tc>
          <w:tcPr>
            <w:tcW w:type="dxa" w:w="7059"/>
            <w:tcMar>
              <w:top w:type="dxa" w:w="70"/>
              <w:left w:type="dxa" w:w="110"/>
              <w:bottom w:type="dxa" w:w="70"/>
              <w:right w:type="dxa" w:w="110"/>
            </w:tcMar>
            <w:vAlign w:val="top"/>
          </w:tcPr>
          <w:p>
            <w:pPr>
              <w:spacing w:after="40"/>
            </w:pPr>
            <w:r>
              <w:rPr>
                <w:b w:val="false"/>
                <w:bCs w:val="false"/>
                <w:sz w:val="19"/>
                <w:szCs w:val="19"/>
              </w:rPr>
              <w:t xml:space="preserve">Quality assurance: automated checks plus a human decision on every questionnaire.</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QA exception</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An automated flag raised by a QA rule, worked and closed by a person.</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KII</w:t>
            </w:r>
          </w:p>
        </w:tc>
        <w:tc>
          <w:tcPr>
            <w:tcW w:type="dxa" w:w="7059"/>
            <w:tcMar>
              <w:top w:type="dxa" w:w="70"/>
              <w:left w:type="dxa" w:w="110"/>
              <w:bottom w:type="dxa" w:w="70"/>
              <w:right w:type="dxa" w:w="110"/>
            </w:tcMar>
            <w:vAlign w:val="top"/>
          </w:tcPr>
          <w:p>
            <w:pPr>
              <w:spacing w:after="40"/>
            </w:pPr>
            <w:r>
              <w:rPr>
                <w:b w:val="false"/>
                <w:bCs w:val="false"/>
                <w:sz w:val="19"/>
                <w:szCs w:val="19"/>
              </w:rPr>
              <w:t xml:space="preserve">Key Informant Interview (target 60 completed).</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Documentary evidence</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Documents, digital platform and media sources analysed (target 50–75).</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Source file</w:t>
            </w:r>
          </w:p>
        </w:tc>
        <w:tc>
          <w:tcPr>
            <w:tcW w:type="dxa" w:w="7059"/>
            <w:tcMar>
              <w:top w:type="dxa" w:w="70"/>
              <w:left w:type="dxa" w:w="110"/>
              <w:bottom w:type="dxa" w:w="70"/>
              <w:right w:type="dxa" w:w="110"/>
            </w:tcMar>
            <w:vAlign w:val="top"/>
          </w:tcPr>
          <w:p>
            <w:pPr>
              <w:spacing w:after="40"/>
            </w:pPr>
            <w:r>
              <w:rPr>
                <w:b w:val="false"/>
                <w:bCs w:val="false"/>
                <w:sz w:val="19"/>
                <w:szCs w:val="19"/>
              </w:rPr>
              <w:t xml:space="preserve">The uploaded scan, PDF, photo or document a documentary record is coded from. Stored privately; it can be removed or replaced.</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Auto-fill</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A button on a document's page that has AI read the source file and draft the whole Document Analysis Tool for you to review. It never submits anything by itself.</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AI draft</w:t>
            </w:r>
          </w:p>
        </w:tc>
        <w:tc>
          <w:tcPr>
            <w:tcW w:type="dxa" w:w="7059"/>
            <w:tcMar>
              <w:top w:type="dxa" w:w="70"/>
              <w:left w:type="dxa" w:w="110"/>
              <w:bottom w:type="dxa" w:w="70"/>
              <w:right w:type="dxa" w:w="110"/>
            </w:tcMar>
            <w:vAlign w:val="top"/>
          </w:tcPr>
          <w:p>
            <w:pPr>
              <w:spacing w:after="40"/>
            </w:pPr>
            <w:r>
              <w:rPr>
                <w:b w:val="false"/>
                <w:bCs w:val="false"/>
                <w:sz w:val="19"/>
                <w:szCs w:val="19"/>
              </w:rPr>
              <w:t xml:space="preserve">The AI's proposed answers to the Document Analysis Tool: editable, reviewed by a person, and only sent to KoboToolbox when that person selects Submit.</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Page range</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The pages of a long PDF that make up one evidence unit (up to 100), entered for Auto-fill.</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Copy for another chapter</w:t>
            </w:r>
          </w:p>
        </w:tc>
        <w:tc>
          <w:tcPr>
            <w:tcW w:type="dxa" w:w="7059"/>
            <w:tcMar>
              <w:top w:type="dxa" w:w="70"/>
              <w:left w:type="dxa" w:w="110"/>
              <w:bottom w:type="dxa" w:w="70"/>
              <w:right w:type="dxa" w:w="110"/>
            </w:tcMar>
            <w:vAlign w:val="top"/>
          </w:tcPr>
          <w:p>
            <w:pPr>
              <w:spacing w:after="40"/>
            </w:pPr>
            <w:r>
              <w:rPr>
                <w:b w:val="false"/>
                <w:bCs w:val="false"/>
                <w:sz w:val="19"/>
                <w:szCs w:val="19"/>
              </w:rPr>
              <w:t xml:space="preserve">A button on a document record: makes a new record for a different part of the same source, with the same details and its own copy of the file.</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Quick add</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Documents → New document → upload a file: the AI fills in the record's details and drafts the coding form for you to review.</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Record details</w:t>
            </w:r>
          </w:p>
        </w:tc>
        <w:tc>
          <w:tcPr>
            <w:tcW w:type="dxa" w:w="7059"/>
            <w:tcMar>
              <w:top w:type="dxa" w:w="70"/>
              <w:left w:type="dxa" w:w="110"/>
              <w:bottom w:type="dxa" w:w="70"/>
              <w:right w:type="dxa" w:w="110"/>
            </w:tcMar>
            <w:vAlign w:val="top"/>
          </w:tcPr>
          <w:p>
            <w:pPr>
              <w:spacing w:after="40"/>
            </w:pPr>
            <w:r>
              <w:rPr>
                <w:b w:val="false"/>
                <w:bCs w:val="false"/>
                <w:sz w:val="19"/>
                <w:szCs w:val="19"/>
              </w:rPr>
              <w:t xml:space="preserve">A document's title, author, date, type, scope, value chain and source. They feed Section A of the coding form and can be corrected on the record page.</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Read in parts</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Auto-fill option for a PDF over 100 pages: the AI codes each part of about 80 pages, then combines them into one draft.</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Administration mode</w:t>
            </w:r>
          </w:p>
        </w:tc>
        <w:tc>
          <w:tcPr>
            <w:tcW w:type="dxa" w:w="7059"/>
            <w:tcMar>
              <w:top w:type="dxa" w:w="70"/>
              <w:left w:type="dxa" w:w="110"/>
              <w:bottom w:type="dxa" w:w="70"/>
              <w:right w:type="dxa" w:w="110"/>
            </w:tcMar>
            <w:vAlign w:val="top"/>
          </w:tcPr>
          <w:p>
            <w:pPr>
              <w:spacing w:after="40"/>
            </w:pPr>
            <w:r>
              <w:rPr>
                <w:b w:val="false"/>
                <w:bCs w:val="false"/>
                <w:sz w:val="19"/>
                <w:szCs w:val="19"/>
              </w:rPr>
              <w:t xml:space="preserve">How the questionnaire was completed (codes 01–06).</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Follow-up</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An approved reminder due to be sent to an invited respondent (Day 2, Day 7).</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Withdrawal</w:t>
            </w:r>
          </w:p>
        </w:tc>
        <w:tc>
          <w:tcPr>
            <w:tcW w:type="dxa" w:w="7059"/>
            <w:tcMar>
              <w:top w:type="dxa" w:w="70"/>
              <w:left w:type="dxa" w:w="110"/>
              <w:bottom w:type="dxa" w:w="70"/>
              <w:right w:type="dxa" w:w="110"/>
            </w:tcMar>
            <w:vAlign w:val="top"/>
          </w:tcPr>
          <w:p>
            <w:pPr>
              <w:spacing w:after="40"/>
            </w:pPr>
            <w:r>
              <w:rPr>
                <w:b w:val="false"/>
                <w:bCs w:val="false"/>
                <w:sz w:val="19"/>
                <w:szCs w:val="19"/>
              </w:rPr>
              <w:t xml:space="preserve">A participant's request to stop taking part, recorded once in the portal.</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Research Clearance</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The PI's published official approval letters (ethics clearance, institutional approval, supervision confirmation) that a respondent can open from the Participant Information screen to check the study is genuine. Hidden until the PI publishes it.</w:t>
            </w:r>
          </w:p>
        </w:tc>
      </w:tr>
      <w:tr>
        <w:trPr>
          <w:cantSplit/>
        </w:trPr>
        <w:tc>
          <w:tcPr>
            <w:tcW w:type="dxa" w:w="2353"/>
            <w:tcMar>
              <w:top w:type="dxa" w:w="70"/>
              <w:left w:type="dxa" w:w="110"/>
              <w:bottom w:type="dxa" w:w="70"/>
              <w:right w:type="dxa" w:w="110"/>
            </w:tcMar>
            <w:vAlign w:val="top"/>
          </w:tcPr>
          <w:p>
            <w:pPr>
              <w:spacing w:after="40"/>
            </w:pPr>
            <w:r>
              <w:rPr>
                <w:b w:val="false"/>
                <w:bCs w:val="false"/>
                <w:sz w:val="19"/>
                <w:szCs w:val="19"/>
              </w:rPr>
              <w:t xml:space="preserve">Audit log</w:t>
            </w:r>
          </w:p>
        </w:tc>
        <w:tc>
          <w:tcPr>
            <w:tcW w:type="dxa" w:w="7059"/>
            <w:tcMar>
              <w:top w:type="dxa" w:w="70"/>
              <w:left w:type="dxa" w:w="110"/>
              <w:bottom w:type="dxa" w:w="70"/>
              <w:right w:type="dxa" w:w="110"/>
            </w:tcMar>
            <w:vAlign w:val="top"/>
          </w:tcPr>
          <w:p>
            <w:pPr>
              <w:spacing w:after="40"/>
            </w:pPr>
            <w:r>
              <w:rPr>
                <w:b w:val="false"/>
                <w:bCs w:val="false"/>
                <w:sz w:val="19"/>
                <w:szCs w:val="19"/>
              </w:rPr>
              <w:t xml:space="preserve">The permanent record of every sensitive action and who took it.</w:t>
            </w:r>
          </w:p>
        </w:tc>
      </w:tr>
      <w:tr>
        <w:trPr>
          <w:cantSplit/>
        </w:trPr>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Data lock</w:t>
            </w:r>
          </w:p>
        </w:tc>
        <w:tc>
          <w:tcPr>
            <w:tcW w:type="dxa" w:w="7059"/>
            <w:shd w:fill="F8FAFB" w:color="auto" w:val="clear"/>
            <w:tcMar>
              <w:top w:type="dxa" w:w="70"/>
              <w:left w:type="dxa" w:w="110"/>
              <w:bottom w:type="dxa" w:w="70"/>
              <w:right w:type="dxa" w:w="110"/>
            </w:tcMar>
            <w:vAlign w:val="top"/>
          </w:tcPr>
          <w:p>
            <w:pPr>
              <w:spacing w:after="40"/>
            </w:pPr>
            <w:r>
              <w:rPr>
                <w:b w:val="false"/>
                <w:bCs w:val="false"/>
                <w:sz w:val="19"/>
                <w:szCs w:val="19"/>
              </w:rPr>
              <w:t xml:space="preserve">30 November 2026 — the date fieldwork data is frozen for analysis.</w:t>
            </w:r>
          </w:p>
        </w:tc>
      </w:tr>
    </w:tbl>
    <w:p>
      <w:pPr>
        <w:spacing w:after="120"/>
      </w:pPr>
    </w:p>
    <w:p>
      <w:pPr>
        <w:pStyle w:val="Heading1"/>
        <w:pageBreakBefore/>
      </w:pPr>
      <w:r>
        <w:t xml:space="preserve">Appendix A. Quick reference</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Staff sign-in</w:t>
            </w:r>
          </w:p>
        </w:tc>
        <w:tc>
          <w:tcPr>
            <w:tcW w:type="dxa" w:w="6588"/>
            <w:tcMar>
              <w:top w:type="dxa" w:w="70"/>
              <w:left w:type="dxa" w:w="110"/>
              <w:bottom w:type="dxa" w:w="70"/>
              <w:right w:type="dxa" w:w="110"/>
            </w:tcMar>
            <w:vAlign w:val="top"/>
          </w:tcPr>
          <w:p>
            <w:pPr>
              <w:spacing w:after="40"/>
            </w:pPr>
            <w:r>
              <w:rPr>
                <w:b w:val="false"/>
                <w:bCs w:val="false"/>
                <w:sz w:val="19"/>
                <w:szCs w:val="19"/>
              </w:rPr>
              <w:t xml:space="preserve">https://research.agribizframework.com/admin/login</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Respondent links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https://research.agribizframework.com/i/&lt;personal code&gt;</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Account administration (PI)</w:t>
            </w:r>
          </w:p>
        </w:tc>
        <w:tc>
          <w:tcPr>
            <w:tcW w:type="dxa" w:w="6588"/>
            <w:tcMar>
              <w:top w:type="dxa" w:w="70"/>
              <w:left w:type="dxa" w:w="110"/>
              <w:bottom w:type="dxa" w:w="70"/>
              <w:right w:type="dxa" w:w="110"/>
            </w:tcMar>
            <w:vAlign w:val="top"/>
          </w:tcPr>
          <w:p>
            <w:pPr>
              <w:spacing w:after="40"/>
            </w:pPr>
            <w:r>
              <w:rPr>
                <w:b w:val="false"/>
                <w:bCs w:val="false"/>
                <w:sz w:val="19"/>
                <w:szCs w:val="19"/>
              </w:rPr>
              <w:t xml:space="preserve">https://research.agribizframework.com/django-admin/</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KoboToolbox</w:t>
            </w:r>
          </w:p>
        </w:tc>
        <w:tc>
          <w:tcPr>
            <w:tcW w:type="dxa" w:w="6588"/>
            <w:tcMar>
              <w:top w:type="dxa" w:w="70"/>
              <w:left w:type="dxa" w:w="110"/>
              <w:bottom w:type="dxa" w:w="70"/>
              <w:right w:type="dxa" w:w="110"/>
            </w:tcMar>
            <w:vAlign w:val="top"/>
          </w:tcPr>
          <w:p>
            <w:pPr>
              <w:spacing w:after="40"/>
            </w:pPr>
            <w:r>
              <w:rPr>
                <w:b w:val="false"/>
                <w:bCs w:val="false"/>
                <w:sz w:val="19"/>
                <w:szCs w:val="19"/>
              </w:rPr>
              <w:t xml:space="preserve">https://kf.kobotoolbox.org</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Study email</w:t>
            </w:r>
          </w:p>
        </w:tc>
        <w:tc>
          <w:tcPr>
            <w:tcW w:type="dxa" w:w="6588"/>
            <w:tcMar>
              <w:top w:type="dxa" w:w="70"/>
              <w:left w:type="dxa" w:w="110"/>
              <w:bottom w:type="dxa" w:w="70"/>
              <w:right w:type="dxa" w:w="110"/>
            </w:tcMar>
            <w:vAlign w:val="top"/>
          </w:tcPr>
          <w:p>
            <w:pPr>
              <w:spacing w:after="40"/>
            </w:pPr>
            <w:r>
              <w:rPr>
                <w:b w:val="false"/>
                <w:bCs w:val="false"/>
                <w:sz w:val="19"/>
                <w:szCs w:val="19"/>
              </w:rPr>
              <w:t xml:space="preserve">abffst.research@gmail.com</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PI phone</w:t>
            </w:r>
          </w:p>
        </w:tc>
        <w:tc>
          <w:tcPr>
            <w:tcW w:type="dxa" w:w="6588"/>
            <w:tcMar>
              <w:top w:type="dxa" w:w="70"/>
              <w:left w:type="dxa" w:w="110"/>
              <w:bottom w:type="dxa" w:w="70"/>
              <w:right w:type="dxa" w:w="110"/>
            </w:tcMar>
            <w:vAlign w:val="top"/>
          </w:tcPr>
          <w:p>
            <w:pPr>
              <w:spacing w:after="40"/>
            </w:pPr>
            <w:r>
              <w:rPr>
                <w:b w:val="false"/>
                <w:bCs w:val="false"/>
                <w:sz w:val="19"/>
                <w:szCs w:val="19"/>
              </w:rPr>
              <w:t xml:space="preserve">0773943709</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Invitation validity</w:t>
            </w:r>
          </w:p>
        </w:tc>
        <w:tc>
          <w:tcPr>
            <w:tcW w:type="dxa" w:w="6588"/>
            <w:tcMar>
              <w:top w:type="dxa" w:w="70"/>
              <w:left w:type="dxa" w:w="110"/>
              <w:bottom w:type="dxa" w:w="70"/>
              <w:right w:type="dxa" w:w="110"/>
            </w:tcMar>
            <w:vAlign w:val="top"/>
          </w:tcPr>
          <w:p>
            <w:pPr>
              <w:spacing w:after="40"/>
            </w:pPr>
            <w:r>
              <w:rPr>
                <w:b w:val="false"/>
                <w:bCs w:val="false"/>
                <w:sz w:val="19"/>
                <w:szCs w:val="19"/>
              </w:rPr>
              <w:t xml:space="preserve">14 days</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Reminders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Day 2 and Day 7</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QA duration limits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5 to 90 minutes</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Targets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400 questionnaires · 60 KIIs · 50–75 documents</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Data lock</w:t>
            </w:r>
          </w:p>
        </w:tc>
        <w:tc>
          <w:tcPr>
            <w:tcW w:type="dxa" w:w="6588"/>
            <w:tcMar>
              <w:top w:type="dxa" w:w="70"/>
              <w:left w:type="dxa" w:w="110"/>
              <w:bottom w:type="dxa" w:w="70"/>
              <w:right w:type="dxa" w:w="110"/>
            </w:tcMar>
            <w:vAlign w:val="top"/>
          </w:tcPr>
          <w:p>
            <w:pPr>
              <w:spacing w:after="40"/>
            </w:pPr>
            <w:r>
              <w:rPr>
                <w:b w:val="false"/>
                <w:bCs w:val="false"/>
                <w:sz w:val="19"/>
                <w:szCs w:val="19"/>
              </w:rPr>
              <w:t xml:space="preserve">30 November 2026</w:t>
            </w:r>
          </w:p>
        </w:tc>
      </w:tr>
    </w:tbl>
    <w:p>
      <w:pPr>
        <w:spacing w:after="120"/>
      </w:pPr>
    </w:p>
    <w:p>
      <w:pPr>
        <w:pStyle w:val="Heading2"/>
      </w:pPr>
      <w:r>
        <w:t xml:space="preserve">Administration modes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941"/>
        <w:gridCol w:w="3294"/>
        <w:gridCol w:w="5177"/>
      </w:tblGrid>
      <w:tr>
        <w:trPr>
          <w:tblHeader/>
        </w:trPr>
        <w:tc>
          <w:tcPr>
            <w:tcW w:type="dxa" w:w="941"/>
            <w:shd w:fill="1B3350" w:color="auto" w:val="clear"/>
            <w:tcMar>
              <w:top w:type="dxa" w:w="70"/>
              <w:left w:type="dxa" w:w="110"/>
              <w:bottom w:type="dxa" w:w="70"/>
              <w:right w:type="dxa" w:w="110"/>
            </w:tcMar>
            <w:vAlign w:val="top"/>
          </w:tcPr>
          <w:p>
            <w:pPr>
              <w:spacing w:after="40"/>
            </w:pPr>
            <w:r>
              <w:rPr>
                <w:b/>
                <w:bCs/>
                <w:color w:val="FFFFFF"/>
                <w:sz w:val="19"/>
                <w:szCs w:val="19"/>
              </w:rPr>
              <w:t xml:space="preserve">Code</w:t>
            </w:r>
          </w:p>
        </w:tc>
        <w:tc>
          <w:tcPr>
            <w:tcW w:type="dxa" w:w="3294"/>
            <w:shd w:fill="1B3350" w:color="auto" w:val="clear"/>
            <w:tcMar>
              <w:top w:type="dxa" w:w="70"/>
              <w:left w:type="dxa" w:w="110"/>
              <w:bottom w:type="dxa" w:w="70"/>
              <w:right w:type="dxa" w:w="110"/>
            </w:tcMar>
            <w:vAlign w:val="top"/>
          </w:tcPr>
          <w:p>
            <w:pPr>
              <w:spacing w:after="40"/>
            </w:pPr>
            <w:r>
              <w:rPr>
                <w:b/>
                <w:bCs/>
                <w:color w:val="FFFFFF"/>
                <w:sz w:val="19"/>
                <w:szCs w:val="19"/>
              </w:rPr>
              <w:t xml:space="preserve">Mode</w:t>
            </w:r>
          </w:p>
        </w:tc>
        <w:tc>
          <w:tcPr>
            <w:tcW w:type="dxa" w:w="5177"/>
            <w:shd w:fill="1B3350" w:color="auto" w:val="clear"/>
            <w:tcMar>
              <w:top w:type="dxa" w:w="70"/>
              <w:left w:type="dxa" w:w="110"/>
              <w:bottom w:type="dxa" w:w="70"/>
              <w:right w:type="dxa" w:w="110"/>
            </w:tcMar>
            <w:vAlign w:val="top"/>
          </w:tcPr>
          <w:p>
            <w:pPr>
              <w:spacing w:after="40"/>
            </w:pPr>
            <w:r>
              <w:rPr>
                <w:b/>
                <w:bCs/>
                <w:color w:val="FFFFFF"/>
                <w:sz w:val="19"/>
                <w:szCs w:val="19"/>
              </w:rPr>
              <w:t xml:space="preserve">What happens</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01</w:t>
            </w:r>
          </w:p>
        </w:tc>
        <w:tc>
          <w:tcPr>
            <w:tcW w:type="dxa" w:w="3294"/>
            <w:tcMar>
              <w:top w:type="dxa" w:w="70"/>
              <w:left w:type="dxa" w:w="110"/>
              <w:bottom w:type="dxa" w:w="70"/>
              <w:right w:type="dxa" w:w="110"/>
            </w:tcMar>
            <w:vAlign w:val="top"/>
          </w:tcPr>
          <w:p>
            <w:pPr>
              <w:spacing w:after="40"/>
            </w:pPr>
            <w:r>
              <w:rPr>
                <w:b w:val="false"/>
                <w:bCs w:val="false"/>
                <w:sz w:val="19"/>
                <w:szCs w:val="19"/>
              </w:rPr>
              <w:t xml:space="preserve">Web self-administration</w:t>
            </w:r>
          </w:p>
        </w:tc>
        <w:tc>
          <w:tcPr>
            <w:tcW w:type="dxa" w:w="5177"/>
            <w:tcMar>
              <w:top w:type="dxa" w:w="70"/>
              <w:left w:type="dxa" w:w="110"/>
              <w:bottom w:type="dxa" w:w="70"/>
              <w:right w:type="dxa" w:w="110"/>
            </w:tcMar>
            <w:vAlign w:val="top"/>
          </w:tcPr>
          <w:p>
            <w:pPr>
              <w:spacing w:after="40"/>
            </w:pPr>
            <w:r>
              <w:rPr>
                <w:b w:val="false"/>
                <w:bCs w:val="false"/>
                <w:sz w:val="19"/>
                <w:szCs w:val="19"/>
              </w:rPr>
              <w:t xml:space="preserve">The respondent completes the questionnaire alone from the link.</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02</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WhatsApp link, self-completion</w:t>
            </w:r>
          </w:p>
        </w:tc>
        <w:tc>
          <w:tcPr>
            <w:tcW w:type="dxa" w:w="5177"/>
            <w:shd w:fill="F8FAFB" w:color="auto" w:val="clear"/>
            <w:tcMar>
              <w:top w:type="dxa" w:w="70"/>
              <w:left w:type="dxa" w:w="110"/>
              <w:bottom w:type="dxa" w:w="70"/>
              <w:right w:type="dxa" w:w="110"/>
            </w:tcMar>
            <w:vAlign w:val="top"/>
          </w:tcPr>
          <w:p>
            <w:pPr>
              <w:spacing w:after="40"/>
            </w:pPr>
            <w:r>
              <w:rPr>
                <w:b w:val="false"/>
                <w:bCs w:val="false"/>
                <w:sz w:val="19"/>
                <w:szCs w:val="19"/>
              </w:rPr>
              <w:t xml:space="preserve">The link is sent by WhatsApp; the respondent completes it alone.</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03</w:t>
            </w:r>
          </w:p>
        </w:tc>
        <w:tc>
          <w:tcPr>
            <w:tcW w:type="dxa" w:w="3294"/>
            <w:tcMar>
              <w:top w:type="dxa" w:w="70"/>
              <w:left w:type="dxa" w:w="110"/>
              <w:bottom w:type="dxa" w:w="70"/>
              <w:right w:type="dxa" w:w="110"/>
            </w:tcMar>
            <w:vAlign w:val="top"/>
          </w:tcPr>
          <w:p>
            <w:pPr>
              <w:spacing w:after="40"/>
            </w:pPr>
            <w:r>
              <w:rPr>
                <w:b w:val="false"/>
                <w:bCs w:val="false"/>
                <w:sz w:val="19"/>
                <w:szCs w:val="19"/>
              </w:rPr>
              <w:t xml:space="preserve">Telephone, interviewer-administered</w:t>
            </w:r>
          </w:p>
        </w:tc>
        <w:tc>
          <w:tcPr>
            <w:tcW w:type="dxa" w:w="5177"/>
            <w:tcMar>
              <w:top w:type="dxa" w:w="70"/>
              <w:left w:type="dxa" w:w="110"/>
              <w:bottom w:type="dxa" w:w="70"/>
              <w:right w:type="dxa" w:w="110"/>
            </w:tcMar>
            <w:vAlign w:val="top"/>
          </w:tcPr>
          <w:p>
            <w:pPr>
              <w:spacing w:after="40"/>
            </w:pPr>
            <w:r>
              <w:rPr>
                <w:b w:val="false"/>
                <w:bCs w:val="false"/>
                <w:sz w:val="19"/>
                <w:szCs w:val="19"/>
              </w:rPr>
              <w:t xml:space="preserve">A researcher calls and completes the form while the respondent answers.</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04</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WhatsApp call, interviewer-assisted</w:t>
            </w:r>
          </w:p>
        </w:tc>
        <w:tc>
          <w:tcPr>
            <w:tcW w:type="dxa" w:w="5177"/>
            <w:shd w:fill="F8FAFB" w:color="auto" w:val="clear"/>
            <w:tcMar>
              <w:top w:type="dxa" w:w="70"/>
              <w:left w:type="dxa" w:w="110"/>
              <w:bottom w:type="dxa" w:w="70"/>
              <w:right w:type="dxa" w:w="110"/>
            </w:tcMar>
            <w:vAlign w:val="top"/>
          </w:tcPr>
          <w:p>
            <w:pPr>
              <w:spacing w:after="40"/>
            </w:pPr>
            <w:r>
              <w:rPr>
                <w:b w:val="false"/>
                <w:bCs w:val="false"/>
                <w:sz w:val="19"/>
                <w:szCs w:val="19"/>
              </w:rPr>
              <w:t xml:space="preserve">As 03, over a WhatsApp voice or video call.</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05</w:t>
            </w:r>
          </w:p>
        </w:tc>
        <w:tc>
          <w:tcPr>
            <w:tcW w:type="dxa" w:w="3294"/>
            <w:tcMar>
              <w:top w:type="dxa" w:w="70"/>
              <w:left w:type="dxa" w:w="110"/>
              <w:bottom w:type="dxa" w:w="70"/>
              <w:right w:type="dxa" w:w="110"/>
            </w:tcMar>
            <w:vAlign w:val="top"/>
          </w:tcPr>
          <w:p>
            <w:pPr>
              <w:spacing w:after="40"/>
            </w:pPr>
            <w:r>
              <w:rPr>
                <w:b w:val="false"/>
                <w:bCs w:val="false"/>
                <w:sz w:val="19"/>
                <w:szCs w:val="19"/>
              </w:rPr>
              <w:t xml:space="preserve">Video call, interviewer-assisted</w:t>
            </w:r>
          </w:p>
        </w:tc>
        <w:tc>
          <w:tcPr>
            <w:tcW w:type="dxa" w:w="5177"/>
            <w:tcMar>
              <w:top w:type="dxa" w:w="70"/>
              <w:left w:type="dxa" w:w="110"/>
              <w:bottom w:type="dxa" w:w="70"/>
              <w:right w:type="dxa" w:w="110"/>
            </w:tcMar>
            <w:vAlign w:val="top"/>
          </w:tcPr>
          <w:p>
            <w:pPr>
              <w:spacing w:after="40"/>
            </w:pPr>
            <w:r>
              <w:rPr>
                <w:b w:val="false"/>
                <w:bCs w:val="false"/>
                <w:sz w:val="19"/>
                <w:szCs w:val="19"/>
              </w:rPr>
              <w:t xml:space="preserve">As 03, over Teams, Zoom or Google Meet.</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06</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Face to face</w:t>
            </w:r>
          </w:p>
        </w:tc>
        <w:tc>
          <w:tcPr>
            <w:tcW w:type="dxa" w:w="5177"/>
            <w:shd w:fill="F8FAFB" w:color="auto" w:val="clear"/>
            <w:tcMar>
              <w:top w:type="dxa" w:w="70"/>
              <w:left w:type="dxa" w:w="110"/>
              <w:bottom w:type="dxa" w:w="70"/>
              <w:right w:type="dxa" w:w="110"/>
            </w:tcMar>
            <w:vAlign w:val="top"/>
          </w:tcPr>
          <w:p>
            <w:pPr>
              <w:spacing w:after="40"/>
            </w:pPr>
            <w:r>
              <w:rPr>
                <w:b w:val="false"/>
                <w:bCs w:val="false"/>
                <w:sz w:val="19"/>
                <w:szCs w:val="19"/>
              </w:rPr>
              <w:t xml:space="preserve">In person; the researcher operates the device.</w:t>
            </w:r>
          </w:p>
        </w:tc>
      </w:tr>
    </w:tbl>
    <w:p>
      <w:pPr>
        <w:spacing w:after="120"/>
      </w:pPr>
    </w:p>
    <w:sectPr>
      <w:headerReference w:type="default" r:id="rId7"/>
      <w:headerReference w:type="first" r:id="rId8"/>
      <w:footerReference w:type="default" r:id="rId9"/>
      <w:footerReference w:type="first" r:id="rId10"/>
      <w:pgSz w:w="11906" w:h="16838" w:orient="portrait"/>
      <w:pgMar w:top="1300" w:right="1247" w:bottom="1200"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12"/>
      </w:tabs>
    </w:pPr>
    <w:r>
      <w:rPr>
        <w:color w:val="5B6670"/>
        <w:sz w:val="16"/>
        <w:szCs w:val="16"/>
      </w:rPr>
      <w:t xml:space="preserve">Version 1.42 · 14 October 2026</w:t>
    </w:r>
    <w:r>
      <w:rPr>
        <w:color w:val="5B667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0" w:sz="4" w:space="4"/>
      </w:pBdr>
      <w:tabs>
        <w:tab w:val="right" w:pos="9412"/>
      </w:tabs>
    </w:pPr>
    <w:r>
      <w:rPr>
        <w:b/>
        <w:bCs/>
        <w:color w:val="1B3350"/>
        <w:sz w:val="16"/>
        <w:szCs w:val="16"/>
      </w:rPr>
      <w:t xml:space="preserve">ABF-FST DIGITAL RESPONDENT PORTAL</w:t>
    </w:r>
    <w:r>
      <w:rPr>
        <w:color w:val="5B6670"/>
        <w:sz w:val="16"/>
        <w:szCs w:val="16"/>
      </w:rPr>
      <w:t xml:space="preserve">	System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460" w:hanging="360"/>
      </w:pPr>
      <w:rPr>
        <w:b/>
        <w:bCs/>
        <w:color w:val="A67C27"/>
      </w:rPr>
    </w:lvl>
  </w:abstractNum>
  <w:abstractNum w:abstractNumId="4" w15:restartNumberingAfterBreak="0">
    <w:multiLevelType w:val="hybridMultilevel"/>
    <w:lvl w:ilvl="0" w15:tentative="1">
      <w:start w:val="1"/>
      <w:numFmt w:val="decimal"/>
      <w:lvlText w:val="%1."/>
      <w:lvlJc w:val="left"/>
      <w:pPr>
        <w:ind w:left="460" w:hanging="360"/>
      </w:pPr>
      <w:rPr>
        <w:b/>
        <w:bCs/>
        <w:color w:val="A67C27"/>
      </w:rPr>
    </w:lvl>
  </w:abstractNum>
  <w:abstractNum w:abstractNumId="5" w15:restartNumberingAfterBreak="0">
    <w:multiLevelType w:val="hybridMultilevel"/>
    <w:lvl w:ilvl="0" w15:tentative="1">
      <w:start w:val="1"/>
      <w:numFmt w:val="decimal"/>
      <w:lvlText w:val="%1."/>
      <w:lvlJc w:val="left"/>
      <w:pPr>
        <w:ind w:left="460" w:hanging="360"/>
      </w:pPr>
      <w:rPr>
        <w:b/>
        <w:bCs/>
        <w:color w:val="A67C27"/>
      </w:rPr>
    </w:lvl>
  </w:abstractNum>
  <w:abstractNum w:abstractNumId="6" w15:restartNumberingAfterBreak="0">
    <w:multiLevelType w:val="hybridMultilevel"/>
    <w:lvl w:ilvl="0" w15:tentative="1">
      <w:start w:val="1"/>
      <w:numFmt w:val="decimal"/>
      <w:lvlText w:val="%1."/>
      <w:lvlJc w:val="left"/>
      <w:pPr>
        <w:ind w:left="460" w:hanging="360"/>
      </w:pPr>
      <w:rPr>
        <w:b/>
        <w:bCs/>
        <w:color w:val="A67C27"/>
      </w:rPr>
    </w:lvl>
  </w:abstractNum>
  <w:abstractNum w:abstractNumId="7" w15:restartNumberingAfterBreak="0">
    <w:multiLevelType w:val="hybridMultilevel"/>
    <w:lvl w:ilvl="0" w15:tentative="1">
      <w:start w:val="1"/>
      <w:numFmt w:val="decimal"/>
      <w:lvlText w:val="%1."/>
      <w:lvlJc w:val="left"/>
      <w:pPr>
        <w:ind w:left="460" w:hanging="360"/>
      </w:pPr>
      <w:rPr>
        <w:b/>
        <w:bCs/>
        <w:color w:val="A67C27"/>
      </w:rPr>
    </w:lvl>
  </w:abstractNum>
  <w:abstractNum w:abstractNumId="8" w15:restartNumberingAfterBreak="0">
    <w:multiLevelType w:val="hybridMultilevel"/>
    <w:lvl w:ilvl="0" w15:tentative="1">
      <w:start w:val="1"/>
      <w:numFmt w:val="decimal"/>
      <w:lvlText w:val="%1."/>
      <w:lvlJc w:val="left"/>
      <w:pPr>
        <w:ind w:left="460" w:hanging="360"/>
      </w:pPr>
      <w:rPr>
        <w:b/>
        <w:bCs/>
        <w:color w:val="A67C27"/>
      </w:rPr>
    </w:lvl>
  </w:abstractNum>
  <w:abstractNum w:abstractNumId="9" w15:restartNumberingAfterBreak="0">
    <w:multiLevelType w:val="hybridMultilevel"/>
    <w:lvl w:ilvl="0" w15:tentative="1">
      <w:start w:val="1"/>
      <w:numFmt w:val="decimal"/>
      <w:lvlText w:val="%1."/>
      <w:lvlJc w:val="left"/>
      <w:pPr>
        <w:ind w:left="460" w:hanging="360"/>
      </w:pPr>
      <w:rPr>
        <w:b/>
        <w:bCs/>
        <w:color w:val="A67C27"/>
      </w:rPr>
    </w:lvl>
  </w:abstractNum>
  <w:abstractNum w:abstractNumId="10" w15:restartNumberingAfterBreak="0">
    <w:multiLevelType w:val="hybridMultilevel"/>
    <w:lvl w:ilvl="0" w15:tentative="1">
      <w:start w:val="1"/>
      <w:numFmt w:val="decimal"/>
      <w:lvlText w:val="%1."/>
      <w:lvlJc w:val="left"/>
      <w:pPr>
        <w:ind w:left="460" w:hanging="360"/>
      </w:pPr>
      <w:rPr>
        <w:b/>
        <w:bCs/>
        <w:color w:val="A67C27"/>
      </w:rPr>
    </w:lvl>
  </w:abstractNum>
  <w:abstractNum w:abstractNumId="11" w15:restartNumberingAfterBreak="0">
    <w:multiLevelType w:val="hybridMultilevel"/>
    <w:lvl w:ilvl="0" w15:tentative="1">
      <w:start w:val="1"/>
      <w:numFmt w:val="decimal"/>
      <w:lvlText w:val="%1."/>
      <w:lvlJc w:val="left"/>
      <w:pPr>
        <w:ind w:left="460" w:hanging="360"/>
      </w:pPr>
      <w:rPr>
        <w:b/>
        <w:bCs/>
        <w:color w:val="A67C27"/>
      </w:rPr>
    </w:lvl>
  </w:abstractNum>
  <w:abstractNum w:abstractNumId="12" w15:restartNumberingAfterBreak="0">
    <w:multiLevelType w:val="hybridMultilevel"/>
    <w:lvl w:ilvl="0" w15:tentative="1">
      <w:start w:val="1"/>
      <w:numFmt w:val="decimal"/>
      <w:lvlText w:val="%1."/>
      <w:lvlJc w:val="left"/>
      <w:pPr>
        <w:ind w:left="460" w:hanging="360"/>
      </w:pPr>
      <w:rPr>
        <w:b/>
        <w:bCs/>
        <w:color w:val="A67C27"/>
      </w:rPr>
    </w:lvl>
  </w:abstractNum>
  <w:abstractNum w:abstractNumId="13" w15:restartNumberingAfterBreak="0">
    <w:multiLevelType w:val="hybridMultilevel"/>
    <w:lvl w:ilvl="0" w15:tentative="1">
      <w:start w:val="1"/>
      <w:numFmt w:val="decimal"/>
      <w:lvlText w:val="%1."/>
      <w:lvlJc w:val="left"/>
      <w:pPr>
        <w:ind w:left="460" w:hanging="360"/>
      </w:pPr>
      <w:rPr>
        <w:b/>
        <w:bCs/>
        <w:color w:val="A67C27"/>
      </w:rPr>
    </w:lvl>
  </w:abstractNum>
  <w:abstractNum w:abstractNumId="14" w15:restartNumberingAfterBreak="0">
    <w:multiLevelType w:val="hybridMultilevel"/>
    <w:lvl w:ilvl="0" w15:tentative="1">
      <w:start w:val="1"/>
      <w:numFmt w:val="decimal"/>
      <w:lvlText w:val="%1."/>
      <w:lvlJc w:val="left"/>
      <w:pPr>
        <w:ind w:left="460" w:hanging="360"/>
      </w:pPr>
      <w:rPr>
        <w:b/>
        <w:bCs/>
        <w:color w:val="A67C27"/>
      </w:rPr>
    </w:lvl>
  </w:abstractNum>
  <w:abstractNum w:abstractNumId="15" w15:restartNumberingAfterBreak="0">
    <w:multiLevelType w:val="hybridMultilevel"/>
    <w:lvl w:ilvl="0" w15:tentative="1">
      <w:start w:val="1"/>
      <w:numFmt w:val="decimal"/>
      <w:lvlText w:val="%1."/>
      <w:lvlJc w:val="left"/>
      <w:pPr>
        <w:ind w:left="460" w:hanging="360"/>
      </w:pPr>
      <w:rPr>
        <w:b/>
        <w:bCs/>
        <w:color w:val="A67C27"/>
      </w:rPr>
    </w:lvl>
  </w:abstractNum>
  <w:abstractNum w:abstractNumId="16" w15:restartNumberingAfterBreak="0">
    <w:multiLevelType w:val="hybridMultilevel"/>
    <w:lvl w:ilvl="0" w15:tentative="1">
      <w:start w:val="1"/>
      <w:numFmt w:val="decimal"/>
      <w:lvlText w:val="%1."/>
      <w:lvlJc w:val="left"/>
      <w:pPr>
        <w:ind w:left="460" w:hanging="360"/>
      </w:pPr>
      <w:rPr>
        <w:b/>
        <w:bCs/>
        <w:color w:val="A67C27"/>
      </w:rPr>
    </w:lvl>
  </w:abstractNum>
  <w:abstractNum w:abstractNumId="17" w15:restartNumberingAfterBreak="0">
    <w:multiLevelType w:val="hybridMultilevel"/>
    <w:lvl w:ilvl="0" w15:tentative="1">
      <w:start w:val="1"/>
      <w:numFmt w:val="decimal"/>
      <w:lvlText w:val="%1."/>
      <w:lvlJc w:val="left"/>
      <w:pPr>
        <w:ind w:left="460" w:hanging="360"/>
      </w:pPr>
      <w:rPr>
        <w:b/>
        <w:bCs/>
        <w:color w:val="A67C27"/>
      </w:rPr>
    </w:lvl>
  </w:abstractNum>
  <w:abstractNum w:abstractNumId="18" w15:restartNumberingAfterBreak="0">
    <w:multiLevelType w:val="hybridMultilevel"/>
    <w:lvl w:ilvl="0" w15:tentative="1">
      <w:start w:val="1"/>
      <w:numFmt w:val="decimal"/>
      <w:lvlText w:val="%1."/>
      <w:lvlJc w:val="left"/>
      <w:pPr>
        <w:ind w:left="460" w:hanging="360"/>
      </w:pPr>
      <w:rPr>
        <w:b/>
        <w:bCs/>
        <w:color w:val="A67C27"/>
      </w:rPr>
    </w:lvl>
  </w:abstractNum>
  <w:abstractNum w:abstractNumId="19" w15:restartNumberingAfterBreak="0">
    <w:multiLevelType w:val="hybridMultilevel"/>
    <w:lvl w:ilvl="0" w15:tentative="1">
      <w:start w:val="1"/>
      <w:numFmt w:val="decimal"/>
      <w:lvlText w:val="%1."/>
      <w:lvlJc w:val="left"/>
      <w:pPr>
        <w:ind w:left="460" w:hanging="360"/>
      </w:pPr>
      <w:rPr>
        <w:b/>
        <w:bCs/>
        <w:color w:val="A67C27"/>
      </w:rPr>
    </w:lvl>
  </w:abstractNum>
  <w:abstractNum w:abstractNumId="20" w15:restartNumberingAfterBreak="0">
    <w:multiLevelType w:val="hybridMultilevel"/>
    <w:lvl w:ilvl="0" w15:tentative="1">
      <w:start w:val="1"/>
      <w:numFmt w:val="decimal"/>
      <w:lvlText w:val="%1."/>
      <w:lvlJc w:val="left"/>
      <w:pPr>
        <w:ind w:left="460" w:hanging="360"/>
      </w:pPr>
      <w:rPr>
        <w:b/>
        <w:bCs/>
        <w:color w:val="A67C27"/>
      </w:rPr>
    </w:lvl>
  </w:abstractNum>
  <w:abstractNum w:abstractNumId="21" w15:restartNumberingAfterBreak="0">
    <w:multiLevelType w:val="hybridMultilevel"/>
    <w:lvl w:ilvl="0" w15:tentative="1">
      <w:start w:val="1"/>
      <w:numFmt w:val="decimal"/>
      <w:lvlText w:val="%1."/>
      <w:lvlJc w:val="left"/>
      <w:pPr>
        <w:ind w:left="460" w:hanging="360"/>
      </w:pPr>
      <w:rPr>
        <w:b/>
        <w:bCs/>
        <w:color w:val="A67C27"/>
      </w:rPr>
    </w:lvl>
  </w:abstractNum>
  <w:abstractNum w:abstractNumId="22" w15:restartNumberingAfterBreak="0">
    <w:multiLevelType w:val="hybridMultilevel"/>
    <w:lvl w:ilvl="0" w15:tentative="1">
      <w:start w:val="1"/>
      <w:numFmt w:val="decimal"/>
      <w:lvlText w:val="%1."/>
      <w:lvlJc w:val="left"/>
      <w:pPr>
        <w:ind w:left="460" w:hanging="360"/>
      </w:pPr>
      <w:rPr>
        <w:b/>
        <w:bCs/>
        <w:color w:val="A67C27"/>
      </w:rPr>
    </w:lvl>
  </w:abstractNum>
  <w:abstractNum w:abstractNumId="23" w15:restartNumberingAfterBreak="0">
    <w:multiLevelType w:val="hybridMultilevel"/>
    <w:lvl w:ilvl="0" w15:tentative="1">
      <w:start w:val="1"/>
      <w:numFmt w:val="decimal"/>
      <w:lvlText w:val="%1."/>
      <w:lvlJc w:val="left"/>
      <w:pPr>
        <w:ind w:left="460" w:hanging="360"/>
      </w:pPr>
      <w:rPr>
        <w:b/>
        <w:bCs/>
        <w:color w:val="A67C27"/>
      </w:rPr>
    </w:lvl>
  </w:abstractNum>
  <w:abstractNum w:abstractNumId="24" w15:restartNumberingAfterBreak="0">
    <w:multiLevelType w:val="hybridMultilevel"/>
    <w:lvl w:ilvl="0" w15:tentative="1">
      <w:start w:val="1"/>
      <w:numFmt w:val="decimal"/>
      <w:lvlText w:val="%1."/>
      <w:lvlJc w:val="left"/>
      <w:pPr>
        <w:ind w:left="460" w:hanging="360"/>
      </w:pPr>
      <w:rPr>
        <w:b/>
        <w:bCs/>
        <w:color w:val="A67C27"/>
      </w:rPr>
    </w:lvl>
  </w:abstractNum>
  <w:abstractNum w:abstractNumId="25" w15:restartNumberingAfterBreak="0">
    <w:multiLevelType w:val="hybridMultilevel"/>
    <w:lvl w:ilvl="0" w15:tentative="1">
      <w:start w:val="1"/>
      <w:numFmt w:val="decimal"/>
      <w:lvlText w:val="%1."/>
      <w:lvlJc w:val="left"/>
      <w:pPr>
        <w:ind w:left="460" w:hanging="360"/>
      </w:pPr>
      <w:rPr>
        <w:b/>
        <w:bCs/>
        <w:color w:val="A67C27"/>
      </w:rPr>
    </w:lvl>
  </w:abstractNum>
  <w:abstractNum w:abstractNumId="26" w15:restartNumberingAfterBreak="0">
    <w:multiLevelType w:val="hybridMultilevel"/>
    <w:lvl w:ilvl="0" w15:tentative="1">
      <w:start w:val="1"/>
      <w:numFmt w:val="decimal"/>
      <w:lvlText w:val="%1."/>
      <w:lvlJc w:val="left"/>
      <w:pPr>
        <w:ind w:left="460" w:hanging="360"/>
      </w:pPr>
      <w:rPr>
        <w:b/>
        <w:bCs/>
        <w:color w:val="A67C27"/>
      </w:rPr>
    </w:lvl>
  </w:abstractNum>
  <w:abstractNum w:abstractNumId="27" w15:restartNumberingAfterBreak="0">
    <w:multiLevelType w:val="hybridMultilevel"/>
    <w:lvl w:ilvl="0" w15:tentative="1">
      <w:start w:val="1"/>
      <w:numFmt w:val="decimal"/>
      <w:lvlText w:val="%1."/>
      <w:lvlJc w:val="left"/>
      <w:pPr>
        <w:ind w:left="460" w:hanging="360"/>
      </w:pPr>
      <w:rPr>
        <w:b/>
        <w:bCs/>
        <w:color w:val="A67C27"/>
      </w:rPr>
    </w:lvl>
  </w:abstractNum>
  <w:abstractNum w:abstractNumId="28" w15:restartNumberingAfterBreak="0">
    <w:multiLevelType w:val="hybridMultilevel"/>
    <w:lvl w:ilvl="0" w15:tentative="1">
      <w:start w:val="1"/>
      <w:numFmt w:val="decimal"/>
      <w:lvlText w:val="%1."/>
      <w:lvlJc w:val="left"/>
      <w:pPr>
        <w:ind w:left="460" w:hanging="360"/>
      </w:pPr>
      <w:rPr>
        <w:b/>
        <w:bCs/>
        <w:color w:val="A67C27"/>
      </w:rPr>
    </w:lvl>
  </w:abstractNum>
  <w:abstractNum w:abstractNumId="29" w15:restartNumberingAfterBreak="0">
    <w:multiLevelType w:val="hybridMultilevel"/>
    <w:lvl w:ilvl="0" w15:tentative="1">
      <w:start w:val="1"/>
      <w:numFmt w:val="decimal"/>
      <w:lvlText w:val="%1."/>
      <w:lvlJc w:val="left"/>
      <w:pPr>
        <w:ind w:left="460" w:hanging="360"/>
      </w:pPr>
      <w:rPr>
        <w:b/>
        <w:bCs/>
        <w:color w:val="A67C27"/>
      </w:rPr>
    </w:lvl>
  </w:abstractNum>
  <w:abstractNum w:abstractNumId="30" w15:restartNumberingAfterBreak="0">
    <w:multiLevelType w:val="hybridMultilevel"/>
    <w:lvl w:ilvl="0" w15:tentative="1">
      <w:start w:val="1"/>
      <w:numFmt w:val="decimal"/>
      <w:lvlText w:val="%1."/>
      <w:lvlJc w:val="left"/>
      <w:pPr>
        <w:ind w:left="460" w:hanging="360"/>
      </w:pPr>
      <w:rPr>
        <w:b/>
        <w:bCs/>
        <w:color w:val="A67C27"/>
      </w:rPr>
    </w:lvl>
  </w:abstractNum>
  <w:abstractNum w:abstractNumId="31" w15:restartNumberingAfterBreak="0">
    <w:multiLevelType w:val="hybridMultilevel"/>
    <w:lvl w:ilvl="0" w15:tentative="1">
      <w:start w:val="1"/>
      <w:numFmt w:val="decimal"/>
      <w:lvlText w:val="%1."/>
      <w:lvlJc w:val="left"/>
      <w:pPr>
        <w:ind w:left="460" w:hanging="360"/>
      </w:pPr>
      <w:rPr>
        <w:b/>
        <w:bCs/>
        <w:color w:val="A67C27"/>
      </w:rPr>
    </w:lvl>
  </w:abstractNum>
  <w:abstractNum w:abstractNumId="32" w15:restartNumberingAfterBreak="0">
    <w:multiLevelType w:val="hybridMultilevel"/>
    <w:lvl w:ilvl="0" w15:tentative="1">
      <w:start w:val="1"/>
      <w:numFmt w:val="decimal"/>
      <w:lvlText w:val="%1."/>
      <w:lvlJc w:val="left"/>
      <w:pPr>
        <w:ind w:left="460" w:hanging="360"/>
      </w:pPr>
      <w:rPr>
        <w:b/>
        <w:bCs/>
        <w:color w:val="A67C27"/>
      </w:rPr>
    </w:lvl>
  </w:abstractNum>
  <w:abstractNum w:abstractNumId="33" w15:restartNumberingAfterBreak="0">
    <w:multiLevelType w:val="hybridMultilevel"/>
    <w:lvl w:ilvl="0" w15:tentative="1">
      <w:start w:val="1"/>
      <w:numFmt w:val="decimal"/>
      <w:lvlText w:val="%1."/>
      <w:lvlJc w:val="left"/>
      <w:pPr>
        <w:ind w:left="460" w:hanging="360"/>
      </w:pPr>
      <w:rPr>
        <w:b/>
        <w:bCs/>
        <w:color w:val="A67C27"/>
      </w:rPr>
    </w:lvl>
  </w:abstractNum>
  <w:abstractNum w:abstractNumId="34" w15:restartNumberingAfterBreak="0">
    <w:multiLevelType w:val="hybridMultilevel"/>
    <w:lvl w:ilvl="0" w15:tentative="1">
      <w:start w:val="1"/>
      <w:numFmt w:val="decimal"/>
      <w:lvlText w:val="%1."/>
      <w:lvlJc w:val="left"/>
      <w:pPr>
        <w:ind w:left="460" w:hanging="360"/>
      </w:pPr>
      <w:rPr>
        <w:b/>
        <w:bCs/>
        <w:color w:val="A67C27"/>
      </w:rPr>
    </w:lvl>
  </w:abstractNum>
  <w:abstractNum w:abstractNumId="35" w15:restartNumberingAfterBreak="0">
    <w:multiLevelType w:val="hybridMultilevel"/>
    <w:lvl w:ilvl="0" w15:tentative="1">
      <w:start w:val="1"/>
      <w:numFmt w:val="decimal"/>
      <w:lvlText w:val="%1."/>
      <w:lvlJc w:val="left"/>
      <w:pPr>
        <w:ind w:left="460" w:hanging="360"/>
      </w:pPr>
      <w:rPr>
        <w:b/>
        <w:bCs/>
        <w:color w:val="A67C27"/>
      </w:rPr>
    </w:lvl>
  </w:abstractNum>
  <w:abstractNum w:abstractNumId="36" w15:restartNumberingAfterBreak="0">
    <w:multiLevelType w:val="hybridMultilevel"/>
    <w:lvl w:ilvl="0" w15:tentative="1">
      <w:start w:val="1"/>
      <w:numFmt w:val="decimal"/>
      <w:lvlText w:val="%1."/>
      <w:lvlJc w:val="left"/>
      <w:pPr>
        <w:ind w:left="460" w:hanging="360"/>
      </w:pPr>
      <w:rPr>
        <w:b/>
        <w:bCs/>
        <w:color w:val="A67C27"/>
      </w:rPr>
    </w:lvl>
  </w:abstractNum>
  <w:abstractNum w:abstractNumId="37" w15:restartNumberingAfterBreak="0">
    <w:multiLevelType w:val="hybridMultilevel"/>
    <w:lvl w:ilvl="0" w15:tentative="1">
      <w:start w:val="1"/>
      <w:numFmt w:val="decimal"/>
      <w:lvlText w:val="%1."/>
      <w:lvlJc w:val="left"/>
      <w:pPr>
        <w:ind w:left="460" w:hanging="360"/>
      </w:pPr>
      <w:rPr>
        <w:b/>
        <w:bCs/>
        <w:color w:val="A67C27"/>
      </w:rPr>
    </w:lvl>
  </w:abstractNum>
  <w:abstractNum w:abstractNumId="38" w15:restartNumberingAfterBreak="0">
    <w:multiLevelType w:val="hybridMultilevel"/>
    <w:lvl w:ilvl="0" w15:tentative="1">
      <w:start w:val="1"/>
      <w:numFmt w:val="decimal"/>
      <w:lvlText w:val="%1."/>
      <w:lvlJc w:val="left"/>
      <w:pPr>
        <w:ind w:left="460" w:hanging="360"/>
      </w:pPr>
      <w:rPr>
        <w:b/>
        <w:bCs/>
        <w:color w:val="A67C27"/>
      </w:rPr>
    </w:lvl>
  </w:abstractNum>
  <w:abstractNum w:abstractNumId="39" w15:restartNumberingAfterBreak="0">
    <w:multiLevelType w:val="hybridMultilevel"/>
    <w:lvl w:ilvl="0" w15:tentative="1">
      <w:start w:val="1"/>
      <w:numFmt w:val="decimal"/>
      <w:lvlText w:val="%1."/>
      <w:lvlJc w:val="left"/>
      <w:pPr>
        <w:ind w:left="460" w:hanging="360"/>
      </w:pPr>
      <w:rPr>
        <w:b/>
        <w:bCs/>
        <w:color w:val="A67C27"/>
      </w:rPr>
    </w:lvl>
  </w:abstractNum>
  <w:abstractNum w:abstractNumId="40" w15:restartNumberingAfterBreak="0">
    <w:multiLevelType w:val="hybridMultilevel"/>
    <w:lvl w:ilvl="0" w15:tentative="1">
      <w:start w:val="1"/>
      <w:numFmt w:val="decimal"/>
      <w:lvlText w:val="%1."/>
      <w:lvlJc w:val="left"/>
      <w:pPr>
        <w:ind w:left="460" w:hanging="360"/>
      </w:pPr>
      <w:rPr>
        <w:b/>
        <w:bCs/>
        <w:color w:val="A67C27"/>
      </w:rPr>
    </w:lvl>
  </w:abstractNum>
  <w:abstractNum w:abstractNumId="41" w15:restartNumberingAfterBreak="0">
    <w:multiLevelType w:val="hybridMultilevel"/>
    <w:lvl w:ilvl="0" w15:tentative="1">
      <w:start w:val="1"/>
      <w:numFmt w:val="decimal"/>
      <w:lvlText w:val="%1."/>
      <w:lvlJc w:val="left"/>
      <w:pPr>
        <w:ind w:left="460" w:hanging="360"/>
      </w:pPr>
      <w:rPr>
        <w:b/>
        <w:bCs/>
        <w:color w:val="A67C27"/>
      </w:rPr>
    </w:lvl>
  </w:abstractNum>
  <w:abstractNum w:abstractNumId="42" w15:restartNumberingAfterBreak="0">
    <w:multiLevelType w:val="hybridMultilevel"/>
    <w:lvl w:ilvl="0" w15:tentative="1">
      <w:start w:val="1"/>
      <w:numFmt w:val="decimal"/>
      <w:lvlText w:val="%1."/>
      <w:lvlJc w:val="left"/>
      <w:pPr>
        <w:ind w:left="460" w:hanging="360"/>
      </w:pPr>
      <w:rPr>
        <w:b/>
        <w:bCs/>
        <w:color w:val="A67C27"/>
      </w:rPr>
    </w:lvl>
  </w:abstractNum>
  <w:abstractNum w:abstractNumId="43" w15:restartNumberingAfterBreak="0">
    <w:multiLevelType w:val="hybridMultilevel"/>
    <w:lvl w:ilvl="0" w15:tentative="1">
      <w:start w:val="1"/>
      <w:numFmt w:val="decimal"/>
      <w:lvlText w:val="%1."/>
      <w:lvlJc w:val="left"/>
      <w:pPr>
        <w:ind w:left="460" w:hanging="360"/>
      </w:pPr>
      <w:rPr>
        <w:b/>
        <w:bCs/>
        <w:color w:val="A67C27"/>
      </w:rPr>
    </w:lvl>
  </w:abstractNum>
  <w:abstractNum w:abstractNumId="44" w15:restartNumberingAfterBreak="0">
    <w:multiLevelType w:val="hybridMultilevel"/>
    <w:lvl w:ilvl="0" w15:tentative="1">
      <w:start w:val="1"/>
      <w:numFmt w:val="decimal"/>
      <w:lvlText w:val="%1."/>
      <w:lvlJc w:val="left"/>
      <w:pPr>
        <w:ind w:left="460" w:hanging="360"/>
      </w:pPr>
      <w:rPr>
        <w:b/>
        <w:bCs/>
        <w:color w:val="A67C27"/>
      </w:rPr>
    </w:lvl>
  </w:abstractNum>
  <w:abstractNum w:abstractNumId="45" w15:restartNumberingAfterBreak="0">
    <w:multiLevelType w:val="hybridMultilevel"/>
    <w:lvl w:ilvl="0" w15:tentative="1">
      <w:start w:val="1"/>
      <w:numFmt w:val="decimal"/>
      <w:lvlText w:val="%1."/>
      <w:lvlJc w:val="left"/>
      <w:pPr>
        <w:ind w:left="460" w:hanging="360"/>
      </w:pPr>
      <w:rPr>
        <w:b/>
        <w:bCs/>
        <w:color w:val="A67C27"/>
      </w:rPr>
    </w:lvl>
  </w:abstractNum>
  <w:abstractNum w:abstractNumId="46" w15:restartNumberingAfterBreak="0">
    <w:multiLevelType w:val="hybridMultilevel"/>
    <w:lvl w:ilvl="0" w15:tentative="1">
      <w:start w:val="1"/>
      <w:numFmt w:val="decimal"/>
      <w:lvlText w:val="%1."/>
      <w:lvlJc w:val="left"/>
      <w:pPr>
        <w:ind w:left="460" w:hanging="360"/>
      </w:pPr>
      <w:rPr>
        <w:b/>
        <w:bCs/>
        <w:color w:val="A67C27"/>
      </w:rPr>
    </w:lvl>
  </w:abstractNum>
  <w:abstractNum w:abstractNumId="47" w15:restartNumberingAfterBreak="0">
    <w:multiLevelType w:val="hybridMultilevel"/>
    <w:lvl w:ilvl="0" w15:tentative="1">
      <w:start w:val="1"/>
      <w:numFmt w:val="decimal"/>
      <w:lvlText w:val="%1."/>
      <w:lvlJc w:val="left"/>
      <w:pPr>
        <w:ind w:left="460" w:hanging="360"/>
      </w:pPr>
      <w:rPr>
        <w:b/>
        <w:bCs/>
        <w:color w:val="A67C27"/>
      </w:rPr>
    </w:lvl>
  </w:abstractNum>
  <w:abstractNum w:abstractNumId="48" w15:restartNumberingAfterBreak="0">
    <w:multiLevelType w:val="hybridMultilevel"/>
    <w:lvl w:ilvl="0" w15:tentative="1">
      <w:start w:val="1"/>
      <w:numFmt w:val="decimal"/>
      <w:lvlText w:val="%1."/>
      <w:lvlJc w:val="left"/>
      <w:pPr>
        <w:ind w:left="460" w:hanging="360"/>
      </w:pPr>
      <w:rPr>
        <w:b/>
        <w:bCs/>
        <w:color w:val="A67C27"/>
      </w:rPr>
    </w:lvl>
  </w:abstractNum>
  <w:abstractNum w:abstractNumId="49" w15:restartNumberingAfterBreak="0">
    <w:multiLevelType w:val="hybridMultilevel"/>
    <w:lvl w:ilvl="0" w15:tentative="1">
      <w:start w:val="1"/>
      <w:numFmt w:val="decimal"/>
      <w:lvlText w:val="%1."/>
      <w:lvlJc w:val="left"/>
      <w:pPr>
        <w:ind w:left="460" w:hanging="360"/>
      </w:pPr>
      <w:rPr>
        <w:b/>
        <w:bCs/>
        <w:color w:val="A67C27"/>
      </w:rPr>
    </w:lvl>
  </w:abstractNum>
  <w:abstractNum w:abstractNumId="50" w15:restartNumberingAfterBreak="0">
    <w:multiLevelType w:val="hybridMultilevel"/>
    <w:lvl w:ilvl="0" w15:tentative="1">
      <w:start w:val="1"/>
      <w:numFmt w:val="decimal"/>
      <w:lvlText w:val="%1."/>
      <w:lvlJc w:val="left"/>
      <w:pPr>
        <w:ind w:left="460" w:hanging="360"/>
      </w:pPr>
      <w:rPr>
        <w:b/>
        <w:bCs/>
        <w:color w:val="A67C27"/>
      </w:rPr>
    </w:lvl>
  </w:abstractNum>
  <w:abstractNum w:abstractNumId="51" w15:restartNumberingAfterBreak="0">
    <w:multiLevelType w:val="hybridMultilevel"/>
    <w:lvl w:ilvl="0" w15:tentative="1">
      <w:start w:val="1"/>
      <w:numFmt w:val="decimal"/>
      <w:lvlText w:val="%1."/>
      <w:lvlJc w:val="left"/>
      <w:pPr>
        <w:ind w:left="460" w:hanging="360"/>
      </w:pPr>
      <w:rPr>
        <w:b/>
        <w:bCs/>
        <w:color w:val="A67C27"/>
      </w:rPr>
    </w:lvl>
  </w:abstractNum>
  <w:abstractNum w:abstractNumId="52" w15:restartNumberingAfterBreak="0">
    <w:multiLevelType w:val="hybridMultilevel"/>
    <w:lvl w:ilvl="0" w15:tentative="1">
      <w:start w:val="1"/>
      <w:numFmt w:val="decimal"/>
      <w:lvlText w:val="%1."/>
      <w:lvlJc w:val="left"/>
      <w:pPr>
        <w:ind w:left="460" w:hanging="360"/>
      </w:pPr>
      <w:rPr>
        <w:b/>
        <w:bCs/>
        <w:color w:val="A67C27"/>
      </w:rPr>
    </w:lvl>
  </w:abstractNum>
  <w:abstractNum w:abstractNumId="53" w15:restartNumberingAfterBreak="0">
    <w:multiLevelType w:val="hybridMultilevel"/>
    <w:lvl w:ilvl="0" w15:tentative="1">
      <w:start w:val="1"/>
      <w:numFmt w:val="decimal"/>
      <w:lvlText w:val="%1."/>
      <w:lvlJc w:val="left"/>
      <w:pPr>
        <w:ind w:left="460" w:hanging="360"/>
      </w:pPr>
      <w:rPr>
        <w:b/>
        <w:bCs/>
        <w:color w:val="A67C27"/>
      </w:rPr>
    </w:lvl>
  </w:abstractNum>
  <w:abstractNum w:abstractNumId="54" w15:restartNumberingAfterBreak="0">
    <w:multiLevelType w:val="hybridMultilevel"/>
    <w:lvl w:ilvl="0" w15:tentative="1">
      <w:start w:val="1"/>
      <w:numFmt w:val="decimal"/>
      <w:lvlText w:val="%1."/>
      <w:lvlJc w:val="left"/>
      <w:pPr>
        <w:ind w:left="460" w:hanging="360"/>
      </w:pPr>
      <w:rPr>
        <w:b/>
        <w:bCs/>
        <w:color w:val="A67C27"/>
      </w:rPr>
    </w:lvl>
  </w:abstractNum>
  <w:abstractNum w:abstractNumId="55" w15:restartNumberingAfterBreak="0">
    <w:multiLevelType w:val="hybridMultilevel"/>
    <w:lvl w:ilvl="0" w15:tentative="1">
      <w:start w:val="1"/>
      <w:numFmt w:val="decimal"/>
      <w:lvlText w:val="%1."/>
      <w:lvlJc w:val="left"/>
      <w:pPr>
        <w:ind w:left="460" w:hanging="360"/>
      </w:pPr>
      <w:rPr>
        <w:b/>
        <w:bCs/>
        <w:color w:val="A67C27"/>
      </w:rPr>
    </w:lvl>
  </w:abstractNum>
  <w:abstractNum w:abstractNumId="56" w15:restartNumberingAfterBreak="0">
    <w:multiLevelType w:val="hybridMultilevel"/>
    <w:lvl w:ilvl="0" w15:tentative="1">
      <w:start w:val="1"/>
      <w:numFmt w:val="decimal"/>
      <w:lvlText w:val="%1."/>
      <w:lvlJc w:val="left"/>
      <w:pPr>
        <w:ind w:left="460" w:hanging="360"/>
      </w:pPr>
      <w:rPr>
        <w:b/>
        <w:bCs/>
        <w:color w:val="A67C2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67C27" w:sz="8" w:space="6"/>
      </w:pBdr>
      <w:spacing w:after="200" w:before="120"/>
      <w:outlineLvl w:val="0"/>
    </w:pPr>
    <w:rPr>
      <w:rFonts w:ascii="Calibri" w:cs="Calibri" w:eastAsia="Calibri" w:hAnsi="Calibri"/>
      <w:b/>
      <w:bCs/>
      <w:color w:val="122238"/>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B3350"/>
      <w:sz w:val="28"/>
      <w:szCs w:val="28"/>
    </w:rPr>
  </w:style>
  <w:style w:type="paragraph" w:styleId="Heading3">
    <w:name w:val="Heading 3"/>
    <w:basedOn w:val="Normal"/>
    <w:next w:val="Normal"/>
    <w:qFormat/>
    <w:pPr>
      <w:keepNext/>
      <w:spacing w:after="80" w:before="220"/>
      <w:outlineLvl w:val="2"/>
    </w:pPr>
    <w:rPr>
      <w:rFonts w:ascii="Calibri" w:cs="Calibri" w:eastAsia="Calibri" w:hAnsi="Calibri"/>
      <w:b/>
      <w:bCs/>
      <w:color w:val="2228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4e471d4f07870139573dbd97627744b44e30a47.jpg"/><Relationship Id="rId12" Type="http://schemas.openxmlformats.org/officeDocument/2006/relationships/image" Target="media/596454ce8f5b2e091994d48a900d9b947c5abb86.jpg"/><Relationship Id="rId13" Type="http://schemas.openxmlformats.org/officeDocument/2006/relationships/image" Target="media/a3f7805e96c7ae82ae78d54e1822572086daa7f6.jpg"/><Relationship Id="rId14" Type="http://schemas.openxmlformats.org/officeDocument/2006/relationships/image" Target="media/e67a3b41ad31830d0a6d35510b8466d1c6a8ade6.jpg"/><Relationship Id="rId15" Type="http://schemas.openxmlformats.org/officeDocument/2006/relationships/image" Target="media/4ef61d24476971e5d35aa092425033da2b606591.jpg"/><Relationship Id="rId16" Type="http://schemas.openxmlformats.org/officeDocument/2006/relationships/image" Target="media/8846fda5f1a7342058793abd52d9ac03fa7d3fd5.jpg"/><Relationship Id="rId17" Type="http://schemas.openxmlformats.org/officeDocument/2006/relationships/image" Target="media/df019385ac02fc3bc9f45e187eae368a72a5363d.jpg"/><Relationship Id="rId18" Type="http://schemas.openxmlformats.org/officeDocument/2006/relationships/image" Target="media/a671ec339f0072aed32e873d6b83d4f85087c414.jpg"/><Relationship Id="rId19" Type="http://schemas.openxmlformats.org/officeDocument/2006/relationships/image" Target="media/e8f1830aa748f7916b6b366ed434fd99a351667f.jpg"/><Relationship Id="rId20" Type="http://schemas.openxmlformats.org/officeDocument/2006/relationships/image" Target="media/f062c1962ea1c83c7827a4e300ed3176a45ee053.jpg"/><Relationship Id="rId21" Type="http://schemas.openxmlformats.org/officeDocument/2006/relationships/image" Target="media/db1c58ec30bd25d6cdfc5a9d1b1981fd866cbc75.jpg"/><Relationship Id="rId22" Type="http://schemas.openxmlformats.org/officeDocument/2006/relationships/image" Target="media/cc4f959bc398dcad96c03df0c27b5941edae5b0c.jpg"/><Relationship Id="rId23" Type="http://schemas.openxmlformats.org/officeDocument/2006/relationships/image" Target="media/4d3c50bbd3774d9fab6ff84c843b793cff94ccf1.jpg"/><Relationship Id="rId24" Type="http://schemas.openxmlformats.org/officeDocument/2006/relationships/image" Target="media/1e757d05f0668d9c8964bc737e75cc4f13a77c39.jpg"/><Relationship Id="rId25" Type="http://schemas.openxmlformats.org/officeDocument/2006/relationships/image" Target="media/6bd9e8c8bd62a31ad686a6877a5005139c50ea7c.jpg"/><Relationship Id="rId26" Type="http://schemas.openxmlformats.org/officeDocument/2006/relationships/image" Target="media/0df8b87650df43f0163d04ca0d1666befd254073.jpg"/><Relationship Id="rId27" Type="http://schemas.openxmlformats.org/officeDocument/2006/relationships/image" Target="media/fc1bb911a479d206fae15d1be7de3779d6382f25.jpg"/><Relationship Id="rId28" Type="http://schemas.openxmlformats.org/officeDocument/2006/relationships/image" Target="media/51e08ceb12e27bba247b8e91a517c26439f11061.jpg"/><Relationship Id="rId29" Type="http://schemas.openxmlformats.org/officeDocument/2006/relationships/image" Target="media/4edb0e7f342465c561eec1cbce99a1e92cd50760.jpg"/><Relationship Id="rId30" Type="http://schemas.openxmlformats.org/officeDocument/2006/relationships/image" Target="media/aeb03538f4861c1892a516c49524165a7d2e0dd1.jpg"/><Relationship Id="rId31" Type="http://schemas.openxmlformats.org/officeDocument/2006/relationships/image" Target="media/78a5edc81e1f24d57d716107ff9f9a4db861f9d3.jpg"/><Relationship Id="rId32" Type="http://schemas.openxmlformats.org/officeDocument/2006/relationships/image" Target="media/7d2b62dfb7d7ff0d968e867e143e33403eee4643.jpg"/><Relationship Id="rId33" Type="http://schemas.openxmlformats.org/officeDocument/2006/relationships/image" Target="media/8caf4112704b66abfaea1431ba0f43469d6019a6.jpg"/><Relationship Id="rId34" Type="http://schemas.openxmlformats.org/officeDocument/2006/relationships/image" Target="media/44135e913076e42573f8cb3dbbc650339cf92059.jpg"/><Relationship Id="rId35" Type="http://schemas.openxmlformats.org/officeDocument/2006/relationships/image" Target="media/ba7ded731a830891ee5d7053c82840256c629d31.jpg"/><Relationship Id="rId36" Type="http://schemas.openxmlformats.org/officeDocument/2006/relationships/image" Target="media/816d7ad2d5b879fedcc912a2c642dcc739548ce2.jpg"/><Relationship Id="rId37" Type="http://schemas.openxmlformats.org/officeDocument/2006/relationships/image" Target="media/fbfc0e781ee459839812ba26eeffa28c72909d8b.jpg"/><Relationship Id="rId38" Type="http://schemas.openxmlformats.org/officeDocument/2006/relationships/image" Target="media/ccdf3c194b050a419e374412bcccdbbc06c9a88f.jpg"/><Relationship Id="rId39" Type="http://schemas.openxmlformats.org/officeDocument/2006/relationships/image" Target="media/b99c12b06b55cd851aae0d72ba6eec5b76f41581.jpg"/><Relationship Id="rId40" Type="http://schemas.openxmlformats.org/officeDocument/2006/relationships/image" Target="media/70b49bc59d9bf7ad3b4e53d4874146c337734b47.jpg"/><Relationship Id="rId41" Type="http://schemas.openxmlformats.org/officeDocument/2006/relationships/image" Target="media/b6bd74a0c6c46380ca20c3d5e4837ab0ba645637.jpg"/><Relationship Id="rId42" Type="http://schemas.openxmlformats.org/officeDocument/2006/relationships/image" Target="media/4153b66a524c5fc63b23a4188595d69892202180.jpg"/><Relationship Id="rId43" Type="http://schemas.openxmlformats.org/officeDocument/2006/relationships/image" Target="media/dc3b655000895ab866aae9e373014bcfcca20bb0.jpg"/><Relationship Id="rId44" Type="http://schemas.openxmlformats.org/officeDocument/2006/relationships/image" Target="media/cfaa4e7f90ac6b68932c8dd19deadffa5cf88a8c.jpg"/><Relationship Id="rId45" Type="http://schemas.openxmlformats.org/officeDocument/2006/relationships/image" Target="media/2d860a9b9979a3ac4dddce15c616e931a8d0e4ec.jpg"/><Relationship Id="rId46" Type="http://schemas.openxmlformats.org/officeDocument/2006/relationships/image" Target="media/5f75b571f87ea147d0fd9f8f5b148da426fb95ab.jpg"/><Relationship Id="rId47" Type="http://schemas.openxmlformats.org/officeDocument/2006/relationships/image" Target="media/6de9946338cd7a1d0a758e732a3a1330310e6439.jpg"/><Relationship Id="rId48" Type="http://schemas.openxmlformats.org/officeDocument/2006/relationships/image" Target="media/8f6a0cea9eb1241e20ab330adb9ad040955d428c.jpg"/><Relationship Id="rId49" Type="http://schemas.openxmlformats.org/officeDocument/2006/relationships/image" Target="media/c4ca3b2664fd24e940ad419aaf9890fce05ccb1d.jpg"/><Relationship Id="rId50" Type="http://schemas.openxmlformats.org/officeDocument/2006/relationships/image" Target="media/51614fee0c2701f795430b8219c18fa1c6171c55.jpg"/><Relationship Id="rId51" Type="http://schemas.openxmlformats.org/officeDocument/2006/relationships/image" Target="media/1eeb69d1e8014c155b62e43b2184d1441ea40a66.jpg"/><Relationship Id="rId52" Type="http://schemas.openxmlformats.org/officeDocument/2006/relationships/image" Target="media/6be96a6b5b0bdba7bbac4bfcbacf217fb64745b8.jpg"/><Relationship Id="rId53" Type="http://schemas.openxmlformats.org/officeDocument/2006/relationships/image" Target="media/a101e8b64cef9b64b216a55a671364cd28e59060.jpg"/><Relationship Id="rId54" Type="http://schemas.openxmlformats.org/officeDocument/2006/relationships/image" Target="media/f569da932ab46bca548ed97aa5c514c3dffd3e94.jpg"/><Relationship Id="rId55" Type="http://schemas.openxmlformats.org/officeDocument/2006/relationships/image" Target="media/359a81fb40f1ab5a8abd847cf8cc756de4594358.jpg"/><Relationship Id="rId56" Type="http://schemas.openxmlformats.org/officeDocument/2006/relationships/image" Target="media/3de19fa2a550e3a76ccbf38482ebf6bfeb8a5cb6.jpg"/><Relationship Id="rId57" Type="http://schemas.openxmlformats.org/officeDocument/2006/relationships/image" Target="media/adb3fed0578ebef53fede9bb1cb8609b1887d1a8.jpg"/><Relationship Id="rId58" Type="http://schemas.openxmlformats.org/officeDocument/2006/relationships/image" Target="media/46e8ff89f9b102d49e6a1301ea89021478ce96ef.jpg"/><Relationship Id="rId59" Type="http://schemas.openxmlformats.org/officeDocument/2006/relationships/image" Target="media/adb921774f4b44f85e85efcb22fa43be573c6b56.jpg"/><Relationship Id="rId60" Type="http://schemas.openxmlformats.org/officeDocument/2006/relationships/image" Target="media/796d9597b4dd19a6b8b07eb26d00c0dc567e71ee.jpg"/><Relationship Id="rId61" Type="http://schemas.openxmlformats.org/officeDocument/2006/relationships/image" Target="media/855a1418e194f7a3ea9769ee6b402cf6104f7bc1.jpg"/><Relationship Id="rId62" Type="http://schemas.openxmlformats.org/officeDocument/2006/relationships/image" Target="media/d7bbfc7ad2fddf32816c64a37752340b4198ac1e.jpg"/><Relationship Id="rId63" Type="http://schemas.openxmlformats.org/officeDocument/2006/relationships/image" Target="media/fbbd8f14067a91a3e2a925fa8c2afe3fc35740a2.jpg"/><Relationship Id="rId64" Type="http://schemas.openxmlformats.org/officeDocument/2006/relationships/image" Target="media/9c26bd58060c7f7a5f0866e7b06f32b963a91215.jpg"/><Relationship Id="rId65" Type="http://schemas.openxmlformats.org/officeDocument/2006/relationships/image" Target="media/2343109223ad5a6983f661d6e6d590e93fd232d5.jpg"/><Relationship Id="rId66" Type="http://schemas.openxmlformats.org/officeDocument/2006/relationships/image" Target="media/e4d974a67db3e7f34189d62a45292995969e1ab3.jpg"/><Relationship Id="rId67" Type="http://schemas.openxmlformats.org/officeDocument/2006/relationships/image" Target="media/0475537fe47564c7f4e5e6ab09d93e3ef13744b0.jpg"/><Relationship Id="rId68" Type="http://schemas.openxmlformats.org/officeDocument/2006/relationships/image" Target="media/c4bb85699a0d1f1fe471180319695306303b5d41.jpg"/><Relationship Id="rId69" Type="http://schemas.openxmlformats.org/officeDocument/2006/relationships/image" Target="media/434b8ca61bff15756b23206524afaa732c523185.jpg"/><Relationship Id="rId70" Type="http://schemas.openxmlformats.org/officeDocument/2006/relationships/image" Target="media/abd698a42cb600c19ebf8c14d929fd10bccd1e65.jpg"/><Relationship Id="rId71" Type="http://schemas.openxmlformats.org/officeDocument/2006/relationships/image" Target="media/09a95d847065b787734447195facdccaccd2a420.jpg"/><Relationship Id="rId72" Type="http://schemas.openxmlformats.org/officeDocument/2006/relationships/image" Target="media/c8916af0be83084805424ac034aa85f8a981e79c.jpg"/><Relationship Id="rId73" Type="http://schemas.openxmlformats.org/officeDocument/2006/relationships/image" Target="media/f354137ca857eaca779e4c35c48374a5be4dca4d.jpg"/><Relationship Id="rId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ABF-FST Digital Respondent Portal — System Manual</dc:title>
  <dc:creator>ABF-FST research team</dc:creator>
  <dc:description>How the system works and how to use it: every screen, every role, KoboToolbox, data, security and administration.</dc:description>
  <cp:lastModifiedBy>Un-named</cp:lastModifiedBy>
  <cp:revision>1</cp:revision>
  <dcterms:created xsi:type="dcterms:W3CDTF">2026-10-14T10:26:14.372Z</dcterms:created>
  <dcterms:modified xsi:type="dcterms:W3CDTF">2026-10-14T10:26:14.373Z</dcterms:modified>
</cp:coreProperties>
</file>

<file path=docProps/custom.xml><?xml version="1.0" encoding="utf-8"?>
<Properties xmlns="http://schemas.openxmlformats.org/officeDocument/2006/custom-properties" xmlns:vt="http://schemas.openxmlformats.org/officeDocument/2006/docPropsVTypes"/>
</file>