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400"/>
      </w:pPr>
    </w:p>
    <w:p>
      <w:pPr>
        <w:spacing w:after="120"/>
      </w:pPr>
      <w:r>
        <w:rPr>
          <w:b/>
          <w:bCs/>
          <w:color w:val="A67C27"/>
          <w:spacing w:val="20"/>
          <w:sz w:val="20"/>
          <w:szCs w:val="20"/>
        </w:rPr>
        <w:t xml:space="preserve">CHINHOYI UNIVERSITY OF TECHNOLOGY · ABF-FST RESEARCH STUDY</w:t>
      </w:r>
    </w:p>
    <w:p>
      <w:pPr>
        <w:pBdr>
          <w:bottom w:val="single" w:color="A67C27" w:sz="18" w:space="12"/>
        </w:pBdr>
        <w:spacing w:after="160"/>
      </w:pPr>
      <w:r>
        <w:rPr>
          <w:b/>
          <w:bCs/>
          <w:color w:val="122238"/>
          <w:sz w:val="56"/>
          <w:szCs w:val="56"/>
        </w:rPr>
        <w:t xml:space="preserve">Role Guide 2: Field / Digital Coordinator</w:t>
      </w:r>
    </w:p>
    <w:p>
      <w:pPr>
        <w:spacing w:after="700" w:line="300"/>
      </w:pPr>
      <w:r>
        <w:rPr>
          <w:color w:val="5B6670"/>
          <w:sz w:val="28"/>
          <w:szCs w:val="28"/>
        </w:rPr>
        <w:t xml:space="preserve">Step-by-step instructions for the Field / Digital Coordinator role in the ABF-FST Digital Respondent Portal.</w:t>
      </w:r>
    </w:p>
    <w:tbl>
      <w:tblPr>
        <w:tblW w:type="dxa" w:w="9412"/>
        <w:tblBorders>
          <w:top w:val="single" w:color="D5DAE0" w:sz="4"/>
          <w:left w:val="none" w:color="FFFFFF" w:sz="0"/>
          <w:bottom w:val="single" w:color="D5DAE0" w:sz="4"/>
          <w:right w:val="none" w:color="FFFFFF" w:sz="0"/>
          <w:insideH w:val="single" w:color="D5DAE0" w:sz="4"/>
          <w:insideV w:val="none" w:color="FFFFFF" w:sz="0"/>
        </w:tblBorders>
      </w:tblPr>
      <w:tblGrid>
        <w:gridCol w:w="2300"/>
        <w:gridCol w:w="7112"/>
      </w:tblGrid>
      <w:tr>
        <w:tc>
          <w:tcPr>
            <w:tcW w:type="dxa" w:w="2300"/>
            <w:tcMar>
              <w:top w:type="dxa" w:w="70"/>
              <w:left w:type="dxa" w:w="110"/>
              <w:bottom w:type="dxa" w:w="70"/>
              <w:right w:type="dxa" w:w="110"/>
            </w:tcMar>
            <w:vAlign w:val="top"/>
          </w:tcPr>
          <w:p>
            <w:pPr>
              <w:spacing w:after="40"/>
            </w:pPr>
            <w:r>
              <w:rPr>
                <w:b/>
                <w:bCs/>
                <w:color w:val="A67C27"/>
                <w:sz w:val="19"/>
                <w:szCs w:val="19"/>
              </w:rPr>
              <w:t xml:space="preserve">STUDY</w:t>
            </w:r>
          </w:p>
        </w:tc>
        <w:tc>
          <w:tcPr>
            <w:tcW w:type="dxa" w:w="7112"/>
            <w:tcMar>
              <w:top w:type="dxa" w:w="70"/>
              <w:left w:type="dxa" w:w="110"/>
              <w:bottom w:type="dxa" w:w="70"/>
              <w:right w:type="dxa" w:w="110"/>
            </w:tcMar>
            <w:vAlign w:val="top"/>
          </w:tcPr>
          <w:p>
            <w:pPr>
              <w:spacing w:after="40"/>
            </w:pPr>
            <w:r>
              <w:rPr>
                <w:b w:val="false"/>
                <w:bCs w:val="false"/>
                <w:sz w:val="19"/>
                <w:szCs w:val="19"/>
              </w:rPr>
              <w:t xml:space="preserve">Developing and Validating the Agribusiness Bankability Framework for Food Systems Transformation through Novel Financing Models in Zimbabwe (ABF-FST)</w:t>
            </w:r>
          </w:p>
        </w:tc>
      </w:tr>
      <w:tr>
        <w:tc>
          <w:tcPr>
            <w:tcW w:type="dxa" w:w="2300"/>
            <w:tcMar>
              <w:top w:type="dxa" w:w="70"/>
              <w:left w:type="dxa" w:w="110"/>
              <w:bottom w:type="dxa" w:w="70"/>
              <w:right w:type="dxa" w:w="110"/>
            </w:tcMar>
            <w:vAlign w:val="top"/>
          </w:tcPr>
          <w:p>
            <w:pPr>
              <w:spacing w:after="40"/>
            </w:pPr>
            <w:r>
              <w:rPr>
                <w:b/>
                <w:bCs/>
                <w:color w:val="A67C27"/>
                <w:sz w:val="19"/>
                <w:szCs w:val="19"/>
              </w:rPr>
              <w:t xml:space="preserve">PRINCIPAL RESEARCHER</w:t>
            </w:r>
          </w:p>
        </w:tc>
        <w:tc>
          <w:tcPr>
            <w:tcW w:type="dxa" w:w="7112"/>
            <w:tcMar>
              <w:top w:type="dxa" w:w="70"/>
              <w:left w:type="dxa" w:w="110"/>
              <w:bottom w:type="dxa" w:w="70"/>
              <w:right w:type="dxa" w:w="110"/>
            </w:tcMar>
            <w:vAlign w:val="top"/>
          </w:tcPr>
          <w:p>
            <w:pPr>
              <w:spacing w:after="40"/>
            </w:pPr>
            <w:r>
              <w:rPr>
                <w:b w:val="false"/>
                <w:bCs w:val="false"/>
                <w:sz w:val="19"/>
                <w:szCs w:val="19"/>
              </w:rPr>
              <w:t xml:space="preserve">Happyson Saina, Doctor of Strategic Management candidate, Chinhoyi University of Technology</w:t>
            </w:r>
          </w:p>
        </w:tc>
      </w:tr>
      <w:tr>
        <w:tc>
          <w:tcPr>
            <w:tcW w:type="dxa" w:w="2300"/>
            <w:tcMar>
              <w:top w:type="dxa" w:w="70"/>
              <w:left w:type="dxa" w:w="110"/>
              <w:bottom w:type="dxa" w:w="70"/>
              <w:right w:type="dxa" w:w="110"/>
            </w:tcMar>
            <w:vAlign w:val="top"/>
          </w:tcPr>
          <w:p>
            <w:pPr>
              <w:spacing w:after="40"/>
            </w:pPr>
            <w:r>
              <w:rPr>
                <w:b/>
                <w:bCs/>
                <w:color w:val="A67C27"/>
                <w:sz w:val="19"/>
                <w:szCs w:val="19"/>
              </w:rPr>
              <w:t xml:space="preserve">SUPERVISORS</w:t>
            </w:r>
          </w:p>
        </w:tc>
        <w:tc>
          <w:tcPr>
            <w:tcW w:type="dxa" w:w="7112"/>
            <w:tcMar>
              <w:top w:type="dxa" w:w="70"/>
              <w:left w:type="dxa" w:w="110"/>
              <w:bottom w:type="dxa" w:w="70"/>
              <w:right w:type="dxa" w:w="110"/>
            </w:tcMar>
            <w:vAlign w:val="top"/>
          </w:tcPr>
          <w:p>
            <w:pPr>
              <w:spacing w:after="40"/>
            </w:pPr>
            <w:r>
              <w:rPr>
                <w:b w:val="false"/>
                <w:bCs w:val="false"/>
                <w:sz w:val="19"/>
                <w:szCs w:val="19"/>
              </w:rPr>
              <w:t xml:space="preserve">Dr L. Chikazhe and Dr J. Kanyepe</w:t>
            </w:r>
          </w:p>
        </w:tc>
      </w:tr>
      <w:tr>
        <w:tc>
          <w:tcPr>
            <w:tcW w:type="dxa" w:w="2300"/>
            <w:tcMar>
              <w:top w:type="dxa" w:w="70"/>
              <w:left w:type="dxa" w:w="110"/>
              <w:bottom w:type="dxa" w:w="70"/>
              <w:right w:type="dxa" w:w="110"/>
            </w:tcMar>
            <w:vAlign w:val="top"/>
          </w:tcPr>
          <w:p>
            <w:pPr>
              <w:spacing w:after="40"/>
            </w:pPr>
            <w:r>
              <w:rPr>
                <w:b/>
                <w:bCs/>
                <w:color w:val="A67C27"/>
                <w:sz w:val="19"/>
                <w:szCs w:val="19"/>
              </w:rPr>
              <w:t xml:space="preserve">FOR</w:t>
            </w:r>
          </w:p>
        </w:tc>
        <w:tc>
          <w:tcPr>
            <w:tcW w:type="dxa" w:w="7112"/>
            <w:tcMar>
              <w:top w:type="dxa" w:w="70"/>
              <w:left w:type="dxa" w:w="110"/>
              <w:bottom w:type="dxa" w:w="70"/>
              <w:right w:type="dxa" w:w="110"/>
            </w:tcMar>
            <w:vAlign w:val="top"/>
          </w:tcPr>
          <w:p>
            <w:pPr>
              <w:spacing w:after="40"/>
            </w:pPr>
            <w:r>
              <w:rPr>
                <w:b w:val="false"/>
                <w:bCs w:val="false"/>
                <w:sz w:val="19"/>
                <w:szCs w:val="19"/>
              </w:rPr>
              <w:t xml:space="preserve">Field and digital coordinators running day-to-day fieldwork</w:t>
            </w:r>
          </w:p>
        </w:tc>
      </w:tr>
      <w:tr>
        <w:tc>
          <w:tcPr>
            <w:tcW w:type="dxa" w:w="2300"/>
            <w:tcMar>
              <w:top w:type="dxa" w:w="70"/>
              <w:left w:type="dxa" w:w="110"/>
              <w:bottom w:type="dxa" w:w="70"/>
              <w:right w:type="dxa" w:w="110"/>
            </w:tcMar>
            <w:vAlign w:val="top"/>
          </w:tcPr>
          <w:p>
            <w:pPr>
              <w:spacing w:after="40"/>
            </w:pPr>
            <w:r>
              <w:rPr>
                <w:b/>
                <w:bCs/>
                <w:color w:val="A67C27"/>
                <w:sz w:val="19"/>
                <w:szCs w:val="19"/>
              </w:rPr>
              <w:t xml:space="preserve">SYSTEM ADDRESS</w:t>
            </w:r>
          </w:p>
        </w:tc>
        <w:tc>
          <w:tcPr>
            <w:tcW w:type="dxa" w:w="7112"/>
            <w:tcMar>
              <w:top w:type="dxa" w:w="70"/>
              <w:left w:type="dxa" w:w="110"/>
              <w:bottom w:type="dxa" w:w="70"/>
              <w:right w:type="dxa" w:w="110"/>
            </w:tcMar>
            <w:vAlign w:val="top"/>
          </w:tcPr>
          <w:p>
            <w:pPr>
              <w:spacing w:after="40"/>
            </w:pPr>
            <w:r>
              <w:rPr>
                <w:b w:val="false"/>
                <w:bCs w:val="false"/>
                <w:sz w:val="19"/>
                <w:szCs w:val="19"/>
              </w:rPr>
              <w:t xml:space="preserve">https://research.agribizframework.com</w:t>
            </w:r>
          </w:p>
        </w:tc>
      </w:tr>
      <w:tr>
        <w:tc>
          <w:tcPr>
            <w:tcW w:type="dxa" w:w="2300"/>
            <w:tcMar>
              <w:top w:type="dxa" w:w="70"/>
              <w:left w:type="dxa" w:w="110"/>
              <w:bottom w:type="dxa" w:w="70"/>
              <w:right w:type="dxa" w:w="110"/>
            </w:tcMar>
            <w:vAlign w:val="top"/>
          </w:tcPr>
          <w:p>
            <w:pPr>
              <w:spacing w:after="40"/>
            </w:pPr>
            <w:r>
              <w:rPr>
                <w:b/>
                <w:bCs/>
                <w:color w:val="A67C27"/>
                <w:sz w:val="19"/>
                <w:szCs w:val="19"/>
              </w:rPr>
              <w:t xml:space="preserve">CONTACT</w:t>
            </w:r>
          </w:p>
        </w:tc>
        <w:tc>
          <w:tcPr>
            <w:tcW w:type="dxa" w:w="7112"/>
            <w:tcMar>
              <w:top w:type="dxa" w:w="70"/>
              <w:left w:type="dxa" w:w="110"/>
              <w:bottom w:type="dxa" w:w="70"/>
              <w:right w:type="dxa" w:w="110"/>
            </w:tcMar>
            <w:vAlign w:val="top"/>
          </w:tcPr>
          <w:p>
            <w:pPr>
              <w:spacing w:after="40"/>
            </w:pPr>
            <w:r>
              <w:rPr>
                <w:b w:val="false"/>
                <w:bCs w:val="false"/>
                <w:sz w:val="19"/>
                <w:szCs w:val="19"/>
              </w:rPr>
              <w:t xml:space="preserve">0773943709 · abffst.research@gmail.com</w:t>
            </w:r>
          </w:p>
        </w:tc>
      </w:tr>
      <w:tr>
        <w:tc>
          <w:tcPr>
            <w:tcW w:type="dxa" w:w="2300"/>
            <w:tcMar>
              <w:top w:type="dxa" w:w="70"/>
              <w:left w:type="dxa" w:w="110"/>
              <w:bottom w:type="dxa" w:w="70"/>
              <w:right w:type="dxa" w:w="110"/>
            </w:tcMar>
            <w:vAlign w:val="top"/>
          </w:tcPr>
          <w:p>
            <w:pPr>
              <w:spacing w:after="40"/>
            </w:pPr>
            <w:r>
              <w:rPr>
                <w:b/>
                <w:bCs/>
                <w:color w:val="A67C27"/>
                <w:sz w:val="19"/>
                <w:szCs w:val="19"/>
              </w:rPr>
              <w:t xml:space="preserve">VERSION</w:t>
            </w:r>
          </w:p>
        </w:tc>
        <w:tc>
          <w:tcPr>
            <w:tcW w:type="dxa" w:w="7112"/>
            <w:tcMar>
              <w:top w:type="dxa" w:w="70"/>
              <w:left w:type="dxa" w:w="110"/>
              <w:bottom w:type="dxa" w:w="70"/>
              <w:right w:type="dxa" w:w="110"/>
            </w:tcMar>
            <w:vAlign w:val="top"/>
          </w:tcPr>
          <w:p>
            <w:pPr>
              <w:spacing w:after="40"/>
            </w:pPr>
            <w:r>
              <w:rPr>
                <w:b w:val="false"/>
                <w:bCs w:val="false"/>
                <w:sz w:val="19"/>
                <w:szCs w:val="19"/>
              </w:rPr>
              <w:t xml:space="preserve">Version 1.42 · 14 October 2026</w:t>
            </w:r>
          </w:p>
        </w:tc>
      </w:tr>
    </w:tbl>
    <w:p>
      <w:pPr>
        <w:spacing w:after="500"/>
      </w:pPr>
    </w:p>
    <w:p>
      <w:r>
        <w:rPr>
          <w:i/>
          <w:iCs/>
          <w:color w:val="5B6670"/>
          <w:sz w:val="18"/>
          <w:szCs w:val="18"/>
        </w:rPr>
        <w:t xml:space="preserve">Screenshots in this document use </w:t>
      </w:r>
      <w:r>
        <w:rPr>
          <w:b/>
          <w:bCs/>
          <w:i/>
          <w:iCs/>
          <w:color w:val="5B6670"/>
          <w:sz w:val="18"/>
          <w:szCs w:val="18"/>
        </w:rPr>
        <w:t xml:space="preserve">fictional demonstration data</w:t>
      </w:r>
      <w:r>
        <w:rPr>
          <w:i/>
          <w:iCs/>
          <w:color w:val="5B6670"/>
          <w:sz w:val="18"/>
          <w:szCs w:val="18"/>
        </w:rPr>
        <w:t xml:space="preserve">. Organisation and person names, phone numbers and figures shown in them are not real study records.</w:t>
      </w:r>
    </w:p>
    <w:p>
      <w:r>
        <w:br w:type="page"/>
      </w:r>
    </w:p>
    <w:p>
      <w:pPr>
        <w:spacing w:after="200"/>
      </w:pPr>
      <w:r>
        <w:rPr>
          <w:b/>
          <w:bCs/>
          <w:color w:val="122238"/>
          <w:sz w:val="36"/>
          <w:szCs w:val="36"/>
        </w:rPr>
        <w:t xml:space="preserve">Contents</w:t>
      </w:r>
    </w:p>
    <w:sdt>
      <w:sdtPr>
        <w:alias w:val="Contents"/>
      </w:sdtPr>
      <w:sdtContent>
        <w:p>
          <w:r>
            <w:fldChar w:fldCharType="begin" w:dirty="true"/>
            <w:instrText xml:space="preserve">TOC \h \o "1-2"</w:instrText>
            <w:fldChar w:fldCharType="separate"/>
          </w:r>
        </w:p>
        <w:p>
          <w:r>
            <w:fldChar w:fldCharType="end"/>
          </w:r>
        </w:p>
      </w:sdtContent>
    </w:sdt>
    <w:p>
      <w:pPr>
        <w:pStyle w:val="Heading1"/>
        <w:pageBreakBefore/>
      </w:pPr>
      <w:r>
        <w:t xml:space="preserve">1. Your role at a glance</w:t>
      </w:r>
    </w:p>
    <w:p>
      <w:pPr>
        <w:spacing w:after="120" w:line="288"/>
      </w:pPr>
      <w:r>
        <w:t xml:space="preserve">You run fieldwork day to day: keep the sample moving through verification, make sure every case has a Contact RA and contact details, keep follow-ups and appointments on schedule, make replacement and withdrawal decisions with the PI, and oversee QA, KII and documentary work.</w:t>
      </w:r>
    </w:p>
    <w:p>
      <w:pPr>
        <w:pStyle w:val="Heading3"/>
      </w:pPr>
      <w:r>
        <w:t xml:space="preserve">You can</w:t>
      </w:r>
    </w:p>
    <w:p>
      <w:pPr>
        <w:pStyle w:val="ListParagraph"/>
        <w:numPr>
          <w:ilvl w:val="0"/>
          <w:numId w:val="2"/>
        </w:numPr>
        <w:spacing w:after="60" w:line="276"/>
      </w:pPr>
      <w:r>
        <w:t xml:space="preserve">Open 19 screens — everything except the Audit Log and Research Clearance.</w:t>
      </w:r>
    </w:p>
    <w:p>
      <w:pPr>
        <w:pStyle w:val="ListParagraph"/>
        <w:numPr>
          <w:ilvl w:val="0"/>
          <w:numId w:val="2"/>
        </w:numPr>
        <w:spacing w:after="60" w:line="276"/>
      </w:pPr>
      <w:r>
        <w:t xml:space="preserve">Register organisations, pair Reserves, assign Contact RAs and verify cases in bulk.</w:t>
      </w:r>
    </w:p>
    <w:p>
      <w:pPr>
        <w:pStyle w:val="ListParagraph"/>
        <w:numPr>
          <w:ilvl w:val="0"/>
          <w:numId w:val="2"/>
        </w:numPr>
        <w:spacing w:after="60" w:line="276"/>
      </w:pPr>
      <w:r>
        <w:t xml:space="preserve">Record respondents, invite, log contacts, send follow-ups, manage appointments.</w:t>
      </w:r>
    </w:p>
    <w:p>
      <w:pPr>
        <w:pStyle w:val="ListParagraph"/>
        <w:numPr>
          <w:ilvl w:val="0"/>
          <w:numId w:val="2"/>
        </w:numPr>
        <w:spacing w:after="60" w:line="276"/>
      </w:pPr>
      <w:r>
        <w:t xml:space="preserve">Find missing contact details with AI, email invitations in batches, and prepare WhatsApp invitations from the queue.</w:t>
      </w:r>
    </w:p>
    <w:p>
      <w:pPr>
        <w:pStyle w:val="ListParagraph"/>
        <w:numPr>
          <w:ilvl w:val="0"/>
          <w:numId w:val="2"/>
        </w:numPr>
        <w:spacing w:after="60" w:line="276"/>
      </w:pPr>
      <w:r>
        <w:t xml:space="preserve">Record withdrawals and activate Reserves.</w:t>
      </w:r>
    </w:p>
    <w:p>
      <w:pPr>
        <w:pStyle w:val="ListParagraph"/>
        <w:numPr>
          <w:ilvl w:val="0"/>
          <w:numId w:val="2"/>
        </w:numPr>
        <w:spacing w:after="60" w:line="276"/>
      </w:pPr>
      <w:r>
        <w:t xml:space="preserve">Take QA decisions and work QA exceptions; manage KII and document records; log costs.</w:t>
      </w:r>
    </w:p>
    <w:p>
      <w:pPr>
        <w:pStyle w:val="ListParagraph"/>
        <w:numPr>
          <w:ilvl w:val="0"/>
          <w:numId w:val="2"/>
        </w:numPr>
        <w:spacing w:after="60" w:line="276"/>
      </w:pPr>
      <w:r>
        <w:t xml:space="preserve">Download the de-identified analysis export.</w:t>
      </w:r>
    </w:p>
    <w:p>
      <w:pPr>
        <w:spacing w:after="60"/>
      </w:pPr>
    </w:p>
    <w:p>
      <w:pPr>
        <w:pStyle w:val="Heading3"/>
      </w:pPr>
      <w:r>
        <w:t xml:space="preserve">You cannot</w:t>
      </w:r>
    </w:p>
    <w:p>
      <w:pPr>
        <w:pStyle w:val="ListParagraph"/>
        <w:numPr>
          <w:ilvl w:val="0"/>
          <w:numId w:val="2"/>
        </w:numPr>
        <w:spacing w:after="60" w:line="276"/>
      </w:pPr>
      <w:r>
        <w:t xml:space="preserve">Open the Audit Log or Research Clearance.</w:t>
      </w:r>
    </w:p>
    <w:p>
      <w:pPr>
        <w:pStyle w:val="ListParagraph"/>
        <w:numPr>
          <w:ilvl w:val="0"/>
          <w:numId w:val="2"/>
        </w:numPr>
        <w:spacing w:after="60" w:line="276"/>
      </w:pPr>
      <w:r>
        <w:t xml:space="preserve">Download the full operational export or the KoboToolbox data workbooks (PI only).</w:t>
      </w:r>
    </w:p>
    <w:p>
      <w:pPr>
        <w:pStyle w:val="ListParagraph"/>
        <w:numPr>
          <w:ilvl w:val="0"/>
          <w:numId w:val="2"/>
        </w:numPr>
        <w:spacing w:after="60" w:line="276"/>
      </w:pPr>
      <w:r>
        <w:t xml:space="preserve">Create staff accounts (ask the PI).</w:t>
      </w:r>
    </w:p>
    <w:p>
      <w:pPr>
        <w:spacing w:after="60"/>
      </w:pP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Where this fits</w:t>
            </w:r>
          </w:p>
          <w:p>
            <w:pPr>
              <w:spacing w:after="40" w:line="264"/>
            </w:pPr>
            <w:r>
              <w:rPr>
                <w:sz w:val="19"/>
                <w:szCs w:val="19"/>
              </w:rPr>
              <w:t xml:space="preserve">The System Manual explains how the whole system works. This guide covers only what you do, and its last section lists every screen and button you can use, with what each does and why. Ask the Field Coordinator or PI when something is outside your role.</w:t>
            </w:r>
          </w:p>
        </w:tc>
      </w:tr>
    </w:tbl>
    <w:p>
      <w:pPr>
        <w:pStyle w:val="Heading1"/>
        <w:pageBreakBefore/>
      </w:pPr>
      <w:r>
        <w:t xml:space="preserve">2. Signing in and your screens</w:t>
      </w:r>
    </w:p>
    <w:p>
      <w:pPr>
        <w:pStyle w:val="Heading2"/>
      </w:pPr>
      <w:r>
        <w:t xml:space="preserve">Signing in</w:t>
      </w:r>
    </w:p>
    <w:p>
      <w:pPr>
        <w:pStyle w:val="ListParagraph"/>
        <w:numPr>
          <w:ilvl w:val="0"/>
          <w:numId w:val="3"/>
        </w:numPr>
        <w:spacing w:after="80" w:line="276"/>
      </w:pPr>
      <w:r>
        <w:t xml:space="preserve">Open </w:t>
      </w:r>
      <w:r>
        <w:rPr>
          <w:b/>
          <w:bCs/>
        </w:rPr>
        <w:t xml:space="preserve">https://research.agribizframework.com/admin/login</w:t>
      </w:r>
      <w:r>
        <w:t xml:space="preserve"> in any modern browser (Chrome, Edge, Firefox or Safari), on a computer, tablet or phone.</w:t>
      </w:r>
    </w:p>
    <w:p>
      <w:pPr>
        <w:pStyle w:val="ListParagraph"/>
        <w:numPr>
          <w:ilvl w:val="0"/>
          <w:numId w:val="3"/>
        </w:numPr>
        <w:spacing w:after="80" w:line="276"/>
      </w:pPr>
      <w:r>
        <w:t xml:space="preserve">Type your </w:t>
      </w:r>
      <w:r>
        <w:rPr>
          <w:b/>
          <w:bCs/>
        </w:rPr>
        <w:t xml:space="preserve">Username</w:t>
      </w:r>
      <w:r>
        <w:t xml:space="preserve"> and </w:t>
      </w:r>
      <w:r>
        <w:rPr>
          <w:b/>
          <w:bCs/>
        </w:rPr>
        <w:t xml:space="preserve">Password</w:t>
      </w:r>
      <w:r>
        <w:t xml:space="preserve">, then select </w:t>
      </w:r>
      <w:r>
        <w:rPr>
          <w:b/>
          <w:bCs/>
        </w:rPr>
        <w:t xml:space="preserve">Sign in</w:t>
      </w:r>
      <w:r>
        <w:t xml:space="preserve">.</w:t>
      </w:r>
    </w:p>
    <w:p>
      <w:pPr>
        <w:keepNext/>
        <w:spacing w:after="40" w:before="80"/>
        <w:jc w:val="center"/>
      </w:pPr>
      <w:r>
        <w:drawing>
          <wp:inline distT="0" distB="0" distL="0" distR="0">
            <wp:extent cx="5334000" cy="2333625"/>
            <wp:effectExtent t="0" r="0" b="0" l="0"/>
            <wp:docPr id="1" name="adm_login.jpg" descr="The sign-in screen for all internal staff." title="The sign-in screen for all internal staf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34000" cy="2333625"/>
                    </a:xfrm>
                    <a:prstGeom prst="rect">
                      <a:avLst/>
                    </a:prstGeom>
                  </pic:spPr>
                </pic:pic>
              </a:graphicData>
            </a:graphic>
          </wp:inline>
        </w:drawing>
      </w:r>
    </w:p>
    <w:p>
      <w:pPr>
        <w:spacing w:after="180"/>
        <w:jc w:val="center"/>
      </w:pPr>
      <w:r>
        <w:rPr>
          <w:b/>
          <w:bCs/>
          <w:color w:val="5B6670"/>
          <w:sz w:val="17"/>
          <w:szCs w:val="17"/>
        </w:rPr>
        <w:t xml:space="preserve">Figure 1. </w:t>
      </w:r>
      <w:r>
        <w:rPr>
          <w:i/>
          <w:iCs/>
          <w:color w:val="5B6670"/>
          <w:sz w:val="17"/>
          <w:szCs w:val="17"/>
        </w:rPr>
        <w:t xml:space="preserve">The sign-in screen for all internal staff.</w:t>
      </w:r>
    </w:p>
    <w:p>
      <w:pPr>
        <w:pStyle w:val="ListParagraph"/>
        <w:numPr>
          <w:ilvl w:val="0"/>
          <w:numId w:val="3"/>
        </w:numPr>
        <w:spacing w:after="80" w:line="276"/>
      </w:pPr>
      <w:r>
        <w:t xml:space="preserve">You arrive on your start screen: </w:t>
      </w:r>
      <w:r>
        <w:rPr>
          <w:b/>
          <w:bCs/>
        </w:rPr>
        <w:t xml:space="preserve">Executive Dashboard</w:t>
      </w:r>
      <w:r>
        <w:t xml:space="preserve">. The bar across the top lists only the screens your role (Field / Digital Coordinator) can open.</w:t>
      </w:r>
    </w:p>
    <w:p>
      <w:pPr>
        <w:spacing w:after="80"/>
      </w:pP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Accounts</w:t>
            </w:r>
          </w:p>
          <w:p>
            <w:pPr>
              <w:spacing w:after="40" w:line="264"/>
            </w:pPr>
            <w:r>
              <w:rPr>
                <w:sz w:val="19"/>
                <w:szCs w:val="19"/>
              </w:rPr>
              <w:t xml:space="preserve">There is no self-registration. The PI / System Admin creates every account and sets its role. Ask the PI if you need an account, a different role, or a password reset.</w:t>
            </w:r>
          </w:p>
        </w:tc>
      </w:tr>
    </w:tbl>
    <w:p>
      <w:pPr>
        <w:pStyle w:val="Heading2"/>
      </w:pPr>
      <w:r>
        <w:t xml:space="preserve">Finding your way around</w:t>
      </w:r>
    </w:p>
    <w:p>
      <w:pPr>
        <w:pStyle w:val="ListParagraph"/>
        <w:numPr>
          <w:ilvl w:val="0"/>
          <w:numId w:val="2"/>
        </w:numPr>
        <w:spacing w:after="60" w:line="276"/>
      </w:pPr>
      <w:r>
        <w:t xml:space="preserve">The </w:t>
      </w:r>
      <w:r>
        <w:rPr>
          <w:b/>
          <w:bCs/>
        </w:rPr>
        <w:t xml:space="preserve">top bar</w:t>
      </w:r>
      <w:r>
        <w:t xml:space="preserve"> shows your username and role, and the screens you can use. It is not a full menu with some items greyed out: anything absent is simply not part of your role.</w:t>
      </w:r>
    </w:p>
    <w:p>
      <w:pPr>
        <w:pStyle w:val="ListParagraph"/>
        <w:numPr>
          <w:ilvl w:val="0"/>
          <w:numId w:val="2"/>
        </w:numPr>
        <w:spacing w:after="60" w:line="276"/>
      </w:pPr>
      <w:r>
        <w:t xml:space="preserve">Most screens have a </w:t>
      </w:r>
      <w:r>
        <w:rPr>
          <w:b/>
          <w:bCs/>
        </w:rPr>
        <w:t xml:space="preserve">← Back to …</w:t>
      </w:r>
      <w:r>
        <w:t xml:space="preserve"> link at the top that returns you to the screen you came from.</w:t>
      </w:r>
    </w:p>
    <w:p>
      <w:pPr>
        <w:pStyle w:val="ListParagraph"/>
        <w:numPr>
          <w:ilvl w:val="0"/>
          <w:numId w:val="2"/>
        </w:numPr>
        <w:spacing w:after="60" w:line="276"/>
      </w:pPr>
      <w:r>
        <w:t xml:space="preserve">Registers show </w:t>
      </w:r>
      <w:r>
        <w:rPr>
          <w:b/>
          <w:bCs/>
        </w:rPr>
        <w:t xml:space="preserve">20 rows per page</w:t>
      </w:r>
      <w:r>
        <w:t xml:space="preserve"> to begin with. At the foot of the list, </w:t>
      </w:r>
      <w:r>
        <w:rPr>
          <w:b/>
          <w:bCs/>
        </w:rPr>
        <w:t xml:space="preserve">Show</w:t>
      </w:r>
      <w:r>
        <w:t xml:space="preserve"> lets you choose 10, 20, 50, 100 or 200 rows per page (the portal remembers your choice), and the page numbers, </w:t>
      </w:r>
      <w:r>
        <w:rPr>
          <w:b/>
          <w:bCs/>
        </w:rPr>
        <w:t xml:space="preserve">Previous</w:t>
      </w:r>
      <w:r>
        <w:t xml:space="preserve">, </w:t>
      </w:r>
      <w:r>
        <w:rPr>
          <w:b/>
          <w:bCs/>
        </w:rPr>
        <w:t xml:space="preserve">Next</w:t>
      </w:r>
      <w:r>
        <w:t xml:space="preserve"> and the double arrows take you to any page. The </w:t>
      </w:r>
      <w:r>
        <w:rPr>
          <w:b/>
          <w:bCs/>
        </w:rPr>
        <w:t xml:space="preserve">Search</w:t>
      </w:r>
      <w:r>
        <w:t xml:space="preserve"> box above the list narrows it.</w:t>
      </w:r>
    </w:p>
    <w:p>
      <w:pPr>
        <w:pStyle w:val="ListParagraph"/>
        <w:numPr>
          <w:ilvl w:val="0"/>
          <w:numId w:val="2"/>
        </w:numPr>
        <w:spacing w:after="60" w:line="276"/>
      </w:pPr>
      <w:r>
        <w:rPr>
          <w:b/>
          <w:bCs/>
        </w:rPr>
        <w:t xml:space="preserve">Change password</w:t>
      </w:r>
      <w:r>
        <w:t xml:space="preserve"> (top right) lets you set a new password at any time. Choose a long password you do not use anywhere else.</w:t>
      </w:r>
    </w:p>
    <w:p>
      <w:pPr>
        <w:pStyle w:val="ListParagraph"/>
        <w:numPr>
          <w:ilvl w:val="0"/>
          <w:numId w:val="2"/>
        </w:numPr>
        <w:spacing w:after="60" w:line="276"/>
      </w:pPr>
      <w:r>
        <w:rPr>
          <w:b/>
          <w:bCs/>
        </w:rPr>
        <w:t xml:space="preserve">Sign out</w:t>
      </w:r>
      <w:r>
        <w:t xml:space="preserve"> (top right) ends your session. Always sign out on a shared or public computer.</w:t>
      </w:r>
    </w:p>
    <w:p>
      <w:pPr>
        <w:pStyle w:val="ListParagraph"/>
        <w:numPr>
          <w:ilvl w:val="0"/>
          <w:numId w:val="2"/>
        </w:numPr>
        <w:spacing w:after="60" w:line="276"/>
      </w:pPr>
      <w:r>
        <w:t xml:space="preserve">If you are inactive for a while you may be asked to sign in again. This protects research data on unattended devices.</w:t>
      </w:r>
    </w:p>
    <w:p>
      <w:pPr>
        <w:spacing w:after="60"/>
      </w:pPr>
    </w:p>
    <w:p>
      <w:pPr>
        <w:keepNext/>
        <w:spacing w:after="40" w:before="80"/>
        <w:jc w:val="center"/>
      </w:pPr>
      <w:r>
        <w:drawing>
          <wp:inline distT="0" distB="0" distL="0" distR="0">
            <wp:extent cx="5715000" cy="1876425"/>
            <wp:effectExtent t="0" r="0" b="0" l="0"/>
            <wp:docPr id="1" name="adm_not_your_role.jpg" descr="Opening a screen outside your role (for example from an old bookmark) shows this card instead of the screen." title="Opening a screen outside your role (for example from an old bookmark) shows this card instead of the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1876425"/>
                    </a:xfrm>
                    <a:prstGeom prst="rect">
                      <a:avLst/>
                    </a:prstGeom>
                  </pic:spPr>
                </pic:pic>
              </a:graphicData>
            </a:graphic>
          </wp:inline>
        </w:drawing>
      </w:r>
    </w:p>
    <w:p>
      <w:pPr>
        <w:spacing w:after="180"/>
        <w:jc w:val="center"/>
      </w:pPr>
      <w:r>
        <w:rPr>
          <w:b/>
          <w:bCs/>
          <w:color w:val="5B6670"/>
          <w:sz w:val="17"/>
          <w:szCs w:val="17"/>
        </w:rPr>
        <w:t xml:space="preserve">Figure 2. </w:t>
      </w:r>
      <w:r>
        <w:rPr>
          <w:i/>
          <w:iCs/>
          <w:color w:val="5B6670"/>
          <w:sz w:val="17"/>
          <w:szCs w:val="17"/>
        </w:rPr>
        <w:t xml:space="preserve">Opening a screen outside your role (for example from an old bookmark) shows this card instead of the screen.</w:t>
      </w:r>
    </w:p>
    <w:p>
      <w:pPr>
        <w:pStyle w:val="Heading2"/>
      </w:pPr>
      <w:r>
        <w:t xml:space="preserve">Your screens</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2824"/>
        <w:gridCol w:w="6588"/>
      </w:tblGrid>
      <w:tr>
        <w:trPr>
          <w:tblHeader/>
        </w:trPr>
        <w:tc>
          <w:tcPr>
            <w:tcW w:type="dxa" w:w="2824"/>
            <w:shd w:fill="1B3350" w:color="auto" w:val="clear"/>
            <w:tcMar>
              <w:top w:type="dxa" w:w="70"/>
              <w:left w:type="dxa" w:w="110"/>
              <w:bottom w:type="dxa" w:w="70"/>
              <w:right w:type="dxa" w:w="110"/>
            </w:tcMar>
            <w:vAlign w:val="top"/>
          </w:tcPr>
          <w:p>
            <w:pPr>
              <w:spacing w:after="40"/>
            </w:pPr>
            <w:r>
              <w:rPr>
                <w:b/>
                <w:bCs/>
                <w:color w:val="FFFFFF"/>
                <w:sz w:val="19"/>
                <w:szCs w:val="19"/>
              </w:rPr>
              <w:t xml:space="preserve">Screen</w:t>
            </w:r>
          </w:p>
        </w:tc>
        <w:tc>
          <w:tcPr>
            <w:tcW w:type="dxa" w:w="6588"/>
            <w:shd w:fill="1B3350" w:color="auto" w:val="clear"/>
            <w:tcMar>
              <w:top w:type="dxa" w:w="70"/>
              <w:left w:type="dxa" w:w="110"/>
              <w:bottom w:type="dxa" w:w="70"/>
              <w:right w:type="dxa" w:w="110"/>
            </w:tcMar>
            <w:vAlign w:val="top"/>
          </w:tcPr>
          <w:p>
            <w:pPr>
              <w:spacing w:after="40"/>
            </w:pPr>
            <w:r>
              <w:rPr>
                <w:b/>
                <w:bCs/>
                <w:color w:val="FFFFFF"/>
                <w:sz w:val="19"/>
                <w:szCs w:val="19"/>
              </w:rPr>
              <w:t xml:space="preserve">What you use it for</w:t>
            </w:r>
          </w:p>
        </w:tc>
      </w:tr>
      <w:tr>
        <w:trPr>
          <w:cantSplit/>
        </w:trPr>
        <w:tc>
          <w:tcPr>
            <w:tcW w:type="dxa" w:w="2824"/>
            <w:tcMar>
              <w:top w:type="dxa" w:w="70"/>
              <w:left w:type="dxa" w:w="110"/>
              <w:bottom w:type="dxa" w:w="70"/>
              <w:right w:type="dxa" w:w="110"/>
            </w:tcMar>
            <w:vAlign w:val="top"/>
          </w:tcPr>
          <w:p>
            <w:pPr>
              <w:spacing w:after="40"/>
            </w:pPr>
            <w:r>
              <w:rPr>
                <w:b w:val="false"/>
                <w:bCs w:val="false"/>
                <w:sz w:val="19"/>
                <w:szCs w:val="19"/>
              </w:rPr>
              <w:t xml:space="preserve">Dashboards and Reports</w:t>
            </w:r>
          </w:p>
        </w:tc>
        <w:tc>
          <w:tcPr>
            <w:tcW w:type="dxa" w:w="6588"/>
            <w:tcMar>
              <w:top w:type="dxa" w:w="70"/>
              <w:left w:type="dxa" w:w="110"/>
              <w:bottom w:type="dxa" w:w="70"/>
              <w:right w:type="dxa" w:w="110"/>
            </w:tcMar>
            <w:vAlign w:val="top"/>
          </w:tcPr>
          <w:p>
            <w:pPr>
              <w:spacing w:after="40"/>
            </w:pPr>
            <w:r>
              <w:rPr>
                <w:b w:val="false"/>
                <w:bCs w:val="false"/>
                <w:sz w:val="19"/>
                <w:szCs w:val="19"/>
              </w:rPr>
              <w:t xml:space="preserve">Track progress, coverage and bottlenecks.</w:t>
            </w:r>
          </w:p>
        </w:tc>
      </w:tr>
      <w:tr>
        <w:trPr>
          <w:cantSplit/>
        </w:trPr>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Main-400 Register</w:t>
            </w:r>
          </w:p>
        </w:tc>
        <w:tc>
          <w:tcPr>
            <w:tcW w:type="dxa" w:w="6588"/>
            <w:shd w:fill="F8FAFB" w:color="auto" w:val="clear"/>
            <w:tcMar>
              <w:top w:type="dxa" w:w="70"/>
              <w:left w:type="dxa" w:w="110"/>
              <w:bottom w:type="dxa" w:w="70"/>
              <w:right w:type="dxa" w:w="110"/>
            </w:tcMar>
            <w:vAlign w:val="top"/>
          </w:tcPr>
          <w:p>
            <w:pPr>
              <w:spacing w:after="40"/>
            </w:pPr>
            <w:r>
              <w:rPr>
                <w:b w:val="false"/>
                <w:bCs w:val="false"/>
                <w:sz w:val="19"/>
                <w:szCs w:val="19"/>
              </w:rPr>
              <w:t xml:space="preserve">Cases, bulk verification, the contact finder, email invitations and the WhatsApp queue.</w:t>
            </w:r>
          </w:p>
        </w:tc>
      </w:tr>
      <w:tr>
        <w:trPr>
          <w:cantSplit/>
        </w:trPr>
        <w:tc>
          <w:tcPr>
            <w:tcW w:type="dxa" w:w="2824"/>
            <w:tcMar>
              <w:top w:type="dxa" w:w="70"/>
              <w:left w:type="dxa" w:w="110"/>
              <w:bottom w:type="dxa" w:w="70"/>
              <w:right w:type="dxa" w:w="110"/>
            </w:tcMar>
            <w:vAlign w:val="top"/>
          </w:tcPr>
          <w:p>
            <w:pPr>
              <w:spacing w:after="40"/>
            </w:pPr>
            <w:r>
              <w:rPr>
                <w:b w:val="false"/>
                <w:bCs w:val="false"/>
                <w:sz w:val="19"/>
                <w:szCs w:val="19"/>
              </w:rPr>
              <w:t xml:space="preserve">Organisations</w:t>
            </w:r>
          </w:p>
        </w:tc>
        <w:tc>
          <w:tcPr>
            <w:tcW w:type="dxa" w:w="6588"/>
            <w:tcMar>
              <w:top w:type="dxa" w:w="70"/>
              <w:left w:type="dxa" w:w="110"/>
              <w:bottom w:type="dxa" w:w="70"/>
              <w:right w:type="dxa" w:w="110"/>
            </w:tcMar>
            <w:vAlign w:val="top"/>
          </w:tcPr>
          <w:p>
            <w:pPr>
              <w:spacing w:after="40"/>
            </w:pPr>
            <w:r>
              <w:rPr>
                <w:b w:val="false"/>
                <w:bCs w:val="false"/>
                <w:sz w:val="19"/>
                <w:szCs w:val="19"/>
              </w:rPr>
              <w:t xml:space="preserve">Late additions and replacements.</w:t>
            </w:r>
          </w:p>
        </w:tc>
      </w:tr>
      <w:tr>
        <w:trPr>
          <w:cantSplit/>
        </w:trPr>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Appointments, Follow-ups, Communications</w:t>
            </w:r>
          </w:p>
        </w:tc>
        <w:tc>
          <w:tcPr>
            <w:tcW w:type="dxa" w:w="6588"/>
            <w:shd w:fill="F8FAFB" w:color="auto" w:val="clear"/>
            <w:tcMar>
              <w:top w:type="dxa" w:w="70"/>
              <w:left w:type="dxa" w:w="110"/>
              <w:bottom w:type="dxa" w:w="70"/>
              <w:right w:type="dxa" w:w="110"/>
            </w:tcMar>
            <w:vAlign w:val="top"/>
          </w:tcPr>
          <w:p>
            <w:pPr>
              <w:spacing w:after="40"/>
            </w:pPr>
            <w:r>
              <w:rPr>
                <w:b w:val="false"/>
                <w:bCs w:val="false"/>
                <w:sz w:val="19"/>
                <w:szCs w:val="19"/>
              </w:rPr>
              <w:t xml:space="preserve">Keep contact on schedule; answer messages and email replies.</w:t>
            </w:r>
          </w:p>
        </w:tc>
      </w:tr>
      <w:tr>
        <w:trPr>
          <w:cantSplit/>
        </w:trPr>
        <w:tc>
          <w:tcPr>
            <w:tcW w:type="dxa" w:w="2824"/>
            <w:tcMar>
              <w:top w:type="dxa" w:w="70"/>
              <w:left w:type="dxa" w:w="110"/>
              <w:bottom w:type="dxa" w:w="70"/>
              <w:right w:type="dxa" w:w="110"/>
            </w:tcMar>
            <w:vAlign w:val="top"/>
          </w:tcPr>
          <w:p>
            <w:pPr>
              <w:spacing w:after="40"/>
            </w:pPr>
            <w:r>
              <w:rPr>
                <w:b w:val="false"/>
                <w:bCs w:val="false"/>
                <w:sz w:val="19"/>
                <w:szCs w:val="19"/>
              </w:rPr>
              <w:t xml:space="preserve">Form PDFs</w:t>
            </w:r>
          </w:p>
        </w:tc>
        <w:tc>
          <w:tcPr>
            <w:tcW w:type="dxa" w:w="6588"/>
            <w:tcMar>
              <w:top w:type="dxa" w:w="70"/>
              <w:left w:type="dxa" w:w="110"/>
              <w:bottom w:type="dxa" w:w="70"/>
              <w:right w:type="dxa" w:w="110"/>
            </w:tcMar>
            <w:vAlign w:val="top"/>
          </w:tcPr>
          <w:p>
            <w:pPr>
              <w:spacing w:after="40"/>
            </w:pPr>
            <w:r>
              <w:rPr>
                <w:b w:val="false"/>
                <w:bCs w:val="false"/>
                <w:sz w:val="19"/>
                <w:szCs w:val="19"/>
              </w:rPr>
              <w:t xml:space="preserve">Completed forms for all three forms, and whether the portal matches KoboToolbox (Sync now).</w:t>
            </w:r>
          </w:p>
        </w:tc>
      </w:tr>
      <w:tr>
        <w:trPr>
          <w:cantSplit/>
        </w:trPr>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QA Queue, QA Exceptions</w:t>
            </w:r>
          </w:p>
        </w:tc>
        <w:tc>
          <w:tcPr>
            <w:tcW w:type="dxa" w:w="6588"/>
            <w:shd w:fill="F8FAFB" w:color="auto" w:val="clear"/>
            <w:tcMar>
              <w:top w:type="dxa" w:w="70"/>
              <w:left w:type="dxa" w:w="110"/>
              <w:bottom w:type="dxa" w:w="70"/>
              <w:right w:type="dxa" w:w="110"/>
            </w:tcMar>
            <w:vAlign w:val="top"/>
          </w:tcPr>
          <w:p>
            <w:pPr>
              <w:spacing w:after="40"/>
            </w:pPr>
            <w:r>
              <w:rPr>
                <w:b w:val="false"/>
                <w:bCs w:val="false"/>
                <w:sz w:val="19"/>
                <w:szCs w:val="19"/>
              </w:rPr>
              <w:t xml:space="preserve">Support and cover the QA RA.</w:t>
            </w:r>
          </w:p>
        </w:tc>
      </w:tr>
      <w:tr>
        <w:trPr>
          <w:cantSplit/>
        </w:trPr>
        <w:tc>
          <w:tcPr>
            <w:tcW w:type="dxa" w:w="2824"/>
            <w:tcMar>
              <w:top w:type="dxa" w:w="70"/>
              <w:left w:type="dxa" w:w="110"/>
              <w:bottom w:type="dxa" w:w="70"/>
              <w:right w:type="dxa" w:w="110"/>
            </w:tcMar>
            <w:vAlign w:val="top"/>
          </w:tcPr>
          <w:p>
            <w:pPr>
              <w:spacing w:after="40"/>
            </w:pPr>
            <w:r>
              <w:rPr>
                <w:b w:val="false"/>
                <w:bCs w:val="false"/>
                <w:sz w:val="19"/>
                <w:szCs w:val="19"/>
              </w:rPr>
              <w:t xml:space="preserve">KII Register, Documents</w:t>
            </w:r>
          </w:p>
        </w:tc>
        <w:tc>
          <w:tcPr>
            <w:tcW w:type="dxa" w:w="6588"/>
            <w:tcMar>
              <w:top w:type="dxa" w:w="70"/>
              <w:left w:type="dxa" w:w="110"/>
              <w:bottom w:type="dxa" w:w="70"/>
              <w:right w:type="dxa" w:w="110"/>
            </w:tcMar>
            <w:vAlign w:val="top"/>
          </w:tcPr>
          <w:p>
            <w:pPr>
              <w:spacing w:after="40"/>
            </w:pPr>
            <w:r>
              <w:rPr>
                <w:b w:val="false"/>
                <w:bCs w:val="false"/>
                <w:sz w:val="19"/>
                <w:szCs w:val="19"/>
              </w:rPr>
              <w:t xml:space="preserve">Oversee the other strands.</w:t>
            </w:r>
          </w:p>
        </w:tc>
      </w:tr>
      <w:tr>
        <w:trPr>
          <w:cantSplit/>
        </w:trPr>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Reserve Activation</w:t>
            </w:r>
          </w:p>
        </w:tc>
        <w:tc>
          <w:tcPr>
            <w:tcW w:type="dxa" w:w="6588"/>
            <w:shd w:fill="F8FAFB" w:color="auto" w:val="clear"/>
            <w:tcMar>
              <w:top w:type="dxa" w:w="70"/>
              <w:left w:type="dxa" w:w="110"/>
              <w:bottom w:type="dxa" w:w="70"/>
              <w:right w:type="dxa" w:w="110"/>
            </w:tcMar>
            <w:vAlign w:val="top"/>
          </w:tcPr>
          <w:p>
            <w:pPr>
              <w:spacing w:after="40"/>
            </w:pPr>
            <w:r>
              <w:rPr>
                <w:b w:val="false"/>
                <w:bCs w:val="false"/>
                <w:sz w:val="19"/>
                <w:szCs w:val="19"/>
              </w:rPr>
              <w:t xml:space="preserve">Replace dropped cases: follow automatic replacements, or activate by hand.</w:t>
            </w:r>
          </w:p>
        </w:tc>
      </w:tr>
      <w:tr>
        <w:trPr>
          <w:cantSplit/>
        </w:trPr>
        <w:tc>
          <w:tcPr>
            <w:tcW w:type="dxa" w:w="2824"/>
            <w:tcMar>
              <w:top w:type="dxa" w:w="70"/>
              <w:left w:type="dxa" w:w="110"/>
              <w:bottom w:type="dxa" w:w="70"/>
              <w:right w:type="dxa" w:w="110"/>
            </w:tcMar>
            <w:vAlign w:val="top"/>
          </w:tcPr>
          <w:p>
            <w:pPr>
              <w:spacing w:after="40"/>
            </w:pPr>
            <w:r>
              <w:rPr>
                <w:b w:val="false"/>
                <w:bCs w:val="false"/>
                <w:sz w:val="19"/>
                <w:szCs w:val="19"/>
              </w:rPr>
              <w:t xml:space="preserve">Cost</w:t>
            </w:r>
          </w:p>
        </w:tc>
        <w:tc>
          <w:tcPr>
            <w:tcW w:type="dxa" w:w="6588"/>
            <w:tcMar>
              <w:top w:type="dxa" w:w="70"/>
              <w:left w:type="dxa" w:w="110"/>
              <w:bottom w:type="dxa" w:w="70"/>
              <w:right w:type="dxa" w:w="110"/>
            </w:tcMar>
            <w:vAlign w:val="top"/>
          </w:tcPr>
          <w:p>
            <w:pPr>
              <w:spacing w:after="40"/>
            </w:pPr>
            <w:r>
              <w:rPr>
                <w:b w:val="false"/>
                <w:bCs w:val="false"/>
                <w:sz w:val="19"/>
                <w:szCs w:val="19"/>
              </w:rPr>
              <w:t xml:space="preserve">Log and monitor spend.</w:t>
            </w:r>
          </w:p>
        </w:tc>
      </w:tr>
      <w:tr>
        <w:trPr>
          <w:cantSplit/>
        </w:trPr>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Export</w:t>
            </w:r>
          </w:p>
        </w:tc>
        <w:tc>
          <w:tcPr>
            <w:tcW w:type="dxa" w:w="6588"/>
            <w:shd w:fill="F8FAFB" w:color="auto" w:val="clear"/>
            <w:tcMar>
              <w:top w:type="dxa" w:w="70"/>
              <w:left w:type="dxa" w:w="110"/>
              <w:bottom w:type="dxa" w:w="70"/>
              <w:right w:type="dxa" w:w="110"/>
            </w:tcMar>
            <w:vAlign w:val="top"/>
          </w:tcPr>
          <w:p>
            <w:pPr>
              <w:spacing w:after="40"/>
            </w:pPr>
            <w:r>
              <w:rPr>
                <w:b w:val="false"/>
                <w:bCs w:val="false"/>
                <w:sz w:val="19"/>
                <w:szCs w:val="19"/>
              </w:rPr>
              <w:t xml:space="preserve">De-identified analysis export.</w:t>
            </w:r>
          </w:p>
        </w:tc>
      </w:tr>
    </w:tbl>
    <w:p>
      <w:pPr>
        <w:spacing w:after="120"/>
      </w:pPr>
    </w:p>
    <w:p>
      <w:pPr>
        <w:pStyle w:val="Heading2"/>
      </w:pPr>
      <w:r>
        <w:t xml:space="preserve">Changing your password</w:t>
      </w:r>
    </w:p>
    <w:p>
      <w:pPr>
        <w:pStyle w:val="ListParagraph"/>
        <w:numPr>
          <w:ilvl w:val="0"/>
          <w:numId w:val="4"/>
        </w:numPr>
        <w:spacing w:after="80" w:line="276"/>
      </w:pPr>
      <w:r>
        <w:t xml:space="preserve">Select </w:t>
      </w:r>
      <w:r>
        <w:rPr>
          <w:b/>
          <w:bCs/>
        </w:rPr>
        <w:t xml:space="preserve">Change password</w:t>
      </w:r>
      <w:r>
        <w:t xml:space="preserve"> in the top right corner.</w:t>
      </w:r>
    </w:p>
    <w:p>
      <w:pPr>
        <w:pStyle w:val="ListParagraph"/>
        <w:numPr>
          <w:ilvl w:val="0"/>
          <w:numId w:val="4"/>
        </w:numPr>
        <w:spacing w:after="80" w:line="276"/>
      </w:pPr>
      <w:r>
        <w:t xml:space="preserve">Enter your </w:t>
      </w:r>
      <w:r>
        <w:rPr>
          <w:b/>
          <w:bCs/>
        </w:rPr>
        <w:t xml:space="preserve">Current password</w:t>
      </w:r>
      <w:r>
        <w:t xml:space="preserve">, then the </w:t>
      </w:r>
      <w:r>
        <w:rPr>
          <w:b/>
          <w:bCs/>
        </w:rPr>
        <w:t xml:space="preserve">New password</w:t>
      </w:r>
      <w:r>
        <w:t xml:space="preserve"> twice, and select </w:t>
      </w:r>
      <w:r>
        <w:rPr>
          <w:b/>
          <w:bCs/>
        </w:rPr>
        <w:t xml:space="preserve">Change password</w:t>
      </w:r>
      <w:r>
        <w:t xml:space="preserve">.</w:t>
      </w:r>
    </w:p>
    <w:p>
      <w:pPr>
        <w:keepNext/>
        <w:spacing w:after="40" w:before="80"/>
        <w:jc w:val="center"/>
      </w:pPr>
      <w:r>
        <w:drawing>
          <wp:inline distT="0" distB="0" distL="0" distR="0">
            <wp:extent cx="5334000" cy="2171700"/>
            <wp:effectExtent t="0" r="0" b="0" l="0"/>
            <wp:docPr id="1" name="adm_account.jpg" descr="Change Password screen." title="Change Password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334000" cy="2171700"/>
                    </a:xfrm>
                    <a:prstGeom prst="rect">
                      <a:avLst/>
                    </a:prstGeom>
                  </pic:spPr>
                </pic:pic>
              </a:graphicData>
            </a:graphic>
          </wp:inline>
        </w:drawing>
      </w:r>
    </w:p>
    <w:p>
      <w:pPr>
        <w:spacing w:after="180"/>
        <w:jc w:val="center"/>
      </w:pPr>
      <w:r>
        <w:rPr>
          <w:b/>
          <w:bCs/>
          <w:color w:val="5B6670"/>
          <w:sz w:val="17"/>
          <w:szCs w:val="17"/>
        </w:rPr>
        <w:t xml:space="preserve">Figure 3. </w:t>
      </w:r>
      <w:r>
        <w:rPr>
          <w:i/>
          <w:iCs/>
          <w:color w:val="5B6670"/>
          <w:sz w:val="17"/>
          <w:szCs w:val="17"/>
        </w:rPr>
        <w:t xml:space="preserve">Change Password screen.</w:t>
      </w:r>
    </w:p>
    <w:p>
      <w:pPr>
        <w:pStyle w:val="ListParagraph"/>
        <w:numPr>
          <w:ilvl w:val="0"/>
          <w:numId w:val="4"/>
        </w:numPr>
        <w:spacing w:after="80" w:line="276"/>
      </w:pPr>
      <w:r>
        <w:t xml:space="preserve">Use the new password next time you sign in. If you have forgotten your password, ask the PI to reset it.</w:t>
      </w:r>
    </w:p>
    <w:p>
      <w:pPr>
        <w:spacing w:after="80"/>
      </w:pPr>
    </w:p>
    <w:p>
      <w:pPr>
        <w:pStyle w:val="Heading1"/>
        <w:pageBreakBefore/>
      </w:pPr>
      <w:r>
        <w:t xml:space="preserve">3. Your routine</w:t>
      </w:r>
    </w:p>
    <w:p>
      <w:pPr>
        <w:spacing w:after="120" w:line="288"/>
      </w:pPr>
      <w:r>
        <w:t xml:space="preserve">A suggested rhythm. Adjust it to the Field Coordinator's plan.</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2071"/>
        <w:gridCol w:w="7341"/>
      </w:tblGrid>
      <w:tr>
        <w:trPr>
          <w:tblHeader/>
        </w:trPr>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When</w:t>
            </w:r>
          </w:p>
        </w:tc>
        <w:tc>
          <w:tcPr>
            <w:tcW w:type="dxa" w:w="7341"/>
            <w:shd w:fill="1B3350" w:color="auto" w:val="clear"/>
            <w:tcMar>
              <w:top w:type="dxa" w:w="70"/>
              <w:left w:type="dxa" w:w="110"/>
              <w:bottom w:type="dxa" w:w="70"/>
              <w:right w:type="dxa" w:w="110"/>
            </w:tcMar>
            <w:vAlign w:val="top"/>
          </w:tcPr>
          <w:p>
            <w:pPr>
              <w:spacing w:after="40"/>
            </w:pPr>
            <w:r>
              <w:rPr>
                <w:b/>
                <w:bCs/>
                <w:color w:val="FFFFFF"/>
                <w:sz w:val="19"/>
                <w:szCs w:val="19"/>
              </w:rPr>
              <w:t xml:space="preserve">What to do</w:t>
            </w:r>
          </w:p>
        </w:tc>
      </w:tr>
      <w:tr>
        <w:trPr>
          <w:cantSplit/>
        </w:trPr>
        <w:tc>
          <w:tcPr>
            <w:tcW w:type="dxa" w:w="2071"/>
            <w:tcMar>
              <w:top w:type="dxa" w:w="70"/>
              <w:left w:type="dxa" w:w="110"/>
              <w:bottom w:type="dxa" w:w="70"/>
              <w:right w:type="dxa" w:w="110"/>
            </w:tcMar>
            <w:vAlign w:val="top"/>
          </w:tcPr>
          <w:p>
            <w:pPr>
              <w:spacing w:after="40"/>
            </w:pPr>
            <w:r>
              <w:rPr>
                <w:b w:val="false"/>
                <w:bCs w:val="false"/>
                <w:sz w:val="19"/>
                <w:szCs w:val="19"/>
              </w:rPr>
              <w:t xml:space="preserve">Morning</w:t>
            </w:r>
          </w:p>
        </w:tc>
        <w:tc>
          <w:tcPr>
            <w:tcW w:type="dxa" w:w="7341"/>
            <w:tcMar>
              <w:top w:type="dxa" w:w="70"/>
              <w:left w:type="dxa" w:w="110"/>
              <w:bottom w:type="dxa" w:w="70"/>
              <w:right w:type="dxa" w:w="110"/>
            </w:tcMar>
            <w:vAlign w:val="top"/>
          </w:tcPr>
          <w:p>
            <w:pPr>
              <w:spacing w:after="40"/>
            </w:pPr>
            <w:r>
              <w:rPr>
                <w:b w:val="false"/>
                <w:bCs w:val="false"/>
                <w:sz w:val="19"/>
                <w:szCs w:val="19"/>
              </w:rPr>
              <w:t xml:space="preserve">Follow-ups due (make sure RAs send them); Appointments for today; QA Exceptions still open.</w:t>
            </w:r>
          </w:p>
        </w:tc>
      </w:tr>
      <w:tr>
        <w:trPr>
          <w:cantSplit/>
        </w:trPr>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During the day</w:t>
            </w:r>
          </w:p>
        </w:tc>
        <w:tc>
          <w:tcPr>
            <w:tcW w:type="dxa" w:w="7341"/>
            <w:shd w:fill="F8FAFB" w:color="auto" w:val="clear"/>
            <w:tcMar>
              <w:top w:type="dxa" w:w="70"/>
              <w:left w:type="dxa" w:w="110"/>
              <w:bottom w:type="dxa" w:w="70"/>
              <w:right w:type="dxa" w:w="110"/>
            </w:tcMar>
            <w:vAlign w:val="top"/>
          </w:tcPr>
          <w:p>
            <w:pPr>
              <w:spacing w:after="40"/>
            </w:pPr>
            <w:r>
              <w:rPr>
                <w:b w:val="false"/>
                <w:bCs w:val="false"/>
                <w:sz w:val="19"/>
                <w:szCs w:val="19"/>
              </w:rPr>
              <w:t xml:space="preserve">Unblock cases with no phone number; answer RA questions; handle refusals and withdrawals.</w:t>
            </w:r>
          </w:p>
        </w:tc>
      </w:tr>
      <w:tr>
        <w:trPr>
          <w:cantSplit/>
        </w:trPr>
        <w:tc>
          <w:tcPr>
            <w:tcW w:type="dxa" w:w="2071"/>
            <w:tcMar>
              <w:top w:type="dxa" w:w="70"/>
              <w:left w:type="dxa" w:w="110"/>
              <w:bottom w:type="dxa" w:w="70"/>
              <w:right w:type="dxa" w:w="110"/>
            </w:tcMar>
            <w:vAlign w:val="top"/>
          </w:tcPr>
          <w:p>
            <w:pPr>
              <w:spacing w:after="40"/>
            </w:pPr>
            <w:r>
              <w:rPr>
                <w:b w:val="false"/>
                <w:bCs w:val="false"/>
                <w:sz w:val="19"/>
                <w:szCs w:val="19"/>
              </w:rPr>
              <w:t xml:space="preserve">End of day</w:t>
            </w:r>
          </w:p>
        </w:tc>
        <w:tc>
          <w:tcPr>
            <w:tcW w:type="dxa" w:w="7341"/>
            <w:tcMar>
              <w:top w:type="dxa" w:w="70"/>
              <w:left w:type="dxa" w:w="110"/>
              <w:bottom w:type="dxa" w:w="70"/>
              <w:right w:type="dxa" w:w="110"/>
            </w:tcMar>
            <w:vAlign w:val="top"/>
          </w:tcPr>
          <w:p>
            <w:pPr>
              <w:spacing w:after="40"/>
            </w:pPr>
            <w:r>
              <w:rPr>
                <w:b w:val="false"/>
                <w:bCs w:val="false"/>
                <w:sz w:val="19"/>
                <w:szCs w:val="19"/>
              </w:rPr>
              <w:t xml:space="preserve">Reports (last 7 days): submissions, response rate, coverage; note strata falling behind.</w:t>
            </w:r>
          </w:p>
        </w:tc>
      </w:tr>
      <w:tr>
        <w:trPr>
          <w:cantSplit/>
        </w:trPr>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Weekly</w:t>
            </w:r>
          </w:p>
        </w:tc>
        <w:tc>
          <w:tcPr>
            <w:tcW w:type="dxa" w:w="7341"/>
            <w:shd w:fill="F8FAFB" w:color="auto" w:val="clear"/>
            <w:tcMar>
              <w:top w:type="dxa" w:w="70"/>
              <w:left w:type="dxa" w:w="110"/>
              <w:bottom w:type="dxa" w:w="70"/>
              <w:right w:type="dxa" w:w="110"/>
            </w:tcMar>
            <w:vAlign w:val="top"/>
          </w:tcPr>
          <w:p>
            <w:pPr>
              <w:spacing w:after="40"/>
            </w:pPr>
            <w:r>
              <w:rPr>
                <w:b w:val="false"/>
                <w:bCs w:val="false"/>
                <w:sz w:val="19"/>
                <w:szCs w:val="19"/>
              </w:rPr>
              <w:t xml:space="preserve">Cases stuck at S05–S07 beyond Day 7; Reserve activations; cost entries; brief the PI.</w:t>
            </w:r>
          </w:p>
        </w:tc>
      </w:tr>
    </w:tbl>
    <w:p>
      <w:pPr>
        <w:spacing w:after="120"/>
      </w:pPr>
    </w:p>
    <w:p>
      <w:pPr>
        <w:pStyle w:val="Heading1"/>
        <w:pageBreakBefore/>
      </w:pPr>
      <w:r>
        <w:t xml:space="preserve">4. Step-by-step tasks</w:t>
      </w:r>
    </w:p>
    <w:p>
      <w:pPr>
        <w:pStyle w:val="Heading2"/>
      </w:pPr>
      <w:r>
        <w:t xml:space="preserve">4.1 Reading the dashboards</w:t>
      </w:r>
    </w:p>
    <w:p>
      <w:pPr>
        <w:spacing w:after="120" w:line="288"/>
      </w:pPr>
      <w:r>
        <w:t xml:space="preserve">Dashboards are for monitoring; nothing on them changes data. Figures refresh whenever the screen is opened.</w:t>
      </w:r>
    </w:p>
    <w:p>
      <w:pPr>
        <w:keepNext/>
        <w:spacing w:after="40" w:before="80"/>
        <w:jc w:val="center"/>
      </w:pPr>
      <w:r>
        <w:drawing>
          <wp:inline distT="0" distB="0" distL="0" distR="0">
            <wp:extent cx="5715000" cy="3571875"/>
            <wp:effectExtent t="0" r="0" b="0" l="0"/>
            <wp:docPr id="1" name="adm_exec_dashboard.jpg" descr="Executive Dashboard: completions against the 400 / 60 / 50–75 targets, days to data lock, spend, and the lowest-filled strata." title="Executive Dashboard: completions against the 400 / 60 / 50–75 targets, days to data lock, spend, and the lowest-filled str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3571875"/>
                    </a:xfrm>
                    <a:prstGeom prst="rect">
                      <a:avLst/>
                    </a:prstGeom>
                  </pic:spPr>
                </pic:pic>
              </a:graphicData>
            </a:graphic>
          </wp:inline>
        </w:drawing>
      </w:r>
    </w:p>
    <w:p>
      <w:pPr>
        <w:spacing w:after="180"/>
        <w:jc w:val="center"/>
      </w:pPr>
      <w:r>
        <w:rPr>
          <w:b/>
          <w:bCs/>
          <w:color w:val="5B6670"/>
          <w:sz w:val="17"/>
          <w:szCs w:val="17"/>
        </w:rPr>
        <w:t xml:space="preserve">Figure 4. </w:t>
      </w:r>
      <w:r>
        <w:rPr>
          <w:i/>
          <w:iCs/>
          <w:color w:val="5B6670"/>
          <w:sz w:val="17"/>
          <w:szCs w:val="17"/>
        </w:rPr>
        <w:t xml:space="preserve">Executive Dashboard: completions against the 400 / 60 / 50–75 targets, days to data lock, spend, and the lowest-filled strata.</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694"/>
        <w:gridCol w:w="4706"/>
        <w:gridCol w:w="3012"/>
      </w:tblGrid>
      <w:tr>
        <w:trPr>
          <w:tblHeader/>
        </w:trPr>
        <w:tc>
          <w:tcPr>
            <w:tcW w:type="dxa" w:w="1694"/>
            <w:shd w:fill="1B3350" w:color="auto" w:val="clear"/>
            <w:tcMar>
              <w:top w:type="dxa" w:w="70"/>
              <w:left w:type="dxa" w:w="110"/>
              <w:bottom w:type="dxa" w:w="70"/>
              <w:right w:type="dxa" w:w="110"/>
            </w:tcMar>
            <w:vAlign w:val="top"/>
          </w:tcPr>
          <w:p>
            <w:pPr>
              <w:spacing w:after="40"/>
            </w:pPr>
            <w:r>
              <w:rPr>
                <w:b/>
                <w:bCs/>
                <w:color w:val="FFFFFF"/>
                <w:sz w:val="19"/>
                <w:szCs w:val="19"/>
              </w:rPr>
              <w:t xml:space="preserve">Dashboard</w:t>
            </w:r>
          </w:p>
        </w:tc>
        <w:tc>
          <w:tcPr>
            <w:tcW w:type="dxa" w:w="4706"/>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tells you</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Use it to</w:t>
            </w:r>
          </w:p>
        </w:tc>
      </w:tr>
      <w:tr>
        <w:trPr>
          <w:cantSplit/>
        </w:trPr>
        <w:tc>
          <w:tcPr>
            <w:tcW w:type="dxa" w:w="1694"/>
            <w:tcMar>
              <w:top w:type="dxa" w:w="70"/>
              <w:left w:type="dxa" w:w="110"/>
              <w:bottom w:type="dxa" w:w="70"/>
              <w:right w:type="dxa" w:w="110"/>
            </w:tcMar>
            <w:vAlign w:val="top"/>
          </w:tcPr>
          <w:p>
            <w:pPr>
              <w:spacing w:after="40"/>
            </w:pPr>
            <w:r>
              <w:rPr>
                <w:b w:val="false"/>
                <w:bCs w:val="false"/>
                <w:sz w:val="19"/>
                <w:szCs w:val="19"/>
              </w:rPr>
              <w:t xml:space="preserve">Executive</w:t>
            </w:r>
          </w:p>
        </w:tc>
        <w:tc>
          <w:tcPr>
            <w:tcW w:type="dxa" w:w="4706"/>
            <w:tcMar>
              <w:top w:type="dxa" w:w="70"/>
              <w:left w:type="dxa" w:w="110"/>
              <w:bottom w:type="dxa" w:w="70"/>
              <w:right w:type="dxa" w:w="110"/>
            </w:tcMar>
            <w:vAlign w:val="top"/>
          </w:tcPr>
          <w:p>
            <w:pPr>
              <w:spacing w:after="40"/>
            </w:pPr>
            <w:r>
              <w:rPr>
                <w:b w:val="false"/>
                <w:bCs w:val="false"/>
                <w:sz w:val="19"/>
                <w:szCs w:val="19"/>
              </w:rPr>
              <w:t xml:space="preserve">QUAN completed out of 400, KII completed out of 60, documents coded against 50–75, days to the 30 November 2026 data lock, spend to date, lowest-filled strata.</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See overall progress and where fieldwork attention is most needed.</w:t>
            </w:r>
          </w:p>
        </w:tc>
      </w:tr>
      <w:tr>
        <w:trPr>
          <w:cantSplit/>
        </w:trPr>
        <w:tc>
          <w:tcPr>
            <w:tcW w:type="dxa" w:w="1694"/>
            <w:shd w:fill="F8FAFB" w:color="auto" w:val="clear"/>
            <w:tcMar>
              <w:top w:type="dxa" w:w="70"/>
              <w:left w:type="dxa" w:w="110"/>
              <w:bottom w:type="dxa" w:w="70"/>
              <w:right w:type="dxa" w:w="110"/>
            </w:tcMar>
            <w:vAlign w:val="top"/>
          </w:tcPr>
          <w:p>
            <w:pPr>
              <w:spacing w:after="40"/>
            </w:pPr>
            <w:r>
              <w:rPr>
                <w:b w:val="false"/>
                <w:bCs w:val="false"/>
                <w:sz w:val="19"/>
                <w:szCs w:val="19"/>
              </w:rPr>
              <w:t xml:space="preserve">Sampling</w:t>
            </w:r>
          </w:p>
        </w:tc>
        <w:tc>
          <w:tcPr>
            <w:tcW w:type="dxa" w:w="4706"/>
            <w:shd w:fill="F8FAFB" w:color="auto" w:val="clear"/>
            <w:tcMar>
              <w:top w:type="dxa" w:w="70"/>
              <w:left w:type="dxa" w:w="110"/>
              <w:bottom w:type="dxa" w:w="70"/>
              <w:right w:type="dxa" w:w="110"/>
            </w:tcMar>
            <w:vAlign w:val="top"/>
          </w:tcPr>
          <w:p>
            <w:pPr>
              <w:spacing w:after="40"/>
            </w:pPr>
            <w:r>
              <w:rPr>
                <w:b w:val="false"/>
                <w:bCs w:val="false"/>
                <w:sz w:val="19"/>
                <w:szCs w:val="19"/>
              </w:rPr>
              <w:t xml:space="preserve">Main cases by province, verified/total by stratum, Reserve activations by reason.</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Check the design stays balanced across strata.</w:t>
            </w:r>
          </w:p>
        </w:tc>
      </w:tr>
      <w:tr>
        <w:trPr>
          <w:cantSplit/>
        </w:trPr>
        <w:tc>
          <w:tcPr>
            <w:tcW w:type="dxa" w:w="1694"/>
            <w:tcMar>
              <w:top w:type="dxa" w:w="70"/>
              <w:left w:type="dxa" w:w="110"/>
              <w:bottom w:type="dxa" w:w="70"/>
              <w:right w:type="dxa" w:w="110"/>
            </w:tcMar>
            <w:vAlign w:val="top"/>
          </w:tcPr>
          <w:p>
            <w:pPr>
              <w:spacing w:after="40"/>
            </w:pPr>
            <w:r>
              <w:rPr>
                <w:b w:val="false"/>
                <w:bCs w:val="false"/>
                <w:sz w:val="19"/>
                <w:szCs w:val="19"/>
              </w:rPr>
              <w:t xml:space="preserve">Contact</w:t>
            </w:r>
          </w:p>
        </w:tc>
        <w:tc>
          <w:tcPr>
            <w:tcW w:type="dxa" w:w="4706"/>
            <w:tcMar>
              <w:top w:type="dxa" w:w="70"/>
              <w:left w:type="dxa" w:w="110"/>
              <w:bottom w:type="dxa" w:w="70"/>
              <w:right w:type="dxa" w:w="110"/>
            </w:tcMar>
            <w:vAlign w:val="top"/>
          </w:tcPr>
          <w:p>
            <w:pPr>
              <w:spacing w:after="40"/>
            </w:pPr>
            <w:r>
              <w:rPr>
                <w:b w:val="false"/>
                <w:bCs w:val="false"/>
                <w:sz w:val="19"/>
                <w:szCs w:val="19"/>
              </w:rPr>
              <w:t xml:space="preserve">Organisations verified, eligible respondents identified, invitations sent and opened, upcoming appointments, refusals, unreachable cases.</w:t>
            </w:r>
          </w:p>
        </w:tc>
        <w:tc>
          <w:tcPr>
            <w:tcW w:type="dxa" w:w="3012"/>
            <w:tcMar>
              <w:top w:type="dxa" w:w="70"/>
              <w:left w:type="dxa" w:w="110"/>
              <w:bottom w:type="dxa" w:w="70"/>
              <w:right w:type="dxa" w:w="110"/>
            </w:tcMar>
            <w:vAlign w:val="top"/>
          </w:tcPr>
          <w:p>
            <w:pPr>
              <w:spacing w:after="40"/>
            </w:pPr>
            <w:r>
              <w:rPr>
                <w:b w:val="false"/>
                <w:bCs w:val="false"/>
                <w:sz w:val="19"/>
                <w:szCs w:val="19"/>
              </w:rPr>
              <w:t xml:space="preserve">Track outreach and spot stalled contact.</w:t>
            </w:r>
          </w:p>
        </w:tc>
      </w:tr>
      <w:tr>
        <w:trPr>
          <w:cantSplit/>
        </w:trPr>
        <w:tc>
          <w:tcPr>
            <w:tcW w:type="dxa" w:w="1694"/>
            <w:shd w:fill="F8FAFB" w:color="auto" w:val="clear"/>
            <w:tcMar>
              <w:top w:type="dxa" w:w="70"/>
              <w:left w:type="dxa" w:w="110"/>
              <w:bottom w:type="dxa" w:w="70"/>
              <w:right w:type="dxa" w:w="110"/>
            </w:tcMar>
            <w:vAlign w:val="top"/>
          </w:tcPr>
          <w:p>
            <w:pPr>
              <w:spacing w:after="40"/>
            </w:pPr>
            <w:r>
              <w:rPr>
                <w:b w:val="false"/>
                <w:bCs w:val="false"/>
                <w:sz w:val="19"/>
                <w:szCs w:val="19"/>
              </w:rPr>
              <w:t xml:space="preserve">QA Dashboard</w:t>
            </w:r>
          </w:p>
        </w:tc>
        <w:tc>
          <w:tcPr>
            <w:tcW w:type="dxa" w:w="4706"/>
            <w:shd w:fill="F8FAFB" w:color="auto" w:val="clear"/>
            <w:tcMar>
              <w:top w:type="dxa" w:w="70"/>
              <w:left w:type="dxa" w:w="110"/>
              <w:bottom w:type="dxa" w:w="70"/>
              <w:right w:type="dxa" w:w="110"/>
            </w:tcMar>
            <w:vAlign w:val="top"/>
          </w:tcPr>
          <w:p>
            <w:pPr>
              <w:spacing w:after="40"/>
            </w:pPr>
            <w:r>
              <w:rPr>
                <w:b w:val="false"/>
                <w:bCs w:val="false"/>
                <w:sz w:val="19"/>
                <w:szCs w:val="19"/>
              </w:rPr>
              <w:t xml:space="preserve">Submissions today and in total, the open QA queue, decisions recorded, completions by administration mode.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Keep the QA backlog under control.</w:t>
            </w:r>
          </w:p>
        </w:tc>
      </w:tr>
      <w:tr>
        <w:trPr>
          <w:cantSplit/>
        </w:trPr>
        <w:tc>
          <w:tcPr>
            <w:tcW w:type="dxa" w:w="1694"/>
            <w:tcMar>
              <w:top w:type="dxa" w:w="70"/>
              <w:left w:type="dxa" w:w="110"/>
              <w:bottom w:type="dxa" w:w="70"/>
              <w:right w:type="dxa" w:w="110"/>
            </w:tcMar>
            <w:vAlign w:val="top"/>
          </w:tcPr>
          <w:p>
            <w:pPr>
              <w:spacing w:after="40"/>
            </w:pPr>
            <w:r>
              <w:rPr>
                <w:b w:val="false"/>
                <w:bCs w:val="false"/>
                <w:sz w:val="19"/>
                <w:szCs w:val="19"/>
              </w:rPr>
              <w:t xml:space="preserve">KII/Doc Dashboard</w:t>
            </w:r>
          </w:p>
        </w:tc>
        <w:tc>
          <w:tcPr>
            <w:tcW w:type="dxa" w:w="4706"/>
            <w:tcMar>
              <w:top w:type="dxa" w:w="70"/>
              <w:left w:type="dxa" w:w="110"/>
              <w:bottom w:type="dxa" w:w="70"/>
              <w:right w:type="dxa" w:w="110"/>
            </w:tcMar>
            <w:vAlign w:val="top"/>
          </w:tcPr>
          <w:p>
            <w:pPr>
              <w:spacing w:after="40"/>
            </w:pPr>
            <w:r>
              <w:rPr>
                <w:b w:val="false"/>
                <w:bCs w:val="false"/>
                <w:sz w:val="19"/>
                <w:szCs w:val="19"/>
              </w:rPr>
              <w:t xml:space="preserve">KII completed against 60; KIIs by status; documents by type and QA status.</w:t>
            </w:r>
          </w:p>
        </w:tc>
        <w:tc>
          <w:tcPr>
            <w:tcW w:type="dxa" w:w="3012"/>
            <w:tcMar>
              <w:top w:type="dxa" w:w="70"/>
              <w:left w:type="dxa" w:w="110"/>
              <w:bottom w:type="dxa" w:w="70"/>
              <w:right w:type="dxa" w:w="110"/>
            </w:tcMar>
            <w:vAlign w:val="top"/>
          </w:tcPr>
          <w:p>
            <w:pPr>
              <w:spacing w:after="40"/>
            </w:pPr>
            <w:r>
              <w:rPr>
                <w:b w:val="false"/>
                <w:bCs w:val="false"/>
                <w:sz w:val="19"/>
                <w:szCs w:val="19"/>
              </w:rPr>
              <w:t xml:space="preserve">Track the qualitative and documentary strands.</w:t>
            </w:r>
          </w:p>
        </w:tc>
      </w:tr>
    </w:tbl>
    <w:p>
      <w:pPr>
        <w:spacing w:after="120"/>
      </w:pP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Targets versus records</w:t>
            </w:r>
          </w:p>
          <w:p>
            <w:pPr>
              <w:spacing w:after="40" w:line="264"/>
            </w:pPr>
            <w:r>
              <w:rPr>
                <w:sz w:val="19"/>
                <w:szCs w:val="19"/>
              </w:rPr>
              <w:t xml:space="preserve">The registers hold more records than the targets (for example 90 KII records for 60 completed interviews). The surplus is reserve depth for non-response, not extra work.</w:t>
            </w:r>
          </w:p>
        </w:tc>
      </w:tr>
    </w:tbl>
    <w:p>
      <w:pPr>
        <w:pStyle w:val="Heading2"/>
      </w:pPr>
      <w:r>
        <w:t xml:space="preserve">4.2 Using Reports (analytics and charts)</w:t>
      </w:r>
    </w:p>
    <w:p>
      <w:pPr>
        <w:pStyle w:val="ListParagraph"/>
        <w:numPr>
          <w:ilvl w:val="0"/>
          <w:numId w:val="5"/>
        </w:numPr>
        <w:spacing w:after="80" w:line="276"/>
      </w:pPr>
      <w:r>
        <w:t xml:space="preserve">Select </w:t>
      </w:r>
      <w:r>
        <w:rPr>
          <w:b/>
          <w:bCs/>
        </w:rPr>
        <w:t xml:space="preserve">Reports</w:t>
      </w:r>
      <w:r>
        <w:t xml:space="preserve"> in the top bar.</w:t>
      </w:r>
    </w:p>
    <w:p>
      <w:pPr>
        <w:keepNext/>
        <w:spacing w:after="40" w:before="80"/>
        <w:jc w:val="center"/>
      </w:pPr>
      <w:r>
        <w:drawing>
          <wp:inline distT="0" distB="0" distL="0" distR="0">
            <wp:extent cx="5334000" cy="3333750"/>
            <wp:effectExtent t="0" r="0" b="0" l="0"/>
            <wp:docPr id="1" name="adm_reports_top.jpg" descr="Reports: headline figures for the chosen period." title="Reports: headline figures for the chosen perio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334000" cy="3333750"/>
                    </a:xfrm>
                    <a:prstGeom prst="rect">
                      <a:avLst/>
                    </a:prstGeom>
                  </pic:spPr>
                </pic:pic>
              </a:graphicData>
            </a:graphic>
          </wp:inline>
        </w:drawing>
      </w:r>
    </w:p>
    <w:p>
      <w:pPr>
        <w:spacing w:after="180"/>
        <w:jc w:val="center"/>
      </w:pPr>
      <w:r>
        <w:rPr>
          <w:b/>
          <w:bCs/>
          <w:color w:val="5B6670"/>
          <w:sz w:val="17"/>
          <w:szCs w:val="17"/>
        </w:rPr>
        <w:t xml:space="preserve">Figure 5. </w:t>
      </w:r>
      <w:r>
        <w:rPr>
          <w:i/>
          <w:iCs/>
          <w:color w:val="5B6670"/>
          <w:sz w:val="17"/>
          <w:szCs w:val="17"/>
        </w:rPr>
        <w:t xml:space="preserve">Reports: headline figures for the chosen period.</w:t>
      </w:r>
    </w:p>
    <w:p>
      <w:pPr>
        <w:pStyle w:val="ListParagraph"/>
        <w:numPr>
          <w:ilvl w:val="0"/>
          <w:numId w:val="5"/>
        </w:numPr>
        <w:spacing w:after="80" w:line="276"/>
      </w:pPr>
      <w:r>
        <w:t xml:space="preserve">Choose the period with </w:t>
      </w:r>
      <w:r>
        <w:rPr>
          <w:b/>
          <w:bCs/>
        </w:rPr>
        <w:t xml:space="preserve">Last 7 days</w:t>
      </w:r>
      <w:r>
        <w:t xml:space="preserve">, </w:t>
      </w:r>
      <w:r>
        <w:rPr>
          <w:b/>
          <w:bCs/>
        </w:rPr>
        <w:t xml:space="preserve">Last 30 days</w:t>
      </w:r>
      <w:r>
        <w:t xml:space="preserve">, </w:t>
      </w:r>
      <w:r>
        <w:rPr>
          <w:b/>
          <w:bCs/>
        </w:rPr>
        <w:t xml:space="preserve">Last 90 days</w:t>
      </w:r>
      <w:r>
        <w:t xml:space="preserve"> or </w:t>
      </w:r>
      <w:r>
        <w:rPr>
          <w:b/>
          <w:bCs/>
        </w:rPr>
        <w:t xml:space="preserve">All time</w:t>
      </w:r>
      <w:r>
        <w:t xml:space="preserve">. Case progress (the funnel and workflow) is always cumulative; time-based figures such as submissions per day follow the period.</w:t>
      </w:r>
    </w:p>
    <w:p>
      <w:pPr>
        <w:pStyle w:val="ListParagraph"/>
        <w:numPr>
          <w:ilvl w:val="0"/>
          <w:numId w:val="5"/>
        </w:numPr>
        <w:spacing w:after="80" w:line="276"/>
      </w:pPr>
      <w:r>
        <w:t xml:space="preserve">Read the headline cards: questionnaires submitted, passed QA, response rate (submitted ÷ invited), median completion time, follow-ups sent, withdrawals, Reserves activated, and fieldwork cost per QA-passed case.</w:t>
      </w:r>
    </w:p>
    <w:p>
      <w:pPr>
        <w:keepNext/>
        <w:spacing w:after="40" w:before="80"/>
        <w:jc w:val="center"/>
      </w:pPr>
      <w:r>
        <w:drawing>
          <wp:inline distT="0" distB="0" distL="0" distR="0">
            <wp:extent cx="5334000" cy="3409950"/>
            <wp:effectExtent t="0" r="0" b="0" l="0"/>
            <wp:docPr id="1" name="adm_reports_funnel.jpg" descr="Case funnel: each case counted once at every stage it has reached." title="Case funnel: each case counted once at every stage it has reach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334000" cy="3409950"/>
                    </a:xfrm>
                    <a:prstGeom prst="rect">
                      <a:avLst/>
                    </a:prstGeom>
                  </pic:spPr>
                </pic:pic>
              </a:graphicData>
            </a:graphic>
          </wp:inline>
        </w:drawing>
      </w:r>
    </w:p>
    <w:p>
      <w:pPr>
        <w:spacing w:after="180"/>
        <w:jc w:val="center"/>
      </w:pPr>
      <w:r>
        <w:rPr>
          <w:b/>
          <w:bCs/>
          <w:color w:val="5B6670"/>
          <w:sz w:val="17"/>
          <w:szCs w:val="17"/>
        </w:rPr>
        <w:t xml:space="preserve">Figure 6. </w:t>
      </w:r>
      <w:r>
        <w:rPr>
          <w:i/>
          <w:iCs/>
          <w:color w:val="5B6670"/>
          <w:sz w:val="17"/>
          <w:szCs w:val="17"/>
        </w:rPr>
        <w:t xml:space="preserve">Case funnel: each case counted once at every stage it has reached.</w:t>
      </w:r>
    </w:p>
    <w:p>
      <w:pPr>
        <w:pStyle w:val="ListParagraph"/>
        <w:numPr>
          <w:ilvl w:val="0"/>
          <w:numId w:val="5"/>
        </w:numPr>
        <w:spacing w:after="80" w:line="276"/>
      </w:pPr>
      <w:r>
        <w:t xml:space="preserve">Select </w:t>
      </w:r>
      <w:r>
        <w:rPr>
          <w:b/>
          <w:bCs/>
        </w:rPr>
        <w:t xml:space="preserve">Show table</w:t>
      </w:r>
      <w:r>
        <w:t xml:space="preserve"> on any chart to see the exact numbers, for example to copy them into a progress report.</w:t>
      </w:r>
    </w:p>
    <w:p>
      <w:pPr>
        <w:keepNext/>
        <w:spacing w:after="40" w:before="80"/>
        <w:jc w:val="center"/>
      </w:pPr>
      <w:r>
        <w:drawing>
          <wp:inline distT="0" distB="0" distL="0" distR="0">
            <wp:extent cx="5334000" cy="3248025"/>
            <wp:effectExtent t="0" r="0" b="0" l="0"/>
            <wp:docPr id="1" name="adm_reports_funnel_table.jpg" descr="The same chart as a table." title="The same chart as a t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334000" cy="3248025"/>
                    </a:xfrm>
                    <a:prstGeom prst="rect">
                      <a:avLst/>
                    </a:prstGeom>
                  </pic:spPr>
                </pic:pic>
              </a:graphicData>
            </a:graphic>
          </wp:inline>
        </w:drawing>
      </w:r>
    </w:p>
    <w:p>
      <w:pPr>
        <w:spacing w:after="180"/>
        <w:jc w:val="center"/>
      </w:pPr>
      <w:r>
        <w:rPr>
          <w:b/>
          <w:bCs/>
          <w:color w:val="5B6670"/>
          <w:sz w:val="17"/>
          <w:szCs w:val="17"/>
        </w:rPr>
        <w:t xml:space="preserve">Figure 7. </w:t>
      </w:r>
      <w:r>
        <w:rPr>
          <w:i/>
          <w:iCs/>
          <w:color w:val="5B6670"/>
          <w:sz w:val="17"/>
          <w:szCs w:val="17"/>
        </w:rPr>
        <w:t xml:space="preserve">The same chart as a table.</w:t>
      </w:r>
    </w:p>
    <w:p>
      <w:pPr>
        <w:pStyle w:val="ListParagraph"/>
        <w:numPr>
          <w:ilvl w:val="0"/>
          <w:numId w:val="5"/>
        </w:numPr>
        <w:spacing w:after="80" w:line="276"/>
      </w:pPr>
      <w:r>
        <w:t xml:space="preserve">Use </w:t>
      </w:r>
      <w:r>
        <w:rPr>
          <w:b/>
          <w:bCs/>
        </w:rPr>
        <w:t xml:space="preserve">Coverage</w:t>
      </w:r>
      <w:r>
        <w:t xml:space="preserve"> to see, by province, organisation type and size, what share of cases have been invited and have submitted. Short bars show where contact effort should go next.</w:t>
      </w:r>
    </w:p>
    <w:p>
      <w:pPr>
        <w:keepNext/>
        <w:spacing w:after="40" w:before="80"/>
        <w:jc w:val="center"/>
      </w:pPr>
      <w:r>
        <w:drawing>
          <wp:inline distT="0" distB="0" distL="0" distR="0">
            <wp:extent cx="5334000" cy="2628900"/>
            <wp:effectExtent t="0" r="0" b="0" l="0"/>
            <wp:docPr id="1" name="adm_reports_coverage.jpg" descr="Coverage by group." title="Coverage by grou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334000" cy="2628900"/>
                    </a:xfrm>
                    <a:prstGeom prst="rect">
                      <a:avLst/>
                    </a:prstGeom>
                  </pic:spPr>
                </pic:pic>
              </a:graphicData>
            </a:graphic>
          </wp:inline>
        </w:drawing>
      </w:r>
    </w:p>
    <w:p>
      <w:pPr>
        <w:spacing w:after="180"/>
        <w:jc w:val="center"/>
      </w:pPr>
      <w:r>
        <w:rPr>
          <w:b/>
          <w:bCs/>
          <w:color w:val="5B6670"/>
          <w:sz w:val="17"/>
          <w:szCs w:val="17"/>
        </w:rPr>
        <w:t xml:space="preserve">Figure 8. </w:t>
      </w:r>
      <w:r>
        <w:rPr>
          <w:i/>
          <w:iCs/>
          <w:color w:val="5B6670"/>
          <w:sz w:val="17"/>
          <w:szCs w:val="17"/>
        </w:rPr>
        <w:t xml:space="preserve">Coverage by group.</w:t>
      </w:r>
    </w:p>
    <w:p>
      <w:pPr>
        <w:pStyle w:val="ListParagraph"/>
        <w:numPr>
          <w:ilvl w:val="0"/>
          <w:numId w:val="5"/>
        </w:numPr>
        <w:spacing w:after="80" w:line="276"/>
      </w:pPr>
      <w:r>
        <w:t xml:space="preserve">Check </w:t>
      </w:r>
      <w:r>
        <w:rPr>
          <w:b/>
          <w:bCs/>
        </w:rPr>
        <w:t xml:space="preserve">How questionnaires were completed</w:t>
      </w:r>
      <w:r>
        <w:t xml:space="preserve">. If one administration mode dominates (more than 70% once at least 10 questionnaires are in), the chart shows an imbalance alert so the team can review the mix.</w:t>
      </w:r>
    </w:p>
    <w:p>
      <w:pPr>
        <w:keepNext/>
        <w:spacing w:after="40" w:before="80"/>
        <w:jc w:val="center"/>
      </w:pPr>
      <w:r>
        <w:drawing>
          <wp:inline distT="0" distB="0" distL="0" distR="0">
            <wp:extent cx="5334000" cy="2600325"/>
            <wp:effectExtent t="0" r="0" b="0" l="0"/>
            <wp:docPr id="1" name="adm_reports_modes.jpg" descr="Administration modes." title="Administration mod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334000" cy="2600325"/>
                    </a:xfrm>
                    <a:prstGeom prst="rect">
                      <a:avLst/>
                    </a:prstGeom>
                  </pic:spPr>
                </pic:pic>
              </a:graphicData>
            </a:graphic>
          </wp:inline>
        </w:drawing>
      </w:r>
    </w:p>
    <w:p>
      <w:pPr>
        <w:spacing w:after="180"/>
        <w:jc w:val="center"/>
      </w:pPr>
      <w:r>
        <w:rPr>
          <w:b/>
          <w:bCs/>
          <w:color w:val="5B6670"/>
          <w:sz w:val="17"/>
          <w:szCs w:val="17"/>
        </w:rPr>
        <w:t xml:space="preserve">Figure 9. </w:t>
      </w:r>
      <w:r>
        <w:rPr>
          <w:i/>
          <w:iCs/>
          <w:color w:val="5B6670"/>
          <w:sz w:val="17"/>
          <w:szCs w:val="17"/>
        </w:rPr>
        <w:t xml:space="preserve">Administration modes.</w:t>
      </w:r>
    </w:p>
    <w:p>
      <w:pPr>
        <w:pStyle w:val="ListParagraph"/>
        <w:numPr>
          <w:ilvl w:val="0"/>
          <w:numId w:val="5"/>
        </w:numPr>
        <w:spacing w:after="80" w:line="276"/>
      </w:pPr>
      <w:r>
        <w:t xml:space="preserve">Review </w:t>
      </w:r>
      <w:r>
        <w:rPr>
          <w:b/>
          <w:bCs/>
        </w:rPr>
        <w:t xml:space="preserve">Time to complete the questionnaire</w:t>
      </w:r>
      <w:r>
        <w:t xml:space="preserve"> and </w:t>
      </w:r>
      <w:r>
        <w:rPr>
          <w:b/>
          <w:bCs/>
        </w:rPr>
        <w:t xml:space="preserve">QA outcomes</w:t>
      </w:r>
      <w:r>
        <w:t xml:space="preserve">. Very short or very long completions are what the QA duration rules flag.</w:t>
      </w:r>
    </w:p>
    <w:p>
      <w:pPr>
        <w:keepNext/>
        <w:spacing w:after="40" w:before="80"/>
        <w:jc w:val="center"/>
      </w:pPr>
      <w:r>
        <w:drawing>
          <wp:inline distT="0" distB="0" distL="0" distR="0">
            <wp:extent cx="5334000" cy="2905125"/>
            <wp:effectExtent t="0" r="0" b="0" l="0"/>
            <wp:docPr id="1" name="adm_reports_duration.jpg" descr="Completion-time distribution." title="Completion-time distribu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334000" cy="2905125"/>
                    </a:xfrm>
                    <a:prstGeom prst="rect">
                      <a:avLst/>
                    </a:prstGeom>
                  </pic:spPr>
                </pic:pic>
              </a:graphicData>
            </a:graphic>
          </wp:inline>
        </w:drawing>
      </w:r>
    </w:p>
    <w:p>
      <w:pPr>
        <w:spacing w:after="180"/>
        <w:jc w:val="center"/>
      </w:pPr>
      <w:r>
        <w:rPr>
          <w:b/>
          <w:bCs/>
          <w:color w:val="5B6670"/>
          <w:sz w:val="17"/>
          <w:szCs w:val="17"/>
        </w:rPr>
        <w:t xml:space="preserve">Figure 10. </w:t>
      </w:r>
      <w:r>
        <w:rPr>
          <w:i/>
          <w:iCs/>
          <w:color w:val="5B6670"/>
          <w:sz w:val="17"/>
          <w:szCs w:val="17"/>
        </w:rPr>
        <w:t xml:space="preserve">Completion-time distribution.</w:t>
      </w:r>
    </w:p>
    <w:p>
      <w:pPr>
        <w:spacing w:after="80"/>
      </w:pPr>
    </w:p>
    <w:p>
      <w:pPr>
        <w:spacing w:after="120" w:line="288"/>
      </w:pPr>
      <w:r>
        <w:t xml:space="preserve">Reports show counts and rates only — never names or answers — so they are safe to discuss with supervisors.</w:t>
      </w:r>
    </w:p>
    <w:p>
      <w:pPr>
        <w:pStyle w:val="Heading2"/>
      </w:pPr>
      <w:r>
        <w:t xml:space="preserve">4.3 Moving cases through verification (bulk)</w:t>
      </w:r>
    </w:p>
    <w:p>
      <w:pPr>
        <w:spacing w:after="120" w:line="288"/>
      </w:pPr>
      <w:r>
        <w:t xml:space="preserve">Every Main case must reach </w:t>
      </w:r>
      <w:r>
        <w:rPr>
          <w:b/>
          <w:bCs/>
        </w:rPr>
        <w:t xml:space="preserve">S03 Eligible respondent identified</w:t>
      </w:r>
      <w:r>
        <w:t xml:space="preserve"> before it is invited, otherwise its status will not follow the respondent and no reminders are offered. Verification (S00 → S01 → S02 → S03) can be done for all cases at a step at once.</w:t>
      </w:r>
    </w:p>
    <w:p>
      <w:pPr>
        <w:pStyle w:val="ListParagraph"/>
        <w:numPr>
          <w:ilvl w:val="0"/>
          <w:numId w:val="6"/>
        </w:numPr>
        <w:spacing w:after="80" w:line="276"/>
      </w:pPr>
      <w:r>
        <w:t xml:space="preserve">Open </w:t>
      </w:r>
      <w:r>
        <w:rPr>
          <w:b/>
          <w:bCs/>
        </w:rPr>
        <w:t xml:space="preserve">Main-400 Register</w:t>
      </w:r>
      <w:r>
        <w:t xml:space="preserve">.</w:t>
      </w:r>
    </w:p>
    <w:p>
      <w:pPr>
        <w:pStyle w:val="ListParagraph"/>
        <w:numPr>
          <w:ilvl w:val="0"/>
          <w:numId w:val="6"/>
        </w:numPr>
        <w:spacing w:after="80" w:line="276"/>
      </w:pPr>
      <w:r>
        <w:t xml:space="preserve">In </w:t>
      </w:r>
      <w:r>
        <w:rPr>
          <w:b/>
          <w:bCs/>
        </w:rPr>
        <w:t xml:space="preserve">Move cases through verification</w:t>
      </w:r>
      <w:r>
        <w:t xml:space="preserve">, choose the step, for example </w:t>
      </w:r>
      <w:r>
        <w:rPr>
          <w:b/>
          <w:bCs/>
        </w:rPr>
        <w:t xml:space="preserve">S00 Selected → S01 Verification required</w:t>
      </w:r>
      <w:r>
        <w:t xml:space="preserve">. The button shows how many Main cases are at that step, e.g. </w:t>
      </w:r>
      <w:r>
        <w:rPr>
          <w:b/>
          <w:bCs/>
        </w:rPr>
        <w:t xml:space="preserve">Move all 48</w:t>
      </w:r>
      <w:r>
        <w:t xml:space="preserve">.</w:t>
      </w:r>
    </w:p>
    <w:p>
      <w:pPr>
        <w:keepNext/>
        <w:spacing w:after="40" w:before="80"/>
        <w:jc w:val="center"/>
      </w:pPr>
      <w:r>
        <w:drawing>
          <wp:inline distT="0" distB="0" distL="0" distR="0">
            <wp:extent cx="5334000" cy="609600"/>
            <wp:effectExtent t="0" r="0" b="0" l="0"/>
            <wp:docPr id="1" name="adm_bulk_verification.jpg" descr="The bulk verification tool on the register." title="The bulk verification tool on the regis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334000" cy="609600"/>
                    </a:xfrm>
                    <a:prstGeom prst="rect">
                      <a:avLst/>
                    </a:prstGeom>
                  </pic:spPr>
                </pic:pic>
              </a:graphicData>
            </a:graphic>
          </wp:inline>
        </w:drawing>
      </w:r>
    </w:p>
    <w:p>
      <w:pPr>
        <w:spacing w:after="180"/>
        <w:jc w:val="center"/>
      </w:pPr>
      <w:r>
        <w:rPr>
          <w:b/>
          <w:bCs/>
          <w:color w:val="5B6670"/>
          <w:sz w:val="17"/>
          <w:szCs w:val="17"/>
        </w:rPr>
        <w:t xml:space="preserve">Figure 11. </w:t>
      </w:r>
      <w:r>
        <w:rPr>
          <w:i/>
          <w:iCs/>
          <w:color w:val="5B6670"/>
          <w:sz w:val="17"/>
          <w:szCs w:val="17"/>
        </w:rPr>
        <w:t xml:space="preserve">The bulk verification tool on the register.</w:t>
      </w:r>
    </w:p>
    <w:p>
      <w:pPr>
        <w:pStyle w:val="ListParagraph"/>
        <w:numPr>
          <w:ilvl w:val="0"/>
          <w:numId w:val="6"/>
        </w:numPr>
        <w:spacing w:after="80" w:line="276"/>
      </w:pPr>
      <w:r>
        <w:t xml:space="preserve">Select the button and confirm. Each case is moved individually and each move is written to the audit log under your name.</w:t>
      </w:r>
    </w:p>
    <w:p>
      <w:pPr>
        <w:pStyle w:val="ListParagraph"/>
        <w:numPr>
          <w:ilvl w:val="0"/>
          <w:numId w:val="6"/>
        </w:numPr>
        <w:spacing w:after="80" w:line="276"/>
      </w:pPr>
      <w:r>
        <w:t xml:space="preserve">Repeat for </w:t>
      </w:r>
      <w:r>
        <w:rPr>
          <w:b/>
          <w:bCs/>
        </w:rPr>
        <w:t xml:space="preserve">S01 → S02</w:t>
      </w:r>
      <w:r>
        <w:t xml:space="preserve"> and </w:t>
      </w:r>
      <w:r>
        <w:rPr>
          <w:b/>
          <w:bCs/>
        </w:rPr>
        <w:t xml:space="preserve">S02 → S03</w:t>
      </w:r>
      <w:r>
        <w:t xml:space="preserve">.</w:t>
      </w:r>
    </w:p>
    <w:p>
      <w:pPr>
        <w:spacing w:after="80"/>
      </w:pPr>
    </w:p>
    <w:tbl>
      <w:tblPr>
        <w:tblW w:type="dxa" w:w="9412"/>
        <w:tblBorders>
          <w:top w:val="single" w:color="FBF1E1" w:sz="2"/>
          <w:left w:val="single" w:color="D9A441" w:sz="24"/>
          <w:bottom w:val="single" w:color="FBF1E1" w:sz="2"/>
          <w:right w:val="single" w:color="FBF1E1" w:sz="2"/>
          <w:insideH w:val="single" w:color="FBF1E1" w:sz="4"/>
          <w:insideV w:val="single" w:color="FBF1E1" w:sz="4"/>
        </w:tblBorders>
      </w:tblPr>
      <w:tblGrid>
        <w:gridCol w:w="9412"/>
      </w:tblGrid>
      <w:tr>
        <w:trPr>
          <w:cantSplit/>
        </w:trPr>
        <w:tc>
          <w:tcPr>
            <w:tcW w:type="dxa" w:w="9412"/>
            <w:shd w:fill="FBF1E1" w:color="auto" w:val="clear"/>
            <w:tcMar>
              <w:top w:type="dxa" w:w="100"/>
              <w:left w:type="dxa" w:w="180"/>
              <w:bottom w:type="dxa" w:w="100"/>
              <w:right w:type="dxa" w:w="160"/>
            </w:tcMar>
          </w:tcPr>
          <w:p>
            <w:pPr>
              <w:spacing w:after="40"/>
            </w:pPr>
            <w:r>
              <w:rPr>
                <w:b/>
                <w:bCs/>
                <w:color w:val="22282E"/>
                <w:sz w:val="20"/>
                <w:szCs w:val="20"/>
              </w:rPr>
              <w:t xml:space="preserve">Only verification is bulk</w:t>
            </w:r>
          </w:p>
          <w:p>
            <w:pPr>
              <w:spacing w:after="40" w:line="264"/>
            </w:pPr>
            <w:r>
              <w:rPr>
                <w:sz w:val="19"/>
                <w:szCs w:val="19"/>
              </w:rPr>
              <w:t xml:space="preserve">Statuses from S04 onwards follow real events (invitation sent, link opened, questionnaire submitted, QA decision) or an individual decision on the case page. They are never changed in bulk.</w:t>
            </w:r>
          </w:p>
        </w:tc>
      </w:tr>
    </w:tbl>
    <w:p>
      <w:pPr>
        <w:pStyle w:val="Heading2"/>
      </w:pPr>
      <w:r>
        <w:t xml:space="preserve">4.4 Reassigning cases between Contact RAs</w:t>
      </w:r>
    </w:p>
    <w:p>
      <w:pPr>
        <w:spacing w:after="120" w:line="288"/>
      </w:pPr>
      <w:r>
        <w:t xml:space="preserve">Use </w:t>
      </w:r>
      <w:r>
        <w:rPr>
          <w:b/>
          <w:bCs/>
        </w:rPr>
        <w:t xml:space="preserve">Reassign cases</w:t>
      </w:r>
      <w:r>
        <w:t xml:space="preserve"> on the Main-400 Register to hand many cases to a Contact RA at once — for example when new RAs start, or when an RA leaves. For a single case, use </w:t>
      </w:r>
      <w:r>
        <w:rPr>
          <w:b/>
          <w:bCs/>
        </w:rPr>
        <w:t xml:space="preserve">Assigned Contact RA</w:t>
      </w:r>
      <w:r>
        <w:t xml:space="preserve"> on the case page.</w:t>
      </w:r>
    </w:p>
    <w:p>
      <w:pPr>
        <w:pStyle w:val="ListParagraph"/>
        <w:numPr>
          <w:ilvl w:val="0"/>
          <w:numId w:val="7"/>
        </w:numPr>
        <w:spacing w:after="80" w:line="276"/>
      </w:pPr>
      <w:r>
        <w:t xml:space="preserve">Open </w:t>
      </w:r>
      <w:r>
        <w:rPr>
          <w:b/>
          <w:bCs/>
        </w:rPr>
        <w:t xml:space="preserve">Main-400 Register</w:t>
      </w:r>
      <w:r>
        <w:t xml:space="preserve"> and find </w:t>
      </w:r>
      <w:r>
        <w:rPr>
          <w:b/>
          <w:bCs/>
        </w:rPr>
        <w:t xml:space="preserve">Reassign cases</w:t>
      </w:r>
      <w:r>
        <w:t xml:space="preserve"> (below the verification tool).</w:t>
      </w:r>
    </w:p>
    <w:p>
      <w:pPr>
        <w:pStyle w:val="ListParagraph"/>
        <w:numPr>
          <w:ilvl w:val="0"/>
          <w:numId w:val="7"/>
        </w:numPr>
        <w:spacing w:after="80" w:line="276"/>
      </w:pPr>
      <w:r>
        <w:t xml:space="preserve">Choose </w:t>
      </w:r>
      <w:r>
        <w:rPr>
          <w:b/>
          <w:bCs/>
        </w:rPr>
        <w:t xml:space="preserve">From</w:t>
      </w:r>
      <w:r>
        <w:t xml:space="preserve"> (Anyone, Unassigned, or a Contact RA), a </w:t>
      </w:r>
      <w:r>
        <w:rPr>
          <w:b/>
          <w:bCs/>
        </w:rPr>
        <w:t xml:space="preserve">Province</w:t>
      </w:r>
      <w:r>
        <w:t xml:space="preserve"> or All provinces, and </w:t>
      </w:r>
      <w:r>
        <w:rPr>
          <w:b/>
          <w:bCs/>
        </w:rPr>
        <w:t xml:space="preserve">To</w:t>
      </w:r>
      <w:r>
        <w:t xml:space="preserve"> (the Contact RA receiving the cases, or Nobody to unassign).</w:t>
      </w:r>
    </w:p>
    <w:p>
      <w:pPr>
        <w:keepNext/>
        <w:spacing w:after="40" w:before="80"/>
        <w:jc w:val="center"/>
      </w:pPr>
      <w:r>
        <w:drawing>
          <wp:inline distT="0" distB="0" distL="0" distR="0">
            <wp:extent cx="5334000" cy="771525"/>
            <wp:effectExtent t="0" r="0" b="0" l="0"/>
            <wp:docPr id="1" name="adm_reassign.jpg" descr="Reassign cases: the button shows how many cases will move." title="Reassign cases: the button shows how many cases will mov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334000" cy="771525"/>
                    </a:xfrm>
                    <a:prstGeom prst="rect">
                      <a:avLst/>
                    </a:prstGeom>
                  </pic:spPr>
                </pic:pic>
              </a:graphicData>
            </a:graphic>
          </wp:inline>
        </w:drawing>
      </w:r>
    </w:p>
    <w:p>
      <w:pPr>
        <w:spacing w:after="180"/>
        <w:jc w:val="center"/>
      </w:pPr>
      <w:r>
        <w:rPr>
          <w:b/>
          <w:bCs/>
          <w:color w:val="5B6670"/>
          <w:sz w:val="17"/>
          <w:szCs w:val="17"/>
        </w:rPr>
        <w:t xml:space="preserve">Figure 12. </w:t>
      </w:r>
      <w:r>
        <w:rPr>
          <w:i/>
          <w:iCs/>
          <w:color w:val="5B6670"/>
          <w:sz w:val="17"/>
          <w:szCs w:val="17"/>
        </w:rPr>
        <w:t xml:space="preserve">Reassign cases: the button shows how many cases will move.</w:t>
      </w:r>
    </w:p>
    <w:p>
      <w:pPr>
        <w:pStyle w:val="ListParagraph"/>
        <w:numPr>
          <w:ilvl w:val="0"/>
          <w:numId w:val="7"/>
        </w:numPr>
        <w:spacing w:after="80" w:line="276"/>
      </w:pPr>
      <w:r>
        <w:t xml:space="preserve">To split a large province, type a number in </w:t>
      </w:r>
      <w:r>
        <w:rPr>
          <w:b/>
          <w:bCs/>
        </w:rPr>
        <w:t xml:space="preserve">How many</w:t>
      </w:r>
      <w:r>
        <w:t xml:space="preserve">. Cases move in Sample ID order, so move part of the province to one RA, then the rest to the next.</w:t>
      </w:r>
    </w:p>
    <w:p>
      <w:pPr>
        <w:pStyle w:val="ListParagraph"/>
        <w:numPr>
          <w:ilvl w:val="0"/>
          <w:numId w:val="7"/>
        </w:numPr>
        <w:spacing w:after="80" w:line="276"/>
      </w:pPr>
      <w:r>
        <w:t xml:space="preserve">Select </w:t>
      </w:r>
      <w:r>
        <w:rPr>
          <w:b/>
          <w:bCs/>
        </w:rPr>
        <w:t xml:space="preserve">Move N cases</w:t>
      </w:r>
      <w:r>
        <w:t xml:space="preserve"> and confirm. The move is written to the audit log with every Sample ID.</w:t>
      </w:r>
    </w:p>
    <w:p>
      <w:pPr>
        <w:spacing w:after="80"/>
      </w:pP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What the RA sees</w:t>
            </w:r>
          </w:p>
          <w:p>
            <w:pPr>
              <w:spacing w:after="40" w:line="264"/>
            </w:pPr>
            <w:r>
              <w:rPr>
                <w:sz w:val="19"/>
                <w:szCs w:val="19"/>
              </w:rPr>
              <w:t xml:space="preserve">A Contact RA sees only the cases assigned to them, including on Follow-ups. Reassigning a case moves its reminders with it.</w:t>
            </w:r>
          </w:p>
        </w:tc>
      </w:tr>
    </w:tbl>
    <w:p>
      <w:pPr>
        <w:pStyle w:val="Heading2"/>
      </w:pPr>
      <w:r>
        <w:t xml:space="preserve">4.5 Pairing a Main case with its Reserve, and assigning a Contact RA</w:t>
      </w:r>
    </w:p>
    <w:p>
      <w:pPr>
        <w:pStyle w:val="ListParagraph"/>
        <w:numPr>
          <w:ilvl w:val="0"/>
          <w:numId w:val="8"/>
        </w:numPr>
        <w:spacing w:after="80" w:line="276"/>
      </w:pPr>
      <w:r>
        <w:t xml:space="preserve">Open the Main case (</w:t>
      </w:r>
      <w:r>
        <w:rPr>
          <w:b/>
          <w:bCs/>
        </w:rPr>
        <w:t xml:space="preserve">Main-400 Register → View</w:t>
      </w:r>
      <w:r>
        <w:t xml:space="preserve">).</w:t>
      </w:r>
    </w:p>
    <w:p>
      <w:pPr>
        <w:pStyle w:val="ListParagraph"/>
        <w:numPr>
          <w:ilvl w:val="0"/>
          <w:numId w:val="8"/>
        </w:numPr>
        <w:spacing w:after="80" w:line="276"/>
      </w:pPr>
      <w:r>
        <w:t xml:space="preserve">In </w:t>
      </w:r>
      <w:r>
        <w:rPr>
          <w:b/>
          <w:bCs/>
        </w:rPr>
        <w:t xml:space="preserve">Assigned Contact RA</w:t>
      </w:r>
      <w:r>
        <w:t xml:space="preserve">, choose the RA from the list. The change saves straight away and shows </w:t>
      </w:r>
      <w:r>
        <w:rPr>
          <w:b/>
          <w:bCs/>
        </w:rPr>
        <w:t xml:space="preserve">Currently: &lt;name&gt;</w:t>
      </w:r>
      <w:r>
        <w:t xml:space="preserve">. That RA now sees the case; other Contact RAs do not.</w:t>
      </w:r>
    </w:p>
    <w:p>
      <w:pPr>
        <w:keepNext/>
        <w:spacing w:after="40" w:before="80"/>
        <w:jc w:val="center"/>
      </w:pPr>
      <w:r>
        <w:drawing>
          <wp:inline distT="0" distB="0" distL="0" distR="0">
            <wp:extent cx="5334000" cy="581025"/>
            <wp:effectExtent t="0" r="0" b="0" l="0"/>
            <wp:docPr id="1" name="adm_case_assign.jpg" descr="Assigned Contact RA." title="Assigned Contact 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334000" cy="581025"/>
                    </a:xfrm>
                    <a:prstGeom prst="rect">
                      <a:avLst/>
                    </a:prstGeom>
                  </pic:spPr>
                </pic:pic>
              </a:graphicData>
            </a:graphic>
          </wp:inline>
        </w:drawing>
      </w:r>
    </w:p>
    <w:p>
      <w:pPr>
        <w:spacing w:after="180"/>
        <w:jc w:val="center"/>
      </w:pPr>
      <w:r>
        <w:rPr>
          <w:b/>
          <w:bCs/>
          <w:color w:val="5B6670"/>
          <w:sz w:val="17"/>
          <w:szCs w:val="17"/>
        </w:rPr>
        <w:t xml:space="preserve">Figure 13. </w:t>
      </w:r>
      <w:r>
        <w:rPr>
          <w:i/>
          <w:iCs/>
          <w:color w:val="5B6670"/>
          <w:sz w:val="17"/>
          <w:szCs w:val="17"/>
        </w:rPr>
        <w:t xml:space="preserve">Assigned Contact RA.</w:t>
      </w:r>
    </w:p>
    <w:p>
      <w:pPr>
        <w:pStyle w:val="ListParagraph"/>
        <w:numPr>
          <w:ilvl w:val="0"/>
          <w:numId w:val="8"/>
        </w:numPr>
        <w:spacing w:after="80" w:line="276"/>
      </w:pPr>
      <w:r>
        <w:t xml:space="preserve">In </w:t>
      </w:r>
      <w:r>
        <w:rPr>
          <w:b/>
          <w:bCs/>
        </w:rPr>
        <w:t xml:space="preserve">Matched Reserve case</w:t>
      </w:r>
      <w:r>
        <w:t xml:space="preserve">, choose the Reserve. Only locked Reserves not already paired are offered, same-stratum ones first. A cross-stratum choice is allowed but flagged in the audit log.</w:t>
      </w:r>
    </w:p>
    <w:p>
      <w:pPr>
        <w:keepNext/>
        <w:spacing w:after="40" w:before="80"/>
        <w:jc w:val="center"/>
      </w:pPr>
      <w:r>
        <w:drawing>
          <wp:inline distT="0" distB="0" distL="0" distR="0">
            <wp:extent cx="5334000" cy="685800"/>
            <wp:effectExtent t="0" r="0" b="0" l="0"/>
            <wp:docPr id="1" name="adm_case_reserve.jpg" descr="Matched Reserve case." title="Matched Reserve ca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334000" cy="685800"/>
                    </a:xfrm>
                    <a:prstGeom prst="rect">
                      <a:avLst/>
                    </a:prstGeom>
                  </pic:spPr>
                </pic:pic>
              </a:graphicData>
            </a:graphic>
          </wp:inline>
        </w:drawing>
      </w:r>
    </w:p>
    <w:p>
      <w:pPr>
        <w:spacing w:after="180"/>
        <w:jc w:val="center"/>
      </w:pPr>
      <w:r>
        <w:rPr>
          <w:b/>
          <w:bCs/>
          <w:color w:val="5B6670"/>
          <w:sz w:val="17"/>
          <w:szCs w:val="17"/>
        </w:rPr>
        <w:t xml:space="preserve">Figure 14. </w:t>
      </w:r>
      <w:r>
        <w:rPr>
          <w:i/>
          <w:iCs/>
          <w:color w:val="5B6670"/>
          <w:sz w:val="17"/>
          <w:szCs w:val="17"/>
        </w:rPr>
        <w:t xml:space="preserve">Matched Reserve case.</w:t>
      </w:r>
    </w:p>
    <w:p>
      <w:pPr>
        <w:spacing w:after="80"/>
      </w:pPr>
    </w:p>
    <w:p>
      <w:pPr>
        <w:pStyle w:val="Heading2"/>
      </w:pPr>
      <w:r>
        <w:t xml:space="preserve">4.6 Finding contact details with AI</w:t>
      </w:r>
    </w:p>
    <w:p>
      <w:pPr>
        <w:spacing w:after="120" w:line="288"/>
      </w:pPr>
      <w:r>
        <w:t xml:space="preserve">Many cases have no phone, WhatsApp or email on file, so they cannot be invited. The contact finder searches public sources for an organisation's </w:t>
      </w:r>
      <w:r>
        <w:rPr>
          <w:b/>
          <w:bCs/>
        </w:rPr>
        <w:t xml:space="preserve">published</w:t>
      </w:r>
      <w:r>
        <w:t xml:space="preserve"> phone number and email address, and for senior staff the organisation itself names (for example on its own website or annual report), but only with their published phone or email. It no longer looks for websites or office addresses, and a name found without a phone or email is not kept. Like PROIT research, it only proposes: nothing is saved until you accept it.</w:t>
      </w:r>
    </w:p>
    <w:p>
      <w:pPr>
        <w:pStyle w:val="Heading3"/>
      </w:pPr>
      <w:r>
        <w:t xml:space="preserve">For one case</w:t>
      </w:r>
    </w:p>
    <w:p>
      <w:pPr>
        <w:pStyle w:val="ListParagraph"/>
        <w:numPr>
          <w:ilvl w:val="0"/>
          <w:numId w:val="9"/>
        </w:numPr>
        <w:spacing w:after="80" w:line="276"/>
      </w:pPr>
      <w:r>
        <w:t xml:space="preserve">Open the case (</w:t>
      </w:r>
      <w:r>
        <w:rPr>
          <w:b/>
          <w:bCs/>
        </w:rPr>
        <w:t xml:space="preserve">Main-400 Register → View</w:t>
      </w:r>
      <w:r>
        <w:t xml:space="preserve">) and find </w:t>
      </w:r>
      <w:r>
        <w:rPr>
          <w:b/>
          <w:bCs/>
        </w:rPr>
        <w:t xml:space="preserve">Find contact details with AI</w:t>
      </w:r>
      <w:r>
        <w:t xml:space="preserve">.</w:t>
      </w:r>
    </w:p>
    <w:p>
      <w:pPr>
        <w:pStyle w:val="ListParagraph"/>
        <w:numPr>
          <w:ilvl w:val="0"/>
          <w:numId w:val="9"/>
        </w:numPr>
        <w:spacing w:after="80" w:line="276"/>
      </w:pPr>
      <w:r>
        <w:t xml:space="preserve">Select </w:t>
      </w:r>
      <w:r>
        <w:rPr>
          <w:b/>
          <w:bCs/>
        </w:rPr>
        <w:t xml:space="preserve">Find contact details</w:t>
      </w:r>
      <w:r>
        <w:t xml:space="preserve">. Searches run one at a time, about a minute each. If others are ahead, the button reads </w:t>
      </w:r>
      <w:r>
        <w:rPr>
          <w:b/>
          <w:bCs/>
        </w:rPr>
        <w:t xml:space="preserve">Waiting in line…</w:t>
      </w:r>
      <w:r>
        <w:t xml:space="preserve"> and says how many; it starts by itself. You can leave the page and come back.</w:t>
      </w:r>
    </w:p>
    <w:p>
      <w:pPr>
        <w:pStyle w:val="ListParagraph"/>
        <w:numPr>
          <w:ilvl w:val="0"/>
          <w:numId w:val="9"/>
        </w:numPr>
        <w:spacing w:after="80" w:line="276"/>
      </w:pPr>
      <w:r>
        <w:t xml:space="preserve">Under </w:t>
      </w:r>
      <w:r>
        <w:rPr>
          <w:b/>
          <w:bCs/>
        </w:rPr>
        <w:t xml:space="preserve">To review</w:t>
      </w:r>
      <w:r>
        <w:t xml:space="preserve">, each finding shows what was found, a confidence level, and the page it came from with the passage that shows it. Select the page title to open it and check it is the right organisation.</w:t>
      </w:r>
    </w:p>
    <w:p>
      <w:pPr>
        <w:pStyle w:val="ListParagraph"/>
        <w:numPr>
          <w:ilvl w:val="0"/>
          <w:numId w:val="9"/>
        </w:numPr>
        <w:spacing w:after="80" w:line="276"/>
      </w:pPr>
      <w:r>
        <w:t xml:space="preserve">Decide on each one:</w:t>
      </w:r>
    </w:p>
    <w:p>
      <w:pPr>
        <w:pStyle w:val="ListParagraph"/>
        <w:numPr>
          <w:ilvl w:val="1"/>
          <w:numId w:val="2"/>
        </w:numPr>
        <w:spacing w:after="40"/>
      </w:pPr>
      <w:r>
        <w:t xml:space="preserve">An organisation </w:t>
      </w:r>
      <w:r>
        <w:rPr>
          <w:b/>
          <w:bCs/>
        </w:rPr>
        <w:t xml:space="preserve">phone</w:t>
      </w:r>
      <w:r>
        <w:t xml:space="preserve"> or </w:t>
      </w:r>
      <w:r>
        <w:rPr>
          <w:b/>
          <w:bCs/>
        </w:rPr>
        <w:t xml:space="preserve">email</w:t>
      </w:r>
      <w:r>
        <w:t xml:space="preserve">: </w:t>
      </w:r>
      <w:r>
        <w:rPr>
          <w:b/>
          <w:bCs/>
        </w:rPr>
        <w:t xml:space="preserve">Accept</w:t>
      </w:r>
      <w:r>
        <w:t xml:space="preserve"> records it on a respondent called “Organisation contact (to be identified)”, ready for you to phone the organisation and find the right person. It never overwrites a different number or address already there; edit that under </w:t>
      </w:r>
      <w:r>
        <w:rPr>
          <w:b/>
          <w:bCs/>
        </w:rPr>
        <w:t xml:space="preserve">Respondents and contact details</w:t>
      </w:r>
      <w:r>
        <w:t xml:space="preserve"> instead.</w:t>
      </w:r>
    </w:p>
    <w:p>
      <w:pPr>
        <w:pStyle w:val="ListParagraph"/>
        <w:numPr>
          <w:ilvl w:val="1"/>
          <w:numId w:val="2"/>
        </w:numPr>
        <w:spacing w:after="40"/>
      </w:pPr>
      <w:r>
        <w:t xml:space="preserve">A </w:t>
      </w:r>
      <w:r>
        <w:rPr>
          <w:b/>
          <w:bCs/>
        </w:rPr>
        <w:t xml:space="preserve">named person</w:t>
      </w:r>
      <w:r>
        <w:t xml:space="preserve">: choose their </w:t>
      </w:r>
      <w:r>
        <w:rPr>
          <w:b/>
          <w:bCs/>
        </w:rPr>
        <w:t xml:space="preserve">Role</w:t>
      </w:r>
      <w:r>
        <w:t xml:space="preserve"> if the page shows it, then </w:t>
      </w:r>
      <w:r>
        <w:rPr>
          <w:b/>
          <w:bCs/>
        </w:rPr>
        <w:t xml:space="preserve">Accept</w:t>
      </w:r>
      <w:r>
        <w:t xml:space="preserve">. They become a new respondent, marked not yet screened. Screen them for eligibility before inviting.</w:t>
      </w:r>
    </w:p>
    <w:p>
      <w:pPr>
        <w:pStyle w:val="ListParagraph"/>
        <w:numPr>
          <w:ilvl w:val="1"/>
          <w:numId w:val="2"/>
        </w:numPr>
        <w:spacing w:after="40"/>
      </w:pPr>
      <w:r>
        <w:t xml:space="preserve">A </w:t>
      </w:r>
      <w:r>
        <w:rPr>
          <w:b/>
          <w:bCs/>
        </w:rPr>
        <w:t xml:space="preserve">website</w:t>
      </w:r>
      <w:r>
        <w:t xml:space="preserve"> or </w:t>
      </w:r>
      <w:r>
        <w:rPr>
          <w:b/>
          <w:bCs/>
        </w:rPr>
        <w:t xml:space="preserve">office location</w:t>
      </w:r>
      <w:r>
        <w:t xml:space="preserve"> found by an earlier search (before 6 October 2026) can still be accepted; it is kept with the organisation and shown at the top of the panel. New searches no longer propose them.</w:t>
      </w:r>
    </w:p>
    <w:p>
      <w:pPr>
        <w:pStyle w:val="ListParagraph"/>
        <w:numPr>
          <w:ilvl w:val="1"/>
          <w:numId w:val="2"/>
        </w:numPr>
        <w:spacing w:after="40"/>
      </w:pPr>
      <w:r>
        <w:rPr>
          <w:b/>
          <w:bCs/>
        </w:rPr>
        <w:t xml:space="preserve">Reject</w:t>
      </w:r>
      <w:r>
        <w:t xml:space="preserve"> anything that belongs to a different organisation with a similar name, or that you cannot confirm on the page.</w:t>
      </w:r>
    </w:p>
    <w:p>
      <w:pPr>
        <w:pStyle w:val="ListParagraph"/>
        <w:numPr>
          <w:ilvl w:val="0"/>
          <w:numId w:val="9"/>
        </w:numPr>
        <w:spacing w:after="80" w:line="276"/>
      </w:pPr>
      <w:r>
        <w:t xml:space="preserve">When the case has a confirmed eligible respondent and a number, verify it to </w:t>
      </w:r>
      <w:r>
        <w:rPr>
          <w:b/>
          <w:bCs/>
        </w:rPr>
        <w:t xml:space="preserve">S03</w:t>
      </w:r>
      <w:r>
        <w:t xml:space="preserve"> and invite it as usual.</w:t>
      </w:r>
    </w:p>
    <w:p>
      <w:pPr>
        <w:spacing w:after="80"/>
      </w:pPr>
    </w:p>
    <w:p>
      <w:pPr>
        <w:pStyle w:val="Heading3"/>
      </w:pPr>
      <w:r>
        <w:t xml:space="preserve">For many cases at once (coordinator and PI)</w:t>
      </w:r>
    </w:p>
    <w:p>
      <w:pPr>
        <w:pStyle w:val="ListParagraph"/>
        <w:numPr>
          <w:ilvl w:val="0"/>
          <w:numId w:val="10"/>
        </w:numPr>
        <w:spacing w:after="80" w:line="276"/>
      </w:pPr>
      <w:r>
        <w:t xml:space="preserve">Open </w:t>
      </w:r>
      <w:r>
        <w:rPr>
          <w:b/>
          <w:bCs/>
        </w:rPr>
        <w:t xml:space="preserve">Main-400 Register</w:t>
      </w:r>
      <w:r>
        <w:t xml:space="preserve">. The </w:t>
      </w:r>
      <w:r>
        <w:rPr>
          <w:b/>
          <w:bCs/>
        </w:rPr>
        <w:t xml:space="preserve">Find contact details with AI</w:t>
      </w:r>
      <w:r>
        <w:t xml:space="preserve"> panel says how many cases not yet invited have no phone, WhatsApp or email, and the rough cost per case.</w:t>
      </w:r>
    </w:p>
    <w:p>
      <w:pPr>
        <w:pStyle w:val="ListParagraph"/>
        <w:numPr>
          <w:ilvl w:val="0"/>
          <w:numId w:val="10"/>
        </w:numPr>
        <w:spacing w:after="80" w:line="276"/>
      </w:pPr>
      <w:r>
        <w:t xml:space="preserve">Type a number in </w:t>
      </w:r>
      <w:r>
        <w:rPr>
          <w:b/>
          <w:bCs/>
        </w:rPr>
        <w:t xml:space="preserve">How many cases</w:t>
      </w:r>
      <w:r>
        <w:t xml:space="preserve"> (up to 25 at a time) and select </w:t>
      </w:r>
      <w:r>
        <w:rPr>
          <w:b/>
          <w:bCs/>
        </w:rPr>
        <w:t xml:space="preserve">Find contacts</w:t>
      </w:r>
      <w:r>
        <w:t xml:space="preserve">. Cases are searched in Sample ID order; a case searched in the last 30 days is skipped.</w:t>
      </w:r>
    </w:p>
    <w:p>
      <w:pPr>
        <w:pStyle w:val="ListParagraph"/>
        <w:numPr>
          <w:ilvl w:val="0"/>
          <w:numId w:val="10"/>
        </w:numPr>
        <w:spacing w:after="80" w:line="276"/>
      </w:pPr>
      <w:r>
        <w:t xml:space="preserve">The searches run one at a time, about a minute each, so a batch of 25 takes around half an hour. The panel shows the progress, for example “Batch in progress: 6 done, 1 searching now, 18 waiting (of 25)”. Only one batch runs at a time: start the next when this one has finished.</w:t>
      </w:r>
    </w:p>
    <w:p>
      <w:pPr>
        <w:pStyle w:val="ListParagraph"/>
        <w:numPr>
          <w:ilvl w:val="0"/>
          <w:numId w:val="10"/>
        </w:numPr>
        <w:spacing w:after="80" w:line="276"/>
      </w:pPr>
      <w:r>
        <w:t xml:space="preserve">Under </w:t>
      </w:r>
      <w:r>
        <w:rPr>
          <w:b/>
          <w:bCs/>
        </w:rPr>
        <w:t xml:space="preserve">Findings to review</w:t>
      </w:r>
      <w:r>
        <w:t xml:space="preserve">, the panel lists every case whose findings are waiting for a decision. Select </w:t>
      </w:r>
      <w:r>
        <w:rPr>
          <w:b/>
          <w:bCs/>
        </w:rPr>
        <w:t xml:space="preserve">Review N findings</w:t>
      </w:r>
      <w:r>
        <w:t xml:space="preserve"> to open the case and accept or reject them: a batch never saves anything by itself.</w:t>
      </w:r>
    </w:p>
    <w:p>
      <w:pPr>
        <w:spacing w:after="80"/>
      </w:pPr>
    </w:p>
    <w:p>
      <w:pPr>
        <w:pStyle w:val="Heading3"/>
      </w:pPr>
      <w:r>
        <w:t xml:space="preserve">Reviewing many findings at once (coordinator and PI)</w:t>
      </w:r>
    </w:p>
    <w:p>
      <w:pPr>
        <w:pStyle w:val="ListParagraph"/>
        <w:numPr>
          <w:ilvl w:val="0"/>
          <w:numId w:val="11"/>
        </w:numPr>
        <w:spacing w:after="80" w:line="276"/>
      </w:pPr>
      <w:r>
        <w:t xml:space="preserve">On the register, under </w:t>
      </w:r>
      <w:r>
        <w:rPr>
          <w:b/>
          <w:bCs/>
        </w:rPr>
        <w:t xml:space="preserve">Findings to review</w:t>
      </w:r>
      <w:r>
        <w:t xml:space="preserve">, select </w:t>
      </w:r>
      <w:r>
        <w:rPr>
          <w:b/>
          <w:bCs/>
        </w:rPr>
        <w:t xml:space="preserve">Review them all on one page</w:t>
      </w:r>
      <w:r>
        <w:t xml:space="preserve">. Every waiting finding is listed, grouped by case, with its confidence, the site it came from and the passage quoted from that page.</w:t>
      </w:r>
    </w:p>
    <w:p>
      <w:pPr>
        <w:pStyle w:val="ListParagraph"/>
        <w:numPr>
          <w:ilvl w:val="0"/>
          <w:numId w:val="11"/>
        </w:numPr>
        <w:spacing w:after="80" w:line="276"/>
      </w:pPr>
      <w:r>
        <w:t xml:space="preserve">Use the filters to work in the most useful order. </w:t>
      </w:r>
      <w:r>
        <w:rPr>
          <w:b/>
          <w:bCs/>
        </w:rPr>
        <w:t xml:space="preserve">Phones</w:t>
      </w:r>
      <w:r>
        <w:t xml:space="preserve"> and </w:t>
      </w:r>
      <w:r>
        <w:rPr>
          <w:b/>
          <w:bCs/>
        </w:rPr>
        <w:t xml:space="preserve">Emails</w:t>
      </w:r>
      <w:r>
        <w:t xml:space="preserve"> are chosen to begin with, because they are what an invitation needs; add </w:t>
      </w:r>
      <w:r>
        <w:rPr>
          <w:b/>
          <w:bCs/>
        </w:rPr>
        <w:t xml:space="preserve">Named people</w:t>
      </w:r>
      <w:r>
        <w:t xml:space="preserve">, </w:t>
      </w:r>
      <w:r>
        <w:rPr>
          <w:b/>
          <w:bCs/>
        </w:rPr>
        <w:t xml:space="preserve">Websites</w:t>
      </w:r>
      <w:r>
        <w:t xml:space="preserve"> or </w:t>
      </w:r>
      <w:r>
        <w:rPr>
          <w:b/>
          <w:bCs/>
        </w:rPr>
        <w:t xml:space="preserve">Office locations</w:t>
      </w:r>
      <w:r>
        <w:t xml:space="preserve"> later. Choose </w:t>
      </w:r>
      <w:r>
        <w:rPr>
          <w:b/>
          <w:bCs/>
        </w:rPr>
        <w:t xml:space="preserve">High</w:t>
      </w:r>
      <w:r>
        <w:t xml:space="preserve"> confidence to start with the strongest, or pick a </w:t>
      </w:r>
      <w:r>
        <w:rPr>
          <w:b/>
          <w:bCs/>
        </w:rPr>
        <w:t xml:space="preserve">Source site</w:t>
      </w:r>
      <w:r>
        <w:t xml:space="preserve"> to judge one site's findings together.</w:t>
      </w:r>
    </w:p>
    <w:p>
      <w:pPr>
        <w:pStyle w:val="ListParagraph"/>
        <w:numPr>
          <w:ilvl w:val="0"/>
          <w:numId w:val="11"/>
        </w:numPr>
        <w:spacing w:after="80" w:line="276"/>
      </w:pPr>
      <w:r>
        <w:t xml:space="preserve">For each finding, read the quote (select the title to open the page if in doubt), then </w:t>
      </w:r>
      <w:r>
        <w:rPr>
          <w:b/>
          <w:bCs/>
        </w:rPr>
        <w:t xml:space="preserve">Accept</w:t>
      </w:r>
      <w:r>
        <w:t xml:space="preserve"> or </w:t>
      </w:r>
      <w:r>
        <w:rPr>
          <w:b/>
          <w:bCs/>
        </w:rPr>
        <w:t xml:space="preserve">Reject</w:t>
      </w:r>
      <w:r>
        <w:t xml:space="preserve">. For a named person, choose their </w:t>
      </w:r>
      <w:r>
        <w:rPr>
          <w:b/>
          <w:bCs/>
        </w:rPr>
        <w:t xml:space="preserve">Role</w:t>
      </w:r>
      <w:r>
        <w:t xml:space="preserve"> first.</w:t>
      </w:r>
    </w:p>
    <w:p>
      <w:pPr>
        <w:pStyle w:val="ListParagraph"/>
        <w:numPr>
          <w:ilvl w:val="0"/>
          <w:numId w:val="11"/>
        </w:numPr>
        <w:spacing w:after="80" w:line="276"/>
      </w:pPr>
      <w:r>
        <w:t xml:space="preserve">When everything shown for a case is right, </w:t>
      </w:r>
      <w:r>
        <w:rPr>
          <w:b/>
          <w:bCs/>
        </w:rPr>
        <w:t xml:space="preserve">Accept all N shown</w:t>
      </w:r>
      <w:r>
        <w:t xml:space="preserve"> accepts them in one go. It is not offered when a case shows more than one phone or more than one email (choose the right one) or a named person (accept with a role). </w:t>
      </w:r>
      <w:r>
        <w:rPr>
          <w:b/>
          <w:bCs/>
        </w:rPr>
        <w:t xml:space="preserve">Reject all shown</w:t>
      </w:r>
      <w:r>
        <w:t xml:space="preserve"> asks you to confirm first.</w:t>
      </w:r>
    </w:p>
    <w:p>
      <w:pPr>
        <w:pStyle w:val="ListParagraph"/>
        <w:numPr>
          <w:ilvl w:val="0"/>
          <w:numId w:val="11"/>
        </w:numPr>
        <w:spacing w:after="80" w:line="276"/>
      </w:pPr>
      <w:r>
        <w:t xml:space="preserve">Decided findings disappear from the list. Each decision is recorded in the audit log under your name, exactly as on the case page.</w:t>
      </w:r>
    </w:p>
    <w:p>
      <w:pPr>
        <w:spacing w:after="80"/>
      </w:pP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Cost</w:t>
            </w:r>
          </w:p>
          <w:p>
            <w:pPr>
              <w:spacing w:after="40" w:line="264"/>
            </w:pPr>
            <w:r>
              <w:rPr>
                <w:sz w:val="19"/>
                <w:szCs w:val="19"/>
              </w:rPr>
              <w:t xml:space="preserve">Each search is a paid request on the study's AI account, about USD 0.05–0.15 per organisation. The batch panel shows the estimate before you start.</w:t>
            </w:r>
          </w:p>
        </w:tc>
      </w:tr>
    </w:tbl>
    <w:p>
      <w:pPr>
        <w:pStyle w:val="Heading3"/>
      </w:pPr>
      <w:r>
        <w:t xml:space="preserve">Importing background research done in ChatGPT</w:t>
      </w:r>
    </w:p>
    <w:p>
      <w:pPr>
        <w:spacing w:after="120" w:line="288"/>
      </w:pPr>
      <w:r>
        <w:t xml:space="preserve">If you researched businesses in ChatGPT with the Main-400 research pack (its Fill A Contacts and Fill B PROIT facts sheets), the PI or Field Coordinator can load the returned Excel file in one go, on the </w:t>
      </w:r>
      <w:r>
        <w:rPr>
          <w:b/>
          <w:bCs/>
        </w:rPr>
        <w:t xml:space="preserve">Main-400 Register</w:t>
      </w:r>
      <w:r>
        <w:t xml:space="preserve"> under </w:t>
      </w:r>
      <w:r>
        <w:rPr>
          <w:b/>
          <w:bCs/>
        </w:rPr>
        <w:t xml:space="preserve">Import background research (ChatGPT workbook)</w:t>
      </w:r>
      <w:r>
        <w:t xml:space="preserve">: choose the file, </w:t>
      </w:r>
      <w:r>
        <w:rPr>
          <w:b/>
          <w:bCs/>
        </w:rPr>
        <w:t xml:space="preserve">Check file</w:t>
      </w:r>
      <w:r>
        <w:t xml:space="preserve"> (nothing is saved), then </w:t>
      </w:r>
      <w:r>
        <w:rPr>
          <w:b/>
          <w:bCs/>
        </w:rPr>
        <w:t xml:space="preserve">Import N records</w:t>
      </w:r>
      <w:r>
        <w:t xml:space="preserve">. Contacts become suggestions under </w:t>
      </w:r>
      <w:r>
        <w:rPr>
          <w:b/>
          <w:bCs/>
        </w:rPr>
        <w:t xml:space="preserve">Find contact details with AI → To review</w:t>
      </w:r>
      <w:r>
        <w:t xml:space="preserve"> on each case, and facts become PROIT findings under </w:t>
      </w:r>
      <w:r>
        <w:rPr>
          <w:b/>
          <w:bCs/>
        </w:rPr>
        <w:t xml:space="preserve">Pre-Interview Profile (PROIT) → AI research → To review</w:t>
      </w:r>
      <w:r>
        <w:t xml:space="preserve">. Nothing reaches a case until you accept it; a locked Reserve and a locked profile are never touched, and importing the same file again adds nothing. Accepting the owner or manager adds them as a respondent; verify the case (S03) as usual before inviting it.</w:t>
      </w:r>
    </w:p>
    <w:tbl>
      <w:tblPr>
        <w:tblW w:type="dxa" w:w="9412"/>
        <w:tblBorders>
          <w:top w:val="single" w:color="FBF1E1" w:sz="2"/>
          <w:left w:val="single" w:color="D9A441" w:sz="24"/>
          <w:bottom w:val="single" w:color="FBF1E1" w:sz="2"/>
          <w:right w:val="single" w:color="FBF1E1" w:sz="2"/>
          <w:insideH w:val="single" w:color="FBF1E1" w:sz="4"/>
          <w:insideV w:val="single" w:color="FBF1E1" w:sz="4"/>
        </w:tblBorders>
      </w:tblPr>
      <w:tblGrid>
        <w:gridCol w:w="9412"/>
      </w:tblGrid>
      <w:tr>
        <w:trPr>
          <w:cantSplit/>
        </w:trPr>
        <w:tc>
          <w:tcPr>
            <w:tcW w:type="dxa" w:w="9412"/>
            <w:shd w:fill="FBF1E1" w:color="auto" w:val="clear"/>
            <w:tcMar>
              <w:top w:type="dxa" w:w="100"/>
              <w:left w:type="dxa" w:w="180"/>
              <w:bottom w:type="dxa" w:w="100"/>
              <w:right w:type="dxa" w:w="160"/>
            </w:tcMar>
          </w:tcPr>
          <w:p>
            <w:pPr>
              <w:spacing w:after="40"/>
            </w:pPr>
            <w:r>
              <w:rPr>
                <w:b/>
                <w:bCs/>
                <w:color w:val="22282E"/>
                <w:sz w:val="20"/>
                <w:szCs w:val="20"/>
              </w:rPr>
              <w:t xml:space="preserve">Only what an organisation publishes about itself</w:t>
            </w:r>
          </w:p>
          <w:p>
            <w:pPr>
              <w:spacing w:after="40" w:line="264"/>
            </w:pPr>
            <w:r>
              <w:rPr>
                <w:sz w:val="19"/>
                <w:szCs w:val="19"/>
              </w:rPr>
              <w:t xml:space="preserve">Only the organisation's name, province, district and value chain are sent to the AI provider. Never a respondent's name or any contact detail already on file.</w:t>
            </w:r>
          </w:p>
          <w:p>
            <w:pPr>
              <w:spacing w:after="40" w:line="264"/>
            </w:pPr>
            <w:r>
              <w:rPr>
                <w:sz w:val="19"/>
                <w:szCs w:val="19"/>
              </w:rPr>
              <w:t xml:space="preserve">Every finding must appear in the passage quoted from its page; anything that does not is removed automatically. Personal social-media profiles are never used. An organisation's own business page may be, for the organisation's own contact details only, and a finding seen only there is never rated higher than MODERATE.</w:t>
            </w:r>
          </w:p>
          <w:p>
            <w:pPr>
              <w:spacing w:after="40" w:line="264"/>
            </w:pPr>
            <w:r>
              <w:rPr>
                <w:sz w:val="19"/>
                <w:szCs w:val="19"/>
              </w:rPr>
              <w:t xml:space="preserve">An email on a personal-style service (for example Gmail) is flagged: check the page presents it as the organisation's own address.</w:t>
            </w:r>
          </w:p>
        </w:tc>
      </w:tr>
    </w:tbl>
    <w:p>
      <w:pPr>
        <w:pStyle w:val="Heading2"/>
      </w:pPr>
      <w:r>
        <w:t xml:space="preserve">4.7 Recording the respondent and their contact details</w:t>
      </w:r>
    </w:p>
    <w:p>
      <w:pPr>
        <w:spacing w:after="120" w:line="288"/>
      </w:pPr>
      <w:r>
        <w:t xml:space="preserve">Invitations and reminders need a phone or WhatsApp number. Record the eligible person as soon as they are identified.</w:t>
      </w:r>
    </w:p>
    <w:p>
      <w:pPr>
        <w:pStyle w:val="ListParagraph"/>
        <w:numPr>
          <w:ilvl w:val="0"/>
          <w:numId w:val="12"/>
        </w:numPr>
        <w:spacing w:after="80" w:line="276"/>
      </w:pPr>
      <w:r>
        <w:t xml:space="preserve">Open the case (</w:t>
      </w:r>
      <w:r>
        <w:rPr>
          <w:b/>
          <w:bCs/>
        </w:rPr>
        <w:t xml:space="preserve">Main-400 Register → View</w:t>
      </w:r>
      <w:r>
        <w:t xml:space="preserve">) and find </w:t>
      </w:r>
      <w:r>
        <w:rPr>
          <w:b/>
          <w:bCs/>
        </w:rPr>
        <w:t xml:space="preserve">Respondents and contact details</w:t>
      </w:r>
      <w:r>
        <w:t xml:space="preserve">.</w:t>
      </w:r>
    </w:p>
    <w:p>
      <w:pPr>
        <w:pStyle w:val="ListParagraph"/>
        <w:numPr>
          <w:ilvl w:val="0"/>
          <w:numId w:val="12"/>
        </w:numPr>
        <w:spacing w:after="80" w:line="276"/>
      </w:pPr>
      <w:r>
        <w:t xml:space="preserve">Select </w:t>
      </w:r>
      <w:r>
        <w:rPr>
          <w:b/>
          <w:bCs/>
        </w:rPr>
        <w:t xml:space="preserve">Add a person</w:t>
      </w:r>
      <w:r>
        <w:t xml:space="preserve">. Enter </w:t>
      </w:r>
      <w:r>
        <w:rPr>
          <w:b/>
          <w:bCs/>
        </w:rPr>
        <w:t xml:space="preserve">Full name</w:t>
      </w:r>
      <w:r>
        <w:t xml:space="preserve">, </w:t>
      </w:r>
      <w:r>
        <w:rPr>
          <w:b/>
          <w:bCs/>
        </w:rPr>
        <w:t xml:space="preserve">Phone</w:t>
      </w:r>
      <w:r>
        <w:t xml:space="preserve">, </w:t>
      </w:r>
      <w:r>
        <w:rPr>
          <w:b/>
          <w:bCs/>
        </w:rPr>
        <w:t xml:space="preserve">WhatsApp number</w:t>
      </w:r>
      <w:r>
        <w:t xml:space="preserve">, </w:t>
      </w:r>
      <w:r>
        <w:rPr>
          <w:b/>
          <w:bCs/>
        </w:rPr>
        <w:t xml:space="preserve">Email</w:t>
      </w:r>
      <w:r>
        <w:t xml:space="preserve">, and a </w:t>
      </w:r>
      <w:r>
        <w:rPr>
          <w:b/>
          <w:bCs/>
        </w:rPr>
        <w:t xml:space="preserve">Gatekeeper name</w:t>
      </w:r>
      <w:r>
        <w:t xml:space="preserve"> and </w:t>
      </w:r>
      <w:r>
        <w:rPr>
          <w:b/>
          <w:bCs/>
        </w:rPr>
        <w:t xml:space="preserve">Gatekeeper contact</w:t>
      </w:r>
      <w:r>
        <w:t xml:space="preserve"> if you reach the person through a PA or receptionist.</w:t>
      </w:r>
    </w:p>
    <w:p>
      <w:pPr>
        <w:keepNext/>
        <w:spacing w:after="40" w:before="80"/>
        <w:jc w:val="center"/>
      </w:pPr>
      <w:r>
        <w:drawing>
          <wp:inline distT="0" distB="0" distL="0" distR="0">
            <wp:extent cx="5334000" cy="2114550"/>
            <wp:effectExtent t="0" r="0" b="0" l="0"/>
            <wp:docPr id="1" name="adm_case_add_person.jpg" descr="Adding a person to a case." title="Adding a person to a ca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334000" cy="2114550"/>
                    </a:xfrm>
                    <a:prstGeom prst="rect">
                      <a:avLst/>
                    </a:prstGeom>
                  </pic:spPr>
                </pic:pic>
              </a:graphicData>
            </a:graphic>
          </wp:inline>
        </w:drawing>
      </w:r>
    </w:p>
    <w:p>
      <w:pPr>
        <w:spacing w:after="180"/>
        <w:jc w:val="center"/>
      </w:pPr>
      <w:r>
        <w:rPr>
          <w:b/>
          <w:bCs/>
          <w:color w:val="5B6670"/>
          <w:sz w:val="17"/>
          <w:szCs w:val="17"/>
        </w:rPr>
        <w:t xml:space="preserve">Figure 15. </w:t>
      </w:r>
      <w:r>
        <w:rPr>
          <w:i/>
          <w:iCs/>
          <w:color w:val="5B6670"/>
          <w:sz w:val="17"/>
          <w:szCs w:val="17"/>
        </w:rPr>
        <w:t xml:space="preserve">Adding a person to a case.</w:t>
      </w:r>
    </w:p>
    <w:p>
      <w:pPr>
        <w:pStyle w:val="ListParagraph"/>
        <w:numPr>
          <w:ilvl w:val="0"/>
          <w:numId w:val="12"/>
        </w:numPr>
        <w:spacing w:after="80" w:line="276"/>
      </w:pPr>
      <w:r>
        <w:t xml:space="preserve">Choose their </w:t>
      </w:r>
      <w:r>
        <w:rPr>
          <w:b/>
          <w:bCs/>
        </w:rPr>
        <w:t xml:space="preserve">role</w:t>
      </w:r>
      <w:r>
        <w:t xml:space="preserve"> and the eligibility decision: </w:t>
      </w:r>
      <w:r>
        <w:rPr>
          <w:b/>
          <w:bCs/>
        </w:rPr>
        <w:t xml:space="preserve">Eligible (I screened them)</w:t>
      </w:r>
      <w:r>
        <w:t xml:space="preserve">, </w:t>
      </w:r>
      <w:r>
        <w:rPr>
          <w:b/>
          <w:bCs/>
        </w:rPr>
        <w:t xml:space="preserve">Not eligible</w:t>
      </w:r>
      <w:r>
        <w:t xml:space="preserve">, or </w:t>
      </w:r>
      <w:r>
        <w:rPr>
          <w:b/>
          <w:bCs/>
        </w:rPr>
        <w:t xml:space="preserve">Not yet screened</w:t>
      </w:r>
      <w:r>
        <w:t xml:space="preserve">.</w:t>
      </w:r>
    </w:p>
    <w:p>
      <w:pPr>
        <w:pStyle w:val="ListParagraph"/>
        <w:numPr>
          <w:ilvl w:val="0"/>
          <w:numId w:val="12"/>
        </w:numPr>
        <w:spacing w:after="80" w:line="276"/>
      </w:pPr>
      <w:r>
        <w:t xml:space="preserve">Select </w:t>
      </w:r>
      <w:r>
        <w:rPr>
          <w:b/>
          <w:bCs/>
        </w:rPr>
        <w:t xml:space="preserve">Save person</w:t>
      </w:r>
      <w:r>
        <w:t xml:space="preserve">. To correct details later, select </w:t>
      </w:r>
      <w:r>
        <w:rPr>
          <w:b/>
          <w:bCs/>
        </w:rPr>
        <w:t xml:space="preserve">Edit</w:t>
      </w:r>
      <w:r>
        <w:t xml:space="preserve"> beside the person, change the fields, then </w:t>
      </w:r>
      <w:r>
        <w:rPr>
          <w:b/>
          <w:bCs/>
        </w:rPr>
        <w:t xml:space="preserve">Save changes</w:t>
      </w:r>
      <w:r>
        <w:t xml:space="preserve">.</w:t>
      </w:r>
    </w:p>
    <w:p>
      <w:pPr>
        <w:pStyle w:val="ListParagraph"/>
        <w:numPr>
          <w:ilvl w:val="0"/>
          <w:numId w:val="12"/>
        </w:numPr>
        <w:spacing w:after="80" w:line="276"/>
      </w:pPr>
      <w:r>
        <w:t xml:space="preserve">Write WhatsApp numbers in international form, e.g. </w:t>
      </w:r>
      <w:r>
        <w:rPr>
          <w:b/>
          <w:bCs/>
        </w:rPr>
        <w:t xml:space="preserve">+263 77 123 4567</w:t>
      </w:r>
      <w:r>
        <w:t xml:space="preserve">, so the WhatsApp buttons open the right chat.</w:t>
      </w:r>
    </w:p>
    <w:p>
      <w:pPr>
        <w:spacing w:after="80"/>
      </w:pP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Who is eligible?</w:t>
            </w:r>
          </w:p>
          <w:p>
            <w:pPr>
              <w:spacing w:after="40" w:line="264"/>
            </w:pPr>
            <w:r>
              <w:rPr>
                <w:sz w:val="19"/>
                <w:szCs w:val="19"/>
              </w:rPr>
              <w:t xml:space="preserve">Owner or founder, CEO or managing director, finance/credit/risk, operations, strategy/business development, supply chain/commercial, or another senior manager who can answer for the organisation. Anyone else should nominate the right person.</w:t>
            </w:r>
          </w:p>
        </w:tc>
      </w:tr>
    </w:tbl>
    <w:p>
      <w:pPr>
        <w:pStyle w:val="Heading2"/>
      </w:pPr>
      <w:r>
        <w:t xml:space="preserve">4.8 Sending an invitation</w:t>
      </w:r>
    </w:p>
    <w:p>
      <w:pPr>
        <w:pStyle w:val="ListParagraph"/>
        <w:numPr>
          <w:ilvl w:val="0"/>
          <w:numId w:val="13"/>
        </w:numPr>
        <w:spacing w:after="80" w:line="276"/>
      </w:pPr>
      <w:r>
        <w:t xml:space="preserve">Open the case. Check the status is </w:t>
      </w:r>
      <w:r>
        <w:rPr>
          <w:b/>
          <w:bCs/>
        </w:rPr>
        <w:t xml:space="preserve">S03</w:t>
      </w:r>
      <w:r>
        <w:t xml:space="preserve"> and a respondent with a number is recorded.</w:t>
      </w:r>
    </w:p>
    <w:p>
      <w:pPr>
        <w:pStyle w:val="ListParagraph"/>
        <w:numPr>
          <w:ilvl w:val="0"/>
          <w:numId w:val="13"/>
        </w:numPr>
        <w:spacing w:after="80" w:line="276"/>
      </w:pPr>
      <w:r>
        <w:t xml:space="preserve">In </w:t>
      </w:r>
      <w:r>
        <w:rPr>
          <w:b/>
          <w:bCs/>
        </w:rPr>
        <w:t xml:space="preserve">Invitations</w:t>
      </w:r>
      <w:r>
        <w:t xml:space="preserve">, leave </w:t>
      </w:r>
      <w:r>
        <w:rPr>
          <w:b/>
          <w:bCs/>
        </w:rPr>
        <w:t xml:space="preserve">Channel</w:t>
      </w:r>
      <w:r>
        <w:t xml:space="preserve"> as </w:t>
      </w:r>
      <w:r>
        <w:rPr>
          <w:b/>
          <w:bCs/>
        </w:rPr>
        <w:t xml:space="preserve">WHATSAPP</w:t>
      </w:r>
      <w:r>
        <w:t xml:space="preserve"> (or choose EMAIL, SMS, PRINTED_CODE or QR to record how it was delivered) and </w:t>
      </w:r>
      <w:r>
        <w:rPr>
          <w:b/>
          <w:bCs/>
        </w:rPr>
        <w:t xml:space="preserve">Wave</w:t>
      </w:r>
      <w:r>
        <w:t xml:space="preserve"> as </w:t>
      </w:r>
      <w:r>
        <w:rPr>
          <w:b/>
          <w:bCs/>
        </w:rPr>
        <w:t xml:space="preserve">1</w:t>
      </w:r>
      <w:r>
        <w:t xml:space="preserve">. Select </w:t>
      </w:r>
      <w:r>
        <w:rPr>
          <w:b/>
          <w:bCs/>
        </w:rPr>
        <w:t xml:space="preserve">Send invitation</w:t>
      </w:r>
      <w:r>
        <w:t xml:space="preserve">.</w:t>
      </w:r>
    </w:p>
    <w:p>
      <w:pPr>
        <w:keepNext/>
        <w:spacing w:after="40" w:before="80"/>
        <w:jc w:val="center"/>
      </w:pPr>
      <w:r>
        <w:drawing>
          <wp:inline distT="0" distB="0" distL="0" distR="0">
            <wp:extent cx="5334000" cy="1143000"/>
            <wp:effectExtent t="0" r="0" b="0" l="0"/>
            <wp:docPr id="1" name="cra_case_invitations_before.jpg" descr="Invitations panel before sending, with the history of earlier invitations." title="Invitations panel before sending, with the history of earlier invita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334000" cy="1143000"/>
                    </a:xfrm>
                    <a:prstGeom prst="rect">
                      <a:avLst/>
                    </a:prstGeom>
                  </pic:spPr>
                </pic:pic>
              </a:graphicData>
            </a:graphic>
          </wp:inline>
        </w:drawing>
      </w:r>
    </w:p>
    <w:p>
      <w:pPr>
        <w:spacing w:after="180"/>
        <w:jc w:val="center"/>
      </w:pPr>
      <w:r>
        <w:rPr>
          <w:b/>
          <w:bCs/>
          <w:color w:val="5B6670"/>
          <w:sz w:val="17"/>
          <w:szCs w:val="17"/>
        </w:rPr>
        <w:t xml:space="preserve">Figure 16. </w:t>
      </w:r>
      <w:r>
        <w:rPr>
          <w:i/>
          <w:iCs/>
          <w:color w:val="5B6670"/>
          <w:sz w:val="17"/>
          <w:szCs w:val="17"/>
        </w:rPr>
        <w:t xml:space="preserve">Invitations panel before sending, with the history of earlier invitations.</w:t>
      </w:r>
    </w:p>
    <w:p>
      <w:pPr>
        <w:pStyle w:val="ListParagraph"/>
        <w:numPr>
          <w:ilvl w:val="0"/>
          <w:numId w:val="13"/>
        </w:numPr>
        <w:spacing w:after="80" w:line="276"/>
      </w:pPr>
      <w:r>
        <w:t xml:space="preserve">The personal link and 8-character manual code appear </w:t>
      </w:r>
      <w:r>
        <w:rPr>
          <w:b/>
          <w:bCs/>
        </w:rPr>
        <w:t xml:space="preserve">once</w:t>
      </w:r>
      <w:r>
        <w:t xml:space="preserve">, with the invitation already written for each channel. Choose </w:t>
      </w:r>
      <w:r>
        <w:rPr>
          <w:b/>
          <w:bCs/>
        </w:rPr>
        <w:t xml:space="preserve">WhatsApp message</w:t>
      </w:r>
      <w:r>
        <w:t xml:space="preserve">, </w:t>
      </w:r>
      <w:r>
        <w:rPr>
          <w:b/>
          <w:bCs/>
        </w:rPr>
        <w:t xml:space="preserve">SMS message</w:t>
      </w:r>
      <w:r>
        <w:t xml:space="preserve"> or </w:t>
      </w:r>
      <w:r>
        <w:rPr>
          <w:b/>
          <w:bCs/>
        </w:rPr>
        <w:t xml:space="preserve">Email message</w:t>
      </w:r>
      <w:r>
        <w:t xml:space="preserve"> to see exactly what will be sent: the personal link, its expiry date, the manual code and the study contact line. Every message names the organisation (WhatsApp opens “Hello, Sable Chickens.”, the email subject starts with the organisation's name), so you can always tell which organisation a sent link belongs to.</w:t>
      </w:r>
    </w:p>
    <w:p>
      <w:pPr>
        <w:keepNext/>
        <w:spacing w:after="40" w:before="80"/>
        <w:jc w:val="center"/>
      </w:pPr>
      <w:r>
        <w:drawing>
          <wp:inline distT="0" distB="0" distL="0" distR="0">
            <wp:extent cx="5334000" cy="2152650"/>
            <wp:effectExtent t="0" r="0" b="0" l="0"/>
            <wp:docPr id="1" name="cra_case_invitation_sent.jpg" descr="The link, manual code and ready-written messages are shown once, with a send button for each channel." title="The link, manual code and ready-written messages are shown once, with a send button for each chann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334000" cy="2152650"/>
                    </a:xfrm>
                    <a:prstGeom prst="rect">
                      <a:avLst/>
                    </a:prstGeom>
                  </pic:spPr>
                </pic:pic>
              </a:graphicData>
            </a:graphic>
          </wp:inline>
        </w:drawing>
      </w:r>
    </w:p>
    <w:p>
      <w:pPr>
        <w:spacing w:after="180"/>
        <w:jc w:val="center"/>
      </w:pPr>
      <w:r>
        <w:rPr>
          <w:b/>
          <w:bCs/>
          <w:color w:val="5B6670"/>
          <w:sz w:val="17"/>
          <w:szCs w:val="17"/>
        </w:rPr>
        <w:t xml:space="preserve">Figure 17. </w:t>
      </w:r>
      <w:r>
        <w:rPr>
          <w:i/>
          <w:iCs/>
          <w:color w:val="5B6670"/>
          <w:sz w:val="17"/>
          <w:szCs w:val="17"/>
        </w:rPr>
        <w:t xml:space="preserve">The link, manual code and ready-written messages are shown once, with a send button for each channel.</w:t>
      </w:r>
    </w:p>
    <w:p>
      <w:pPr>
        <w:pStyle w:val="ListParagraph"/>
        <w:numPr>
          <w:ilvl w:val="0"/>
          <w:numId w:val="13"/>
        </w:numPr>
        <w:spacing w:after="80" w:line="276"/>
      </w:pPr>
      <w:r>
        <w:t xml:space="preserve">Send it on </w:t>
      </w:r>
      <w:r>
        <w:rPr>
          <w:b/>
          <w:bCs/>
        </w:rPr>
        <w:t xml:space="preserve">every channel the organisation has</w:t>
      </w:r>
      <w:r>
        <w:t xml:space="preserve">, before you leave the page. It is one invitation with one link, so the WhatsApp message and the email carry the same link and both keep working. All the send buttons are on screen together (the message tabs only change the preview):</w:t>
      </w:r>
    </w:p>
    <w:p>
      <w:pPr>
        <w:pStyle w:val="ListParagraph"/>
        <w:numPr>
          <w:ilvl w:val="1"/>
          <w:numId w:val="2"/>
        </w:numPr>
        <w:spacing w:after="40"/>
      </w:pPr>
      <w:r>
        <w:rPr>
          <w:b/>
          <w:bCs/>
        </w:rPr>
        <w:t xml:space="preserve">Send via WhatsApp</w:t>
      </w:r>
      <w:r>
        <w:t xml:space="preserve"> opens that respondent's chat (their WhatsApp number, or phone number if none) with the message ready. Check you are on the study WhatsApp number, then press Send.</w:t>
      </w:r>
    </w:p>
    <w:p>
      <w:pPr>
        <w:pStyle w:val="ListParagraph"/>
        <w:numPr>
          <w:ilvl w:val="1"/>
          <w:numId w:val="2"/>
        </w:numPr>
        <w:spacing w:after="40"/>
      </w:pPr>
      <w:r>
        <w:rPr>
          <w:b/>
          <w:bCs/>
        </w:rPr>
        <w:t xml:space="preserve">Send by SMS</w:t>
      </w:r>
      <w:r>
        <w:t xml:space="preserve"> opens the phone's messages app addressed to the respondent, with the shorter SMS message. Use it on a phone.</w:t>
      </w:r>
    </w:p>
    <w:p>
      <w:pPr>
        <w:pStyle w:val="ListParagraph"/>
        <w:numPr>
          <w:ilvl w:val="1"/>
          <w:numId w:val="2"/>
        </w:numPr>
        <w:spacing w:after="40"/>
      </w:pPr>
      <w:r>
        <w:rPr>
          <w:b/>
          <w:bCs/>
        </w:rPr>
        <w:t xml:space="preserve">Email from study address</w:t>
      </w:r>
      <w:r>
        <w:t xml:space="preserve"> sends the email from abffst.research@gmail.com to the respondent's email on file; replies go to the study inbox. The email is recorded in the audit log.</w:t>
      </w:r>
    </w:p>
    <w:p>
      <w:pPr>
        <w:pStyle w:val="ListParagraph"/>
        <w:numPr>
          <w:ilvl w:val="1"/>
          <w:numId w:val="2"/>
        </w:numPr>
        <w:spacing w:after="40"/>
      </w:pPr>
      <w:r>
        <w:rPr>
          <w:b/>
          <w:bCs/>
        </w:rPr>
        <w:t xml:space="preserve">Open in email app</w:t>
      </w:r>
      <w:r>
        <w:t xml:space="preserve"> opens the same email in your own mail program, if you need to add something first.</w:t>
      </w:r>
    </w:p>
    <w:p>
      <w:pPr>
        <w:pStyle w:val="ListParagraph"/>
        <w:numPr>
          <w:ilvl w:val="1"/>
          <w:numId w:val="2"/>
        </w:numPr>
        <w:spacing w:after="40"/>
      </w:pPr>
      <w:r>
        <w:rPr>
          <w:b/>
          <w:bCs/>
        </w:rPr>
        <w:t xml:space="preserve">Copy message</w:t>
      </w:r>
      <w:r>
        <w:t xml:space="preserve"> copies the message shown, for any other channel.</w:t>
      </w:r>
    </w:p>
    <w:p>
      <w:pPr>
        <w:pStyle w:val="ListParagraph"/>
        <w:numPr>
          <w:ilvl w:val="1"/>
          <w:numId w:val="2"/>
        </w:numPr>
        <w:spacing w:after="40"/>
      </w:pPr>
      <w:r>
        <w:t xml:space="preserve">Once SMS or WhatsApp is set up, </w:t>
      </w:r>
      <w:r>
        <w:rPr>
          <w:b/>
          <w:bCs/>
        </w:rPr>
        <w:t xml:space="preserve">Send SMS from the portal</w:t>
      </w:r>
      <w:r>
        <w:t xml:space="preserve"> and </w:t>
      </w:r>
      <w:r>
        <w:rPr>
          <w:b/>
          <w:bCs/>
        </w:rPr>
        <w:t xml:space="preserve">Send WhatsApp from the portal</w:t>
      </w:r>
      <w:r>
        <w:t xml:space="preserve"> send the same invitation through Twilio, to the mobile on file; the invitation history then shows whether each was delivered.</w:t>
      </w:r>
    </w:p>
    <w:p>
      <w:pPr>
        <w:pStyle w:val="ListParagraph"/>
        <w:numPr>
          <w:ilvl w:val="0"/>
          <w:numId w:val="13"/>
        </w:numPr>
        <w:spacing w:after="80" w:line="276"/>
      </w:pPr>
      <w:r>
        <w:t xml:space="preserve">If a button says no mobile number or email is on file, add it under </w:t>
      </w:r>
      <w:r>
        <w:rPr>
          <w:b/>
          <w:bCs/>
        </w:rPr>
        <w:t xml:space="preserve">Respondents and contact details</w:t>
      </w:r>
      <w:r>
        <w:t xml:space="preserve">. Only then send a new invitation, and send that one on every channel.</w:t>
      </w:r>
    </w:p>
    <w:p>
      <w:pPr>
        <w:pStyle w:val="ListParagraph"/>
        <w:numPr>
          <w:ilvl w:val="0"/>
          <w:numId w:val="13"/>
        </w:numPr>
        <w:spacing w:after="80" w:line="276"/>
      </w:pPr>
      <w:r>
        <w:t xml:space="preserve">The case moves to </w:t>
      </w:r>
      <w:r>
        <w:rPr>
          <w:b/>
          <w:bCs/>
        </w:rPr>
        <w:t xml:space="preserve">S05 Invitation sent</w:t>
      </w:r>
      <w:r>
        <w:t xml:space="preserve"> automatically. Log the attempt in </w:t>
      </w:r>
      <w:r>
        <w:rPr>
          <w:b/>
          <w:bCs/>
        </w:rPr>
        <w:t xml:space="preserve">Contact timeline</w:t>
      </w:r>
      <w:r>
        <w:t xml:space="preserve"> (see Logging a contact attempt).</w:t>
      </w:r>
    </w:p>
    <w:p>
      <w:pPr>
        <w:spacing w:after="80"/>
      </w:pPr>
    </w:p>
    <w:tbl>
      <w:tblPr>
        <w:tblW w:type="dxa" w:w="9412"/>
        <w:tblBorders>
          <w:top w:val="single" w:color="FBF1E1" w:sz="2"/>
          <w:left w:val="single" w:color="D9A441" w:sz="24"/>
          <w:bottom w:val="single" w:color="FBF1E1" w:sz="2"/>
          <w:right w:val="single" w:color="FBF1E1" w:sz="2"/>
          <w:insideH w:val="single" w:color="FBF1E1" w:sz="4"/>
          <w:insideV w:val="single" w:color="FBF1E1" w:sz="4"/>
        </w:tblBorders>
      </w:tblPr>
      <w:tblGrid>
        <w:gridCol w:w="9412"/>
      </w:tblGrid>
      <w:tr>
        <w:trPr>
          <w:cantSplit/>
        </w:trPr>
        <w:tc>
          <w:tcPr>
            <w:tcW w:type="dxa" w:w="9412"/>
            <w:shd w:fill="FBF1E1" w:color="auto" w:val="clear"/>
            <w:tcMar>
              <w:top w:type="dxa" w:w="100"/>
              <w:left w:type="dxa" w:w="180"/>
              <w:bottom w:type="dxa" w:w="100"/>
              <w:right w:type="dxa" w:w="160"/>
            </w:tcMar>
          </w:tcPr>
          <w:p>
            <w:pPr>
              <w:spacing w:after="40"/>
            </w:pPr>
            <w:r>
              <w:rPr>
                <w:b/>
                <w:bCs/>
                <w:color w:val="22282E"/>
                <w:sz w:val="20"/>
                <w:szCs w:val="20"/>
              </w:rPr>
              <w:t xml:space="preserve">The link is shown only once</w:t>
            </w:r>
          </w:p>
          <w:p>
            <w:pPr>
              <w:spacing w:after="40" w:line="264"/>
            </w:pPr>
            <w:r>
              <w:rPr>
                <w:sz w:val="19"/>
                <w:szCs w:val="19"/>
              </w:rPr>
              <w:t xml:space="preserve">The portal stores only a scrambled fingerprint of the link, so nobody can display it again. If you close the page before sending, select </w:t>
            </w:r>
            <w:r>
              <w:rPr>
                <w:b/>
                <w:bCs/>
                <w:sz w:val="19"/>
                <w:szCs w:val="19"/>
              </w:rPr>
              <w:t xml:space="preserve">Send new invitation (replaces current)</w:t>
            </w:r>
            <w:r>
              <w:rPr>
                <w:sz w:val="19"/>
                <w:szCs w:val="19"/>
              </w:rPr>
              <w:t xml:space="preserve">: this issues a fresh link and the old one stops working immediately.</w:t>
            </w:r>
          </w:p>
          <w:p>
            <w:pPr>
              <w:spacing w:after="40" w:line="264"/>
            </w:pPr>
            <w:r>
              <w:rPr>
                <w:b/>
                <w:bCs/>
                <w:sz w:val="19"/>
                <w:szCs w:val="19"/>
              </w:rPr>
              <w:t xml:space="preserve">Never issue a new invitation just to send by another channel.</w:t>
            </w:r>
            <w:r>
              <w:rPr>
                <w:sz w:val="19"/>
                <w:szCs w:val="19"/>
              </w:rPr>
              <w:t xml:space="preserve"> The organisation's earlier message would then say the invitation has expired. While the link still works the portal asks before replacing it (</w:t>
            </w:r>
            <w:r>
              <w:rPr>
                <w:b/>
                <w:bCs/>
                <w:sz w:val="19"/>
                <w:szCs w:val="19"/>
              </w:rPr>
              <w:t xml:space="preserve">Replace it</w:t>
            </w:r>
            <w:r>
              <w:rPr>
                <w:sz w:val="19"/>
                <w:szCs w:val="19"/>
              </w:rPr>
              <w:t xml:space="preserve"> / </w:t>
            </w:r>
            <w:r>
              <w:rPr>
                <w:b/>
                <w:bCs/>
                <w:sz w:val="19"/>
                <w:szCs w:val="19"/>
              </w:rPr>
              <w:t xml:space="preserve">Keep the current one</w:t>
            </w:r>
            <w:r>
              <w:rPr>
                <w:sz w:val="19"/>
                <w:szCs w:val="19"/>
              </w:rPr>
              <w:t xml:space="preserve">): replace it only if the link was lost, went to the wrong person or never arrived.</w:t>
            </w:r>
          </w:p>
          <w:p>
            <w:pPr>
              <w:spacing w:after="40" w:line="264"/>
            </w:pPr>
            <w:r>
              <w:rPr>
                <w:sz w:val="19"/>
                <w:szCs w:val="19"/>
              </w:rPr>
              <w:t xml:space="preserve">Links are valid for </w:t>
            </w:r>
            <w:r>
              <w:rPr>
                <w:b/>
                <w:bCs/>
                <w:sz w:val="19"/>
                <w:szCs w:val="19"/>
              </w:rPr>
              <w:t xml:space="preserve">14 days</w:t>
            </w:r>
            <w:r>
              <w:rPr>
                <w:sz w:val="19"/>
                <w:szCs w:val="19"/>
              </w:rPr>
              <w:t xml:space="preserve">. Each link belongs to one organisation; never forward one respondent's link to another organisation.</w:t>
            </w:r>
          </w:p>
        </w:tc>
      </w:tr>
    </w:tbl>
    <w:p>
      <w:pPr>
        <w:pStyle w:val="Heading3"/>
      </w:pPr>
      <w:r>
        <w:t xml:space="preserve">Revoking an invitation</w:t>
      </w:r>
    </w:p>
    <w:p>
      <w:pPr>
        <w:spacing w:after="120" w:line="288"/>
      </w:pPr>
      <w:r>
        <w:t xml:space="preserve">In the invitation history, select </w:t>
      </w:r>
      <w:r>
        <w:rPr>
          <w:b/>
          <w:bCs/>
        </w:rPr>
        <w:t xml:space="preserve">Revoke</w:t>
      </w:r>
      <w:r>
        <w:t xml:space="preserve"> on an open invitation (for example, if it was sent to the wrong number). The link stops working at once. Issue a new one if the case should still be invited.</w:t>
      </w:r>
    </w:p>
    <w:p>
      <w:pPr>
        <w:pStyle w:val="Heading2"/>
      </w:pPr>
      <w:r>
        <w:t xml:space="preserve">4.9 Sending invitations in batches (email, SMS, WhatsApp)</w:t>
      </w:r>
    </w:p>
    <w:p>
      <w:pPr>
        <w:spacing w:after="120" w:line="288"/>
      </w:pPr>
      <w:r>
        <w:t xml:space="preserve">Instead of sending invitations one case at a time, the coordinator or PI can have the portal send them: by email from abffst.research@gmail.com, and by SMS and WhatsApp through Twilio once those are set up. Each case gets </w:t>
      </w:r>
      <w:r>
        <w:rPr>
          <w:b/>
          <w:bCs/>
        </w:rPr>
        <w:t xml:space="preserve">one</w:t>
      </w:r>
      <w:r>
        <w:t xml:space="preserve"> invitation with its own link (valid 14 days) and manual code, sent on every way you choose that it has a contact for, so the email and the text carry the same working link. Only </w:t>
      </w:r>
      <w:r>
        <w:rPr>
          <w:b/>
          <w:bCs/>
        </w:rPr>
        <w:t xml:space="preserve">verified</w:t>
      </w:r>
      <w:r>
        <w:t xml:space="preserve"> cases are included: status </w:t>
      </w:r>
      <w:r>
        <w:rPr>
          <w:b/>
          <w:bCs/>
        </w:rPr>
        <w:t xml:space="preserve">S03</w:t>
      </w:r>
      <w:r>
        <w:t xml:space="preserve"> or </w:t>
      </w:r>
      <w:r>
        <w:rPr>
          <w:b/>
          <w:bCs/>
        </w:rPr>
        <w:t xml:space="preserve">S04</w:t>
      </w:r>
      <w:r>
        <w:t xml:space="preserve">, a contact on file, and no open invitation. SMS and WhatsApp go to mobile numbers only.</w:t>
      </w:r>
    </w:p>
    <w:p>
      <w:pPr>
        <w:pStyle w:val="ListParagraph"/>
        <w:numPr>
          <w:ilvl w:val="0"/>
          <w:numId w:val="14"/>
        </w:numPr>
        <w:spacing w:after="80" w:line="276"/>
      </w:pPr>
      <w:r>
        <w:t xml:space="preserve">Open </w:t>
      </w:r>
      <w:r>
        <w:rPr>
          <w:b/>
          <w:bCs/>
        </w:rPr>
        <w:t xml:space="preserve">Main-400 Register</w:t>
      </w:r>
      <w:r>
        <w:t xml:space="preserve"> and find </w:t>
      </w:r>
      <w:r>
        <w:rPr>
          <w:b/>
          <w:bCs/>
        </w:rPr>
        <w:t xml:space="preserve">Send invitations</w:t>
      </w:r>
      <w:r>
        <w:t xml:space="preserve">.</w:t>
      </w:r>
    </w:p>
    <w:p>
      <w:pPr>
        <w:pStyle w:val="ListParagraph"/>
        <w:numPr>
          <w:ilvl w:val="0"/>
          <w:numId w:val="14"/>
        </w:numPr>
        <w:spacing w:after="80" w:line="276"/>
      </w:pPr>
      <w:r>
        <w:t xml:space="preserve">Under </w:t>
      </w:r>
      <w:r>
        <w:rPr>
          <w:b/>
          <w:bCs/>
        </w:rPr>
        <w:t xml:space="preserve">Send by</w:t>
      </w:r>
      <w:r>
        <w:t xml:space="preserve">, tick </w:t>
      </w:r>
      <w:r>
        <w:rPr>
          <w:b/>
          <w:bCs/>
        </w:rPr>
        <w:t xml:space="preserve">Email</w:t>
      </w:r>
      <w:r>
        <w:t xml:space="preserve">, </w:t>
      </w:r>
      <w:r>
        <w:rPr>
          <w:b/>
          <w:bCs/>
        </w:rPr>
        <w:t xml:space="preserve">SMS</w:t>
      </w:r>
      <w:r>
        <w:t xml:space="preserve"> and/or </w:t>
      </w:r>
      <w:r>
        <w:rPr>
          <w:b/>
          <w:bCs/>
        </w:rPr>
        <w:t xml:space="preserve">WhatsApp</w:t>
      </w:r>
      <w:r>
        <w:t xml:space="preserve">. Each shows how many cases it can reach and what is left of today's limit, or “not set up yet”.</w:t>
      </w:r>
    </w:p>
    <w:p>
      <w:pPr>
        <w:pStyle w:val="ListParagraph"/>
        <w:numPr>
          <w:ilvl w:val="0"/>
          <w:numId w:val="14"/>
        </w:numPr>
        <w:spacing w:after="80" w:line="276"/>
      </w:pPr>
      <w:r>
        <w:t xml:space="preserve">Open </w:t>
      </w:r>
      <w:r>
        <w:rPr>
          <w:b/>
          <w:bCs/>
        </w:rPr>
        <w:t xml:space="preserve">Next in line</w:t>
      </w:r>
      <w:r>
        <w:t xml:space="preserve"> to see the first cases, the ways each can be reached and the (partly hidden) addresses and numbers. With SMS ticked, the panel shows the cost per invitation (about US$0.65 to 0.95).</w:t>
      </w:r>
    </w:p>
    <w:p>
      <w:pPr>
        <w:pStyle w:val="ListParagraph"/>
        <w:numPr>
          <w:ilvl w:val="0"/>
          <w:numId w:val="14"/>
        </w:numPr>
        <w:spacing w:after="80" w:line="276"/>
      </w:pPr>
      <w:r>
        <w:t xml:space="preserve">Type a number in </w:t>
      </w:r>
      <w:r>
        <w:rPr>
          <w:b/>
          <w:bCs/>
        </w:rPr>
        <w:t xml:space="preserve">How many</w:t>
      </w:r>
      <w:r>
        <w:t xml:space="preserve"> (up to 100 in one batch) and select </w:t>
      </w:r>
      <w:r>
        <w:rPr>
          <w:b/>
          <w:bCs/>
        </w:rPr>
        <w:t xml:space="preserve">Review and send</w:t>
      </w:r>
      <w:r>
        <w:t xml:space="preserve">.</w:t>
      </w:r>
    </w:p>
    <w:p>
      <w:pPr>
        <w:pStyle w:val="ListParagraph"/>
        <w:numPr>
          <w:ilvl w:val="0"/>
          <w:numId w:val="14"/>
        </w:numPr>
        <w:spacing w:after="80" w:line="276"/>
      </w:pPr>
      <w:r>
        <w:t xml:space="preserve">Read the confirmation, which includes the SMS cost, then select </w:t>
      </w:r>
      <w:r>
        <w:rPr>
          <w:b/>
          <w:bCs/>
        </w:rPr>
        <w:t xml:space="preserve">Send N invitations</w:t>
      </w:r>
      <w:r>
        <w:t xml:space="preserve">, or </w:t>
      </w:r>
      <w:r>
        <w:rPr>
          <w:b/>
          <w:bCs/>
        </w:rPr>
        <w:t xml:space="preserve">Cancel</w:t>
      </w:r>
      <w:r>
        <w:t xml:space="preserve">.</w:t>
      </w:r>
    </w:p>
    <w:p>
      <w:pPr>
        <w:pStyle w:val="ListParagraph"/>
        <w:numPr>
          <w:ilvl w:val="0"/>
          <w:numId w:val="14"/>
        </w:numPr>
        <w:spacing w:after="80" w:line="276"/>
      </w:pPr>
      <w:r>
        <w:t xml:space="preserve">The panel shows progress while it sends, then the result: sent, failed and skipped. Open </w:t>
      </w:r>
      <w:r>
        <w:rPr>
          <w:b/>
          <w:bCs/>
        </w:rPr>
        <w:t xml:space="preserve">Case by case</w:t>
      </w:r>
      <w:r>
        <w:t xml:space="preserve"> to see each Sample ID, how it was sent and the reason for any failure. Each case that was sent moves to </w:t>
      </w:r>
      <w:r>
        <w:rPr>
          <w:b/>
          <w:bCs/>
        </w:rPr>
        <w:t xml:space="preserve">S05 Invitation sent</w:t>
      </w:r>
      <w:r>
        <w:t xml:space="preserve">.</w:t>
      </w:r>
    </w:p>
    <w:p>
      <w:pPr>
        <w:spacing w:after="80"/>
      </w:pPr>
    </w:p>
    <w:tbl>
      <w:tblPr>
        <w:tblW w:type="dxa" w:w="9412"/>
        <w:tblBorders>
          <w:top w:val="single" w:color="FBF1E1" w:sz="2"/>
          <w:left w:val="single" w:color="D9A441" w:sz="24"/>
          <w:bottom w:val="single" w:color="FBF1E1" w:sz="2"/>
          <w:right w:val="single" w:color="FBF1E1" w:sz="2"/>
          <w:insideH w:val="single" w:color="FBF1E1" w:sz="4"/>
          <w:insideV w:val="single" w:color="FBF1E1" w:sz="4"/>
        </w:tblBorders>
      </w:tblPr>
      <w:tblGrid>
        <w:gridCol w:w="9412"/>
      </w:tblGrid>
      <w:tr>
        <w:trPr>
          <w:cantSplit/>
        </w:trPr>
        <w:tc>
          <w:tcPr>
            <w:tcW w:type="dxa" w:w="9412"/>
            <w:shd w:fill="FBF1E1" w:color="auto" w:val="clear"/>
            <w:tcMar>
              <w:top w:type="dxa" w:w="100"/>
              <w:left w:type="dxa" w:w="180"/>
              <w:bottom w:type="dxa" w:w="100"/>
              <w:right w:type="dxa" w:w="160"/>
            </w:tcMar>
          </w:tcPr>
          <w:p>
            <w:pPr>
              <w:spacing w:after="40"/>
            </w:pPr>
            <w:r>
              <w:rPr>
                <w:b/>
                <w:bCs/>
                <w:color w:val="22282E"/>
                <w:sz w:val="20"/>
                <w:szCs w:val="20"/>
              </w:rPr>
              <w:t xml:space="preserve">Before the first batch</w:t>
            </w:r>
          </w:p>
          <w:p>
            <w:pPr>
              <w:spacing w:after="40" w:line="264"/>
            </w:pPr>
            <w:r>
              <w:rPr>
                <w:sz w:val="19"/>
                <w:szCs w:val="19"/>
              </w:rPr>
              <w:t xml:space="preserve">Each way must be set up on the server first: email with </w:t>
            </w:r>
            <w:r>
              <w:rPr>
                <w:rFonts w:ascii="Consolas" w:cs="Consolas" w:eastAsia="Consolas" w:hAnsi="Consolas"/>
                <w:b w:val="false"/>
                <w:bCs w:val="false"/>
                <w:color w:val="122238"/>
                <w:sz w:val="19"/>
                <w:szCs w:val="19"/>
              </w:rPr>
              <w:t xml:space="preserve">configure-email.sh</w:t>
            </w:r>
            <w:r>
              <w:rPr>
                <w:sz w:val="19"/>
                <w:szCs w:val="19"/>
              </w:rPr>
              <w:t xml:space="preserve">, SMS and WhatsApp with </w:t>
            </w:r>
            <w:r>
              <w:rPr>
                <w:rFonts w:ascii="Consolas" w:cs="Consolas" w:eastAsia="Consolas" w:hAnsi="Consolas"/>
                <w:b w:val="false"/>
                <w:bCs w:val="false"/>
                <w:color w:val="122238"/>
                <w:sz w:val="19"/>
                <w:szCs w:val="19"/>
              </w:rPr>
              <w:t xml:space="preserve">configure-twilio.sh</w:t>
            </w:r>
            <w:r>
              <w:rPr>
                <w:sz w:val="19"/>
                <w:szCs w:val="19"/>
              </w:rPr>
              <w:t xml:space="preserve"> (see the System Manual). Until then the panel says so and the button stays disabled.</w:t>
            </w:r>
          </w:p>
          <w:p>
            <w:pPr>
              <w:spacing w:after="40" w:line="264"/>
            </w:pPr>
            <w:r>
              <w:rPr>
                <w:sz w:val="19"/>
                <w:szCs w:val="19"/>
              </w:rPr>
              <w:t xml:space="preserve">Daily limits: 300 emails (Main-400 and KII invitations together), 150 SMS and 250 WhatsApp messages (invitations and automatic reminders together). The panel shows what is left.</w:t>
            </w:r>
          </w:p>
          <w:p>
            <w:pPr>
              <w:spacing w:after="40" w:line="264"/>
            </w:pPr>
            <w:r>
              <w:rPr>
                <w:sz w:val="19"/>
                <w:szCs w:val="19"/>
              </w:rPr>
              <w:t xml:space="preserve">WhatsApp stays unavailable until Meta approves the invitation template: the panel shows the template as pending and the batch refuses WhatsApp, because a message on an unapproved template is accepted and then silently not delivered. The same applies everywhere the portal sends WhatsApp (a single invitation, an introduction, a reminder): it says Meta hasn't approved the template yet, and introductions go by SMS with the reply link instead.</w:t>
            </w:r>
          </w:p>
          <w:p>
            <w:pPr>
              <w:spacing w:after="40" w:line="264"/>
            </w:pPr>
            <w:r>
              <w:rPr>
                <w:sz w:val="19"/>
                <w:szCs w:val="19"/>
              </w:rPr>
              <w:t xml:space="preserve">If nothing gets through for a case, nothing is kept for it: no link is issued, it stays at S03 or S04, and the next batch tries it again. If one way works and another fails, the case is sent and </w:t>
            </w:r>
            <w:r>
              <w:rPr>
                <w:b/>
                <w:bCs/>
                <w:sz w:val="19"/>
                <w:szCs w:val="19"/>
              </w:rPr>
              <w:t xml:space="preserve">Case by case</w:t>
            </w:r>
            <w:r>
              <w:rPr>
                <w:sz w:val="19"/>
                <w:szCs w:val="19"/>
              </w:rPr>
              <w:t xml:space="preserve"> says what failed.</w:t>
            </w:r>
          </w:p>
        </w:tc>
      </w:tr>
    </w:tbl>
    <w:p>
      <w:pPr>
        <w:pStyle w:val="Heading3"/>
      </w:pPr>
      <w:r>
        <w:t xml:space="preserve">Ask first: introduce the study, then invite automatically</w:t>
      </w:r>
    </w:p>
    <w:p>
      <w:pPr>
        <w:spacing w:after="120" w:line="288"/>
      </w:pPr>
      <w:r>
        <w:t xml:space="preserve">Instead of sending the link straight away, </w:t>
      </w:r>
      <w:r>
        <w:rPr>
          <w:b/>
          <w:bCs/>
        </w:rPr>
        <w:t xml:space="preserve">Send invitations</w:t>
      </w:r>
      <w:r>
        <w:t xml:space="preserve"> can </w:t>
      </w:r>
      <w:r>
        <w:rPr>
          <w:b/>
          <w:bCs/>
        </w:rPr>
        <w:t xml:space="preserve">Ask first (introduction)</w:t>
      </w:r>
      <w:r>
        <w:t xml:space="preserve">. Each verified case with a mobile and no invitation yet gets a short WhatsApp message about the study asking whether it will take part, with </w:t>
      </w:r>
      <w:r>
        <w:rPr>
          <w:b/>
          <w:bCs/>
        </w:rPr>
        <w:t xml:space="preserve">Yes</w:t>
      </w:r>
      <w:r>
        <w:t xml:space="preserve"> and </w:t>
      </w:r>
      <w:r>
        <w:rPr>
          <w:b/>
          <w:bCs/>
        </w:rPr>
        <w:t xml:space="preserve">No</w:t>
      </w:r>
      <w:r>
        <w:t xml:space="preserve"> buttons. Where WhatsApp isn't set up or the message can't be delivered, it goes by SMS with a link that opens the study's WhatsApp chat with “YES” typed in: SMS replies can't be received in Zimbabwe, so every answer arrives on WhatsApp. If the introduction can't reach them at all (for example the number isn't on WhatsApp) and an email is on file, the portal sends the invitation link by email instead, and the case moves to S05; with no email, it goes on the list to phone.</w:t>
      </w:r>
    </w:p>
    <w:p>
      <w:pPr>
        <w:pStyle w:val="ListParagraph"/>
        <w:numPr>
          <w:ilvl w:val="0"/>
          <w:numId w:val="15"/>
        </w:numPr>
        <w:spacing w:after="80" w:line="276"/>
      </w:pPr>
      <w:r>
        <w:t xml:space="preserve">On </w:t>
      </w:r>
      <w:r>
        <w:rPr>
          <w:b/>
          <w:bCs/>
        </w:rPr>
        <w:t xml:space="preserve">Send invitations</w:t>
      </w:r>
      <w:r>
        <w:t xml:space="preserve">, choose </w:t>
      </w:r>
      <w:r>
        <w:rPr>
          <w:b/>
          <w:bCs/>
        </w:rPr>
        <w:t xml:space="preserve">Ask first (introduction)</w:t>
      </w:r>
      <w:r>
        <w:t xml:space="preserve">, type </w:t>
      </w:r>
      <w:r>
        <w:rPr>
          <w:b/>
          <w:bCs/>
        </w:rPr>
        <w:t xml:space="preserve">How many</w:t>
      </w:r>
      <w:r>
        <w:t xml:space="preserve">, select </w:t>
      </w:r>
      <w:r>
        <w:rPr>
          <w:b/>
          <w:bCs/>
        </w:rPr>
        <w:t xml:space="preserve">Review and send</w:t>
      </w:r>
      <w:r>
        <w:t xml:space="preserve">, then </w:t>
      </w:r>
      <w:r>
        <w:rPr>
          <w:b/>
          <w:bCs/>
        </w:rPr>
        <w:t xml:space="preserve">Send N introductions</w:t>
      </w:r>
      <w:r>
        <w:t xml:space="preserve">. For one case, use </w:t>
      </w:r>
      <w:r>
        <w:rPr>
          <w:b/>
          <w:bCs/>
        </w:rPr>
        <w:t xml:space="preserve">Send introduction</w:t>
      </w:r>
      <w:r>
        <w:t xml:space="preserve"> under </w:t>
      </w:r>
      <w:r>
        <w:rPr>
          <w:b/>
          <w:bCs/>
        </w:rPr>
        <w:t xml:space="preserve">Ask first</w:t>
      </w:r>
      <w:r>
        <w:t xml:space="preserve"> on the case page.</w:t>
      </w:r>
    </w:p>
    <w:p>
      <w:pPr>
        <w:pStyle w:val="ListParagraph"/>
        <w:numPr>
          <w:ilvl w:val="0"/>
          <w:numId w:val="15"/>
        </w:numPr>
        <w:spacing w:after="80" w:line="276"/>
      </w:pPr>
      <w:r>
        <w:rPr>
          <w:b/>
          <w:bCs/>
        </w:rPr>
        <w:t xml:space="preserve">They reply YES</w:t>
      </w:r>
      <w:r>
        <w:t xml:space="preserve"> (or Hongu, Yebo, OK): the portal issues their invitation and sends the personal link and code back in the same WhatsApp chat straight away. The case moves to </w:t>
      </w:r>
      <w:r>
        <w:rPr>
          <w:b/>
          <w:bCs/>
        </w:rPr>
        <w:t xml:space="preserve">S05 Invitation sent</w:t>
      </w:r>
      <w:r>
        <w:t xml:space="preserve"> and the usual Day 2 and Day 7 reminders follow.</w:t>
      </w:r>
    </w:p>
    <w:p>
      <w:pPr>
        <w:pStyle w:val="ListParagraph"/>
        <w:numPr>
          <w:ilvl w:val="0"/>
          <w:numId w:val="15"/>
        </w:numPr>
        <w:spacing w:after="80" w:line="276"/>
      </w:pPr>
      <w:r>
        <w:rPr>
          <w:b/>
          <w:bCs/>
        </w:rPr>
        <w:t xml:space="preserve">They reply NO</w:t>
      </w:r>
      <w:r>
        <w:t xml:space="preserve"> (or STOP, Hapana, Aihwa, Cha): the refusal is recorded, the case moves to </w:t>
      </w:r>
      <w:r>
        <w:rPr>
          <w:b/>
          <w:bCs/>
        </w:rPr>
        <w:t xml:space="preserve">S12 Refused</w:t>
      </w:r>
      <w:r>
        <w:t xml:space="preserve">, and they get one message saying they won't be contacted again. Activating its Reserve is still a separate, recorded decision on </w:t>
      </w:r>
      <w:r>
        <w:rPr>
          <w:b/>
          <w:bCs/>
        </w:rPr>
        <w:t xml:space="preserve">Reserve Activation</w:t>
      </w:r>
      <w:r>
        <w:t xml:space="preserve">.</w:t>
      </w:r>
    </w:p>
    <w:p>
      <w:pPr>
        <w:pStyle w:val="ListParagraph"/>
        <w:numPr>
          <w:ilvl w:val="0"/>
          <w:numId w:val="15"/>
        </w:numPr>
        <w:spacing w:after="80" w:line="276"/>
      </w:pPr>
      <w:r>
        <w:rPr>
          <w:b/>
          <w:bCs/>
        </w:rPr>
        <w:t xml:space="preserve">They write anything else</w:t>
      </w:r>
      <w:r>
        <w:t xml:space="preserve"> (a question, “who is this?”, “no problem”): nothing is sent automatically: the message appears on </w:t>
      </w:r>
      <w:r>
        <w:rPr>
          <w:b/>
          <w:bCs/>
        </w:rPr>
        <w:t xml:space="preserve">Communications</w:t>
      </w:r>
      <w:r>
        <w:t xml:space="preserve"> under </w:t>
      </w:r>
      <w:r>
        <w:rPr>
          <w:b/>
          <w:bCs/>
        </w:rPr>
        <w:t xml:space="preserve">Waiting</w:t>
      </w:r>
      <w:r>
        <w:t xml:space="preserve"> for you to answer yourself. The same goes for someone who sends their invitation code to ask for a phone interview.</w:t>
      </w:r>
    </w:p>
    <w:p>
      <w:pPr>
        <w:pStyle w:val="ListParagraph"/>
        <w:numPr>
          <w:ilvl w:val="0"/>
          <w:numId w:val="15"/>
        </w:numPr>
        <w:spacing w:after="80" w:line="276"/>
      </w:pPr>
      <w:r>
        <w:rPr>
          <w:b/>
          <w:bCs/>
        </w:rPr>
        <w:t xml:space="preserve">No reply</w:t>
      </w:r>
      <w:r>
        <w:t xml:space="preserve">: one reminder after 3 days; after 4 more days with no answer, the case is listed on </w:t>
      </w:r>
      <w:r>
        <w:rPr>
          <w:b/>
          <w:bCs/>
        </w:rPr>
        <w:t xml:space="preserve">Follow-ups</w:t>
      </w:r>
      <w:r>
        <w:t xml:space="preserve"> under </w:t>
      </w:r>
      <w:r>
        <w:rPr>
          <w:b/>
          <w:bCs/>
        </w:rPr>
        <w:t xml:space="preserve">Asked, no reply yet: phone them</w:t>
      </w:r>
      <w:r>
        <w:t xml:space="preserve">.</w:t>
      </w:r>
    </w:p>
    <w:p>
      <w:pPr>
        <w:spacing w:after="80"/>
      </w:pP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Answering on Communications</w:t>
            </w:r>
          </w:p>
          <w:p>
            <w:pPr>
              <w:spacing w:after="40" w:line="264"/>
            </w:pPr>
            <w:r>
              <w:rPr>
                <w:sz w:val="19"/>
                <w:szCs w:val="19"/>
              </w:rPr>
              <w:t xml:space="preserve">The study's Twilio WhatsApp number isn't on any phone, so answer people on </w:t>
            </w:r>
            <w:r>
              <w:rPr>
                <w:b/>
                <w:bCs/>
                <w:sz w:val="19"/>
                <w:szCs w:val="19"/>
              </w:rPr>
              <w:t xml:space="preserve">Communications</w:t>
            </w:r>
            <w:r>
              <w:rPr>
                <w:sz w:val="19"/>
                <w:szCs w:val="19"/>
              </w:rPr>
              <w:t xml:space="preserve">: open the conversation, write under </w:t>
            </w:r>
            <w:r>
              <w:rPr>
                <w:b/>
                <w:bCs/>
                <w:sz w:val="19"/>
                <w:szCs w:val="19"/>
              </w:rPr>
              <w:t xml:space="preserve">WhatsApp</w:t>
            </w:r>
            <w:r>
              <w:rPr>
                <w:sz w:val="19"/>
                <w:szCs w:val="19"/>
              </w:rPr>
              <w:t xml:space="preserve"> and select </w:t>
            </w:r>
            <w:r>
              <w:rPr>
                <w:b/>
                <w:bCs/>
                <w:sz w:val="19"/>
                <w:szCs w:val="19"/>
              </w:rPr>
              <w:t xml:space="preserve">Send WhatsApp</w:t>
            </w:r>
            <w:r>
              <w:rPr>
                <w:sz w:val="19"/>
                <w:szCs w:val="19"/>
              </w:rPr>
              <w:t xml:space="preserve">. WhatsApp only accepts a written message within 24 hours of their last message; after that, email or phone them. Email replies to the study address appear there too, and you can answer them under </w:t>
            </w:r>
            <w:r>
              <w:rPr>
                <w:b/>
                <w:bCs/>
                <w:sz w:val="19"/>
                <w:szCs w:val="19"/>
              </w:rPr>
              <w:t xml:space="preserve">Email</w:t>
            </w:r>
            <w:r>
              <w:rPr>
                <w:sz w:val="19"/>
                <w:szCs w:val="19"/>
              </w:rPr>
              <w:t xml:space="preserve">. </w:t>
            </w:r>
            <w:r>
              <w:rPr>
                <w:b/>
                <w:bCs/>
                <w:sz w:val="19"/>
                <w:szCs w:val="19"/>
              </w:rPr>
              <w:t xml:space="preserve">Mark handled</w:t>
            </w:r>
            <w:r>
              <w:rPr>
                <w:sz w:val="19"/>
                <w:szCs w:val="19"/>
              </w:rPr>
              <w:t xml:space="preserve"> when it's dealt with. Voice notes play, pictures show and a shared contact appears as its name and number in the conversation. A message that is someone's own invitation code is marked </w:t>
            </w:r>
            <w:r>
              <w:rPr>
                <w:b/>
                <w:bCs/>
                <w:sz w:val="19"/>
                <w:szCs w:val="19"/>
              </w:rPr>
              <w:t xml:space="preserve">Wants to answer by phone: call them</w:t>
            </w:r>
            <w:r>
              <w:rPr>
                <w:sz w:val="19"/>
                <w:szCs w:val="19"/>
              </w:rPr>
              <w:t xml:space="preserve">: they are asking to do the questionnaire with you on the phone. A Contact RA sees only their own cases; messages from numbers the study has no record of go to the PI and Field Coordinator.</w:t>
            </w:r>
          </w:p>
        </w:tc>
      </w:tr>
    </w:tbl>
    <w:p>
      <w:pPr>
        <w:pStyle w:val="Heading3"/>
      </w:pPr>
      <w:r>
        <w:t xml:space="preserve">Reminders sent automatically</w:t>
      </w:r>
    </w:p>
    <w:p>
      <w:pPr>
        <w:spacing w:after="120" w:line="288"/>
      </w:pPr>
      <w:r>
        <w:t xml:space="preserve">Once SMS or WhatsApp is set up, the portal sends the Day 2 and Day 7 reminders itself every morning at 08:00: by WhatsApp once Meta has approved its template, otherwise by SMS, to the respondent's mobile. While Meta still has a template pending, that reminder is not sent by WhatsApp at all: it goes by SMS if SMS is set up, or waits on Follow-ups. </w:t>
      </w:r>
      <w:r>
        <w:rPr>
          <w:b/>
          <w:bCs/>
        </w:rPr>
        <w:t xml:space="preserve">Follow-ups</w:t>
      </w:r>
      <w:r>
        <w:t xml:space="preserve"> says “The portal sends this one automatically” for those. Reminders for anyone without a mobile, and any automatic message that did not get through, stay on Follow-ups to send by hand, marked “The automatic message did not get through”. A failed reminder is never re-sent automatically, and it does not count toward Nonresponse until a person sends it.</w:t>
      </w:r>
    </w:p>
    <w:p>
      <w:pPr>
        <w:pStyle w:val="Heading2"/>
      </w:pPr>
      <w:r>
        <w:t xml:space="preserve">4.10 Sending WhatsApp invitations from the queue</w:t>
      </w:r>
    </w:p>
    <w:p>
      <w:pPr>
        <w:spacing w:after="120" w:line="288"/>
      </w:pPr>
      <w:r>
        <w:t xml:space="preserve">The study has no WhatsApp Business account, so the portal cannot send WhatsApp messages itself. The queue does the next best thing: it lists every verified case (</w:t>
      </w:r>
      <w:r>
        <w:rPr>
          <w:b/>
          <w:bCs/>
        </w:rPr>
        <w:t xml:space="preserve">S03</w:t>
      </w:r>
      <w:r>
        <w:t xml:space="preserve"> or </w:t>
      </w:r>
      <w:r>
        <w:rPr>
          <w:b/>
          <w:bCs/>
        </w:rPr>
        <w:t xml:space="preserve">S04</w:t>
      </w:r>
      <w:r>
        <w:t xml:space="preserve">) with a WhatsApp or phone number and no open invitation, and prepares each invitation so you send it with one tap from the study phone. A Contact RA sees only their own cases.</w:t>
      </w:r>
    </w:p>
    <w:p>
      <w:pPr>
        <w:pStyle w:val="ListParagraph"/>
        <w:numPr>
          <w:ilvl w:val="0"/>
          <w:numId w:val="16"/>
        </w:numPr>
        <w:spacing w:after="80" w:line="276"/>
      </w:pPr>
      <w:r>
        <w:t xml:space="preserve">Open </w:t>
      </w:r>
      <w:r>
        <w:rPr>
          <w:b/>
          <w:bCs/>
        </w:rPr>
        <w:t xml:space="preserve">Main-400 Register</w:t>
      </w:r>
      <w:r>
        <w:t xml:space="preserve"> and find </w:t>
      </w:r>
      <w:r>
        <w:rPr>
          <w:b/>
          <w:bCs/>
        </w:rPr>
        <w:t xml:space="preserve">WhatsApp invitations</w:t>
      </w:r>
      <w:r>
        <w:t xml:space="preserve">. Each row shows the Sample ID, the organisation, the person and a partly hidden number.</w:t>
      </w:r>
    </w:p>
    <w:p>
      <w:pPr>
        <w:pStyle w:val="ListParagraph"/>
        <w:numPr>
          <w:ilvl w:val="0"/>
          <w:numId w:val="16"/>
        </w:numPr>
        <w:spacing w:after="80" w:line="276"/>
      </w:pPr>
      <w:r>
        <w:t xml:space="preserve">Select </w:t>
      </w:r>
      <w:r>
        <w:rPr>
          <w:b/>
          <w:bCs/>
        </w:rPr>
        <w:t xml:space="preserve">Prepare</w:t>
      </w:r>
      <w:r>
        <w:t xml:space="preserve"> on a row. The portal creates the case's personal link and code, writes the approved WhatsApp message, and moves the case to </w:t>
      </w:r>
      <w:r>
        <w:rPr>
          <w:b/>
          <w:bCs/>
        </w:rPr>
        <w:t xml:space="preserve">S05 Invitation sent</w:t>
      </w:r>
      <w:r>
        <w:t xml:space="preserve">.</w:t>
      </w:r>
    </w:p>
    <w:p>
      <w:pPr>
        <w:pStyle w:val="ListParagraph"/>
        <w:numPr>
          <w:ilvl w:val="0"/>
          <w:numId w:val="16"/>
        </w:numPr>
        <w:spacing w:after="80" w:line="276"/>
      </w:pPr>
      <w:r>
        <w:t xml:space="preserve">Select </w:t>
      </w:r>
      <w:r>
        <w:rPr>
          <w:b/>
          <w:bCs/>
        </w:rPr>
        <w:t xml:space="preserve">Open WhatsApp</w:t>
      </w:r>
      <w:r>
        <w:t xml:space="preserve">. WhatsApp opens at that person's chat with the message ready. Check you are on the study number, then press Send. (</w:t>
      </w:r>
      <w:r>
        <w:rPr>
          <w:b/>
          <w:bCs/>
        </w:rPr>
        <w:t xml:space="preserve">Copy message</w:t>
      </w:r>
      <w:r>
        <w:t xml:space="preserve"> copies the text if WhatsApp will not open.)</w:t>
      </w:r>
    </w:p>
    <w:p>
      <w:pPr>
        <w:pStyle w:val="ListParagraph"/>
        <w:numPr>
          <w:ilvl w:val="0"/>
          <w:numId w:val="16"/>
        </w:numPr>
        <w:spacing w:after="80" w:line="276"/>
      </w:pPr>
      <w:r>
        <w:t xml:space="preserve">If the case also has an email address, select </w:t>
      </w:r>
      <w:r>
        <w:rPr>
          <w:b/>
          <w:bCs/>
        </w:rPr>
        <w:t xml:space="preserve">Email the same link</w:t>
      </w:r>
      <w:r>
        <w:t xml:space="preserve"> straight away. The same invitation goes by email from the study address, so the organisation can use whichever message it sees first. The button then reads </w:t>
      </w:r>
      <w:r>
        <w:rPr>
          <w:b/>
          <w:bCs/>
        </w:rPr>
        <w:t xml:space="preserve">Emailed to …</w:t>
      </w:r>
      <w:r>
        <w:t xml:space="preserve">.</w:t>
      </w:r>
    </w:p>
    <w:p>
      <w:pPr>
        <w:pStyle w:val="ListParagraph"/>
        <w:numPr>
          <w:ilvl w:val="0"/>
          <w:numId w:val="16"/>
        </w:numPr>
        <w:spacing w:after="80" w:line="276"/>
      </w:pPr>
      <w:r>
        <w:t xml:space="preserve">Log the attempt on the case's </w:t>
      </w:r>
      <w:r>
        <w:rPr>
          <w:b/>
          <w:bCs/>
        </w:rPr>
        <w:t xml:space="preserve">Contact timeline</w:t>
      </w:r>
      <w:r>
        <w:t xml:space="preserve">, as for any invitation.</w:t>
      </w:r>
    </w:p>
    <w:p>
      <w:pPr>
        <w:spacing w:after="80"/>
      </w:pPr>
    </w:p>
    <w:tbl>
      <w:tblPr>
        <w:tblW w:type="dxa" w:w="9412"/>
        <w:tblBorders>
          <w:top w:val="single" w:color="FBF1E1" w:sz="2"/>
          <w:left w:val="single" w:color="D9A441" w:sz="24"/>
          <w:bottom w:val="single" w:color="FBF1E1" w:sz="2"/>
          <w:right w:val="single" w:color="FBF1E1" w:sz="2"/>
          <w:insideH w:val="single" w:color="FBF1E1" w:sz="4"/>
          <w:insideV w:val="single" w:color="FBF1E1" w:sz="4"/>
        </w:tblBorders>
      </w:tblPr>
      <w:tblGrid>
        <w:gridCol w:w="9412"/>
      </w:tblGrid>
      <w:tr>
        <w:trPr>
          <w:cantSplit/>
        </w:trPr>
        <w:tc>
          <w:tcPr>
            <w:tcW w:type="dxa" w:w="9412"/>
            <w:shd w:fill="FBF1E1" w:color="auto" w:val="clear"/>
            <w:tcMar>
              <w:top w:type="dxa" w:w="100"/>
              <w:left w:type="dxa" w:w="180"/>
              <w:bottom w:type="dxa" w:w="100"/>
              <w:right w:type="dxa" w:w="160"/>
            </w:tcMar>
          </w:tcPr>
          <w:p>
            <w:pPr>
              <w:spacing w:after="40"/>
            </w:pPr>
            <w:r>
              <w:rPr>
                <w:b/>
                <w:bCs/>
                <w:color w:val="22282E"/>
                <w:sz w:val="20"/>
                <w:szCs w:val="20"/>
              </w:rPr>
              <w:t xml:space="preserve">Prepare only what you are about to send</w:t>
            </w:r>
          </w:p>
          <w:p>
            <w:pPr>
              <w:spacing w:after="40" w:line="264"/>
            </w:pPr>
            <w:r>
              <w:rPr>
                <w:sz w:val="19"/>
                <w:szCs w:val="19"/>
              </w:rPr>
              <w:t xml:space="preserve">Preparing an invitation counts it as sent: the case moves to S05 and the Day 2 and Day 7 reminders start counting. If you prepare one and cannot send it, open the case and </w:t>
            </w:r>
            <w:r>
              <w:rPr>
                <w:b/>
                <w:bCs/>
                <w:sz w:val="19"/>
                <w:szCs w:val="19"/>
              </w:rPr>
              <w:t xml:space="preserve">Revoke</w:t>
            </w:r>
            <w:r>
              <w:rPr>
                <w:sz w:val="19"/>
                <w:szCs w:val="19"/>
              </w:rPr>
              <w:t xml:space="preserve"> that invitation so the link stops working. The case stays at S05 and does not come back to the queue: when you can reach the person, send a new invitation from the case's </w:t>
            </w:r>
            <w:r>
              <w:rPr>
                <w:b/>
                <w:bCs/>
                <w:sz w:val="19"/>
                <w:szCs w:val="19"/>
              </w:rPr>
              <w:t xml:space="preserve">Invitations</w:t>
            </w:r>
            <w:r>
              <w:rPr>
                <w:sz w:val="19"/>
                <w:szCs w:val="19"/>
              </w:rPr>
              <w:t xml:space="preserve"> panel.</w:t>
            </w:r>
          </w:p>
        </w:tc>
      </w:tr>
    </w:tbl>
    <w:p>
      <w:pPr>
        <w:pStyle w:val="Heading2"/>
      </w:pPr>
      <w:r>
        <w:t xml:space="preserve">4.11 Sending follow-up reminders</w:t>
      </w:r>
    </w:p>
    <w:p>
      <w:pPr>
        <w:spacing w:after="120" w:line="288"/>
      </w:pPr>
      <w:r>
        <w:t xml:space="preserve">Approved reminders fall due on </w:t>
      </w:r>
      <w:r>
        <w:rPr>
          <w:b/>
          <w:bCs/>
        </w:rPr>
        <w:t xml:space="preserve">Day 2</w:t>
      </w:r>
      <w:r>
        <w:t xml:space="preserve"> and </w:t>
      </w:r>
      <w:r>
        <w:rPr>
          <w:b/>
          <w:bCs/>
        </w:rPr>
        <w:t xml:space="preserve">Day 7</w:t>
      </w:r>
      <w:r>
        <w:t xml:space="preserve"> after an invitation for respondents who have not yet submitted. Once SMS or WhatsApp is set up through Twilio, the portal sends them itself each morning at 08:00 and those cards say so; the rest (no mobile on file, or an automatic message that did not get through) a person sends.</w:t>
      </w:r>
    </w:p>
    <w:p>
      <w:pPr>
        <w:pStyle w:val="ListParagraph"/>
        <w:numPr>
          <w:ilvl w:val="0"/>
          <w:numId w:val="17"/>
        </w:numPr>
        <w:spacing w:after="80" w:line="276"/>
      </w:pPr>
      <w:r>
        <w:t xml:space="preserve">Select </w:t>
      </w:r>
      <w:r>
        <w:rPr>
          <w:b/>
          <w:bCs/>
        </w:rPr>
        <w:t xml:space="preserve">Follow-ups</w:t>
      </w:r>
      <w:r>
        <w:t xml:space="preserve">. Each card shows the case, organisation, which reminder is due, when the invitation went out, the respondent and their number, and the exact approved message.</w:t>
      </w:r>
    </w:p>
    <w:p>
      <w:pPr>
        <w:keepNext/>
        <w:spacing w:after="40" w:before="80"/>
        <w:jc w:val="center"/>
      </w:pPr>
      <w:r>
        <w:drawing>
          <wp:inline distT="0" distB="0" distL="0" distR="0">
            <wp:extent cx="5334000" cy="3333750"/>
            <wp:effectExtent t="0" r="0" b="0" l="0"/>
            <wp:docPr id="1" name="cra_follow_ups.jpg" descr="Follow-ups due. Contact RAs see only their own cases." title="Follow-ups due. Contact RAs see only their own cas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334000" cy="3333750"/>
                    </a:xfrm>
                    <a:prstGeom prst="rect">
                      <a:avLst/>
                    </a:prstGeom>
                  </pic:spPr>
                </pic:pic>
              </a:graphicData>
            </a:graphic>
          </wp:inline>
        </w:drawing>
      </w:r>
    </w:p>
    <w:p>
      <w:pPr>
        <w:spacing w:after="180"/>
        <w:jc w:val="center"/>
      </w:pPr>
      <w:r>
        <w:rPr>
          <w:b/>
          <w:bCs/>
          <w:color w:val="5B6670"/>
          <w:sz w:val="17"/>
          <w:szCs w:val="17"/>
        </w:rPr>
        <w:t xml:space="preserve">Figure 18. </w:t>
      </w:r>
      <w:r>
        <w:rPr>
          <w:i/>
          <w:iCs/>
          <w:color w:val="5B6670"/>
          <w:sz w:val="17"/>
          <w:szCs w:val="17"/>
        </w:rPr>
        <w:t xml:space="preserve">Follow-ups due. Contact RAs see only their own cases.</w:t>
      </w:r>
    </w:p>
    <w:p>
      <w:pPr>
        <w:pStyle w:val="ListParagraph"/>
        <w:numPr>
          <w:ilvl w:val="0"/>
          <w:numId w:val="17"/>
        </w:numPr>
        <w:spacing w:after="80" w:line="276"/>
      </w:pPr>
      <w:r>
        <w:t xml:space="preserve">Select </w:t>
      </w:r>
      <w:r>
        <w:rPr>
          <w:b/>
          <w:bCs/>
        </w:rPr>
        <w:t xml:space="preserve">Open in WhatsApp</w:t>
      </w:r>
      <w:r>
        <w:t xml:space="preserve">. WhatsApp opens with the message ready for that number; send it. If the card says </w:t>
      </w:r>
      <w:r>
        <w:rPr>
          <w:b/>
          <w:bCs/>
        </w:rPr>
        <w:t xml:space="preserve">no number on file</w:t>
      </w:r>
      <w:r>
        <w:t xml:space="preserve">, or that the number </w:t>
      </w:r>
      <w:r>
        <w:rPr>
          <w:b/>
          <w:bCs/>
        </w:rPr>
        <w:t xml:space="preserve">is a landline</w:t>
      </w:r>
      <w:r>
        <w:t xml:space="preserve">, the button reads </w:t>
      </w:r>
      <w:r>
        <w:rPr>
          <w:b/>
          <w:bCs/>
        </w:rPr>
        <w:t xml:space="preserve">Open WhatsApp (choose contact)</w:t>
      </w:r>
      <w:r>
        <w:t xml:space="preserve">: WhatsApp can't reach a landline, so phone them instead, or pick the chat yourself if you have their mobile, and add the mobile to the case afterwards.</w:t>
      </w:r>
    </w:p>
    <w:p>
      <w:pPr>
        <w:pStyle w:val="ListParagraph"/>
        <w:numPr>
          <w:ilvl w:val="0"/>
          <w:numId w:val="17"/>
        </w:numPr>
        <w:spacing w:after="80" w:line="276"/>
      </w:pPr>
      <w:r>
        <w:t xml:space="preserve">Come back and select </w:t>
      </w:r>
      <w:r>
        <w:rPr>
          <w:b/>
          <w:bCs/>
        </w:rPr>
        <w:t xml:space="preserve">Mark as sent</w:t>
      </w:r>
      <w:r>
        <w:t xml:space="preserve">. The card disappears and the reminder is recorded under your name.</w:t>
      </w:r>
    </w:p>
    <w:p>
      <w:pPr>
        <w:spacing w:after="80"/>
      </w:pPr>
    </w:p>
    <w:tbl>
      <w:tblPr>
        <w:tblW w:type="dxa" w:w="9412"/>
        <w:tblBorders>
          <w:top w:val="single" w:color="FBF1E1" w:sz="2"/>
          <w:left w:val="single" w:color="D9A441" w:sz="24"/>
          <w:bottom w:val="single" w:color="FBF1E1" w:sz="2"/>
          <w:right w:val="single" w:color="FBF1E1" w:sz="2"/>
          <w:insideH w:val="single" w:color="FBF1E1" w:sz="4"/>
          <w:insideV w:val="single" w:color="FBF1E1" w:sz="4"/>
        </w:tblBorders>
      </w:tblPr>
      <w:tblGrid>
        <w:gridCol w:w="9412"/>
      </w:tblGrid>
      <w:tr>
        <w:trPr>
          <w:cantSplit/>
        </w:trPr>
        <w:tc>
          <w:tcPr>
            <w:tcW w:type="dxa" w:w="9412"/>
            <w:shd w:fill="FBF1E1" w:color="auto" w:val="clear"/>
            <w:tcMar>
              <w:top w:type="dxa" w:w="100"/>
              <w:left w:type="dxa" w:w="180"/>
              <w:bottom w:type="dxa" w:w="100"/>
              <w:right w:type="dxa" w:w="160"/>
            </w:tcMar>
          </w:tcPr>
          <w:p>
            <w:pPr>
              <w:spacing w:after="40"/>
            </w:pPr>
            <w:r>
              <w:rPr>
                <w:b/>
                <w:bCs/>
                <w:color w:val="22282E"/>
                <w:sz w:val="20"/>
                <w:szCs w:val="20"/>
              </w:rPr>
              <w:t xml:space="preserve">Mark as sent only after sending</w:t>
            </w:r>
          </w:p>
          <w:p>
            <w:pPr>
              <w:spacing w:after="40" w:line="264"/>
            </w:pPr>
            <w:r>
              <w:rPr>
                <w:sz w:val="19"/>
                <w:szCs w:val="19"/>
              </w:rPr>
              <w:t xml:space="preserve">A case can become </w:t>
            </w:r>
            <w:r>
              <w:rPr>
                <w:b/>
                <w:bCs/>
                <w:sz w:val="19"/>
                <w:szCs w:val="19"/>
              </w:rPr>
              <w:t xml:space="preserve">S13 Nonresponse</w:t>
            </w:r>
            <w:r>
              <w:rPr>
                <w:sz w:val="19"/>
                <w:szCs w:val="19"/>
              </w:rPr>
              <w:t xml:space="preserve"> (and be replaced by its Reserve) only after every reminder has been recorded as sent. Marking a reminder you did not send could lead to an organisation being replaced without being contacted.</w:t>
            </w:r>
          </w:p>
        </w:tc>
      </w:tr>
    </w:tbl>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Booked a call? No reminders</w:t>
            </w:r>
          </w:p>
          <w:p>
            <w:pPr>
              <w:spacing w:after="40" w:line="264"/>
            </w:pPr>
            <w:r>
              <w:rPr>
                <w:sz w:val="19"/>
                <w:szCs w:val="19"/>
              </w:rPr>
              <w:t xml:space="preserve">When a respondent asks for a call (an appointment that is </w:t>
            </w:r>
            <w:r>
              <w:rPr>
                <w:b/>
                <w:bCs/>
                <w:sz w:val="19"/>
                <w:szCs w:val="19"/>
              </w:rPr>
              <w:t xml:space="preserve">REQUESTED</w:t>
            </w:r>
            <w:r>
              <w:rPr>
                <w:sz w:val="19"/>
                <w:szCs w:val="19"/>
              </w:rPr>
              <w:t xml:space="preserve"> or </w:t>
            </w:r>
            <w:r>
              <w:rPr>
                <w:b/>
                <w:bCs/>
                <w:sz w:val="19"/>
                <w:szCs w:val="19"/>
              </w:rPr>
              <w:t xml:space="preserve">CONFIRMED</w:t>
            </w:r>
            <w:r>
              <w:rPr>
                <w:sz w:val="19"/>
                <w:szCs w:val="19"/>
              </w:rPr>
              <w:t xml:space="preserve">), their case leaves Follow-ups and can never become Nonresponse while the appointment is open. The reminders come back only if the appointment is marked </w:t>
            </w:r>
            <w:r>
              <w:rPr>
                <w:b/>
                <w:bCs/>
                <w:sz w:val="19"/>
                <w:szCs w:val="19"/>
              </w:rPr>
              <w:t xml:space="preserve">MISSED</w:t>
            </w:r>
            <w:r>
              <w:rPr>
                <w:sz w:val="19"/>
                <w:szCs w:val="19"/>
              </w:rPr>
              <w:t xml:space="preserve"> or </w:t>
            </w:r>
            <w:r>
              <w:rPr>
                <w:b/>
                <w:bCs/>
                <w:sz w:val="19"/>
                <w:szCs w:val="19"/>
              </w:rPr>
              <w:t xml:space="preserve">CANCELLED</w:t>
            </w:r>
            <w:r>
              <w:rPr>
                <w:sz w:val="19"/>
                <w:szCs w:val="19"/>
              </w:rPr>
              <w:t xml:space="preserve"> (or </w:t>
            </w:r>
            <w:r>
              <w:rPr>
                <w:b/>
                <w:bCs/>
                <w:sz w:val="19"/>
                <w:szCs w:val="19"/>
              </w:rPr>
              <w:t xml:space="preserve">COMPLETED</w:t>
            </w:r>
            <w:r>
              <w:rPr>
                <w:sz w:val="19"/>
                <w:szCs w:val="19"/>
              </w:rPr>
              <w:t xml:space="preserve"> without the questionnaire being started). So keep Appointments up to date: an appointment left open after its date keeps that case out of the reminders.</w:t>
            </w:r>
          </w:p>
        </w:tc>
      </w:tr>
    </w:tbl>
    <w:p>
      <w:pPr>
        <w:pStyle w:val="Heading3"/>
      </w:pPr>
      <w:r>
        <w:t xml:space="preserve">Invitations that have run out</w:t>
      </w:r>
    </w:p>
    <w:p>
      <w:pPr>
        <w:spacing w:after="120" w:line="288"/>
      </w:pPr>
      <w:r>
        <w:t xml:space="preserve">An invitation link works for 14 days. Below the reminders, </w:t>
      </w:r>
      <w:r>
        <w:rPr>
          <w:b/>
          <w:bCs/>
        </w:rPr>
        <w:t xml:space="preserve">Follow-ups</w:t>
      </w:r>
      <w:r>
        <w:t xml:space="preserve"> lists </w:t>
      </w:r>
      <w:r>
        <w:rPr>
          <w:b/>
          <w:bCs/>
        </w:rPr>
        <w:t xml:space="preserve">Invitations that have run out</w:t>
      </w:r>
      <w:r>
        <w:t xml:space="preserve">: organisations that haven't responded and whose link no longer works, either because it passed its expiry date or because the last invitation was revoked or replaced. No reminder is offered for them, because it would point at a dead link.</w:t>
      </w:r>
    </w:p>
    <w:p>
      <w:pPr>
        <w:pStyle w:val="ListParagraph"/>
        <w:numPr>
          <w:ilvl w:val="0"/>
          <w:numId w:val="18"/>
        </w:numPr>
        <w:spacing w:after="80" w:line="276"/>
      </w:pPr>
      <w:r>
        <w:t xml:space="preserve">Select the Sample ID to open the case.</w:t>
      </w:r>
    </w:p>
    <w:p>
      <w:pPr>
        <w:pStyle w:val="ListParagraph"/>
        <w:numPr>
          <w:ilvl w:val="0"/>
          <w:numId w:val="18"/>
        </w:numPr>
        <w:spacing w:after="80" w:line="276"/>
      </w:pPr>
      <w:r>
        <w:t xml:space="preserve">Select </w:t>
      </w:r>
      <w:r>
        <w:rPr>
          <w:b/>
          <w:bCs/>
        </w:rPr>
        <w:t xml:space="preserve">Send invitation</w:t>
      </w:r>
      <w:r>
        <w:t xml:space="preserve"> (it may read </w:t>
      </w:r>
      <w:r>
        <w:rPr>
          <w:b/>
          <w:bCs/>
        </w:rPr>
        <w:t xml:space="preserve">Send new invitation (replaces current)</w:t>
      </w:r>
      <w:r>
        <w:t xml:space="preserve">) and send it as usual. The case leaves the list, and the Day 2 and Day 7 reminders start again from the new invitation.</w:t>
      </w:r>
    </w:p>
    <w:p>
      <w:pPr>
        <w:spacing w:after="80"/>
      </w:pP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Landlines</w:t>
            </w:r>
          </w:p>
          <w:p>
            <w:pPr>
              <w:spacing w:after="40" w:line="264"/>
            </w:pPr>
            <w:r>
              <w:rPr>
                <w:sz w:val="19"/>
                <w:szCs w:val="19"/>
              </w:rPr>
              <w:t xml:space="preserve">WhatsApp and SMS only go to mobile numbers. Where a respondent has only a landline, the invitation panel and Follow-ups say so: phone them, or ask for a mobile number and add it to the case.</w:t>
            </w:r>
          </w:p>
        </w:tc>
      </w:tr>
    </w:tbl>
    <w:p>
      <w:pPr>
        <w:pStyle w:val="Heading2"/>
      </w:pPr>
      <w:r>
        <w:t xml:space="preserve">4.12 Managing appointments</w:t>
      </w:r>
    </w:p>
    <w:p>
      <w:pPr>
        <w:pStyle w:val="ListParagraph"/>
        <w:numPr>
          <w:ilvl w:val="0"/>
          <w:numId w:val="19"/>
        </w:numPr>
        <w:spacing w:after="80" w:line="276"/>
      </w:pPr>
      <w:r>
        <w:t xml:space="preserve">Select </w:t>
      </w:r>
      <w:r>
        <w:rPr>
          <w:b/>
          <w:bCs/>
        </w:rPr>
        <w:t xml:space="preserve">Appointments</w:t>
      </w:r>
      <w:r>
        <w:t xml:space="preserve">. Each row shows the case (Sample ID and organisation) or KII, the requested time, the mode (PHONE, WHATSAPP_VOICE, ZOOM, …) and the status.</w:t>
      </w:r>
    </w:p>
    <w:p>
      <w:pPr>
        <w:keepNext/>
        <w:spacing w:after="40" w:before="80"/>
        <w:jc w:val="center"/>
      </w:pPr>
      <w:r>
        <w:drawing>
          <wp:inline distT="0" distB="0" distL="0" distR="0">
            <wp:extent cx="5334000" cy="2667000"/>
            <wp:effectExtent t="0" r="0" b="0" l="0"/>
            <wp:docPr id="1" name="cra_appointments.jpg" descr="Appointment Queue." title="Appointment Que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334000" cy="2667000"/>
                    </a:xfrm>
                    <a:prstGeom prst="rect">
                      <a:avLst/>
                    </a:prstGeom>
                  </pic:spPr>
                </pic:pic>
              </a:graphicData>
            </a:graphic>
          </wp:inline>
        </w:drawing>
      </w:r>
    </w:p>
    <w:p>
      <w:pPr>
        <w:spacing w:after="180"/>
        <w:jc w:val="center"/>
      </w:pPr>
      <w:r>
        <w:rPr>
          <w:b/>
          <w:bCs/>
          <w:color w:val="5B6670"/>
          <w:sz w:val="17"/>
          <w:szCs w:val="17"/>
        </w:rPr>
        <w:t xml:space="preserve">Figure 19. </w:t>
      </w:r>
      <w:r>
        <w:rPr>
          <w:i/>
          <w:iCs/>
          <w:color w:val="5B6670"/>
          <w:sz w:val="17"/>
          <w:szCs w:val="17"/>
        </w:rPr>
        <w:t xml:space="preserve">Appointment Queue.</w:t>
      </w:r>
    </w:p>
    <w:p>
      <w:pPr>
        <w:pStyle w:val="ListParagraph"/>
        <w:numPr>
          <w:ilvl w:val="0"/>
          <w:numId w:val="19"/>
        </w:numPr>
        <w:spacing w:after="80" w:line="276"/>
      </w:pPr>
      <w:r>
        <w:t xml:space="preserve">Use </w:t>
      </w:r>
      <w:r>
        <w:rPr>
          <w:b/>
          <w:bCs/>
        </w:rPr>
        <w:t xml:space="preserve">Filter by status</w:t>
      </w:r>
      <w:r>
        <w:t xml:space="preserve"> to show, for example, only </w:t>
      </w:r>
      <w:r>
        <w:rPr>
          <w:b/>
          <w:bCs/>
        </w:rPr>
        <w:t xml:space="preserve">REQUESTED</w:t>
      </w:r>
      <w:r>
        <w:t xml:space="preserve"> appointments.</w:t>
      </w:r>
    </w:p>
    <w:p>
      <w:pPr>
        <w:pStyle w:val="ListParagraph"/>
        <w:numPr>
          <w:ilvl w:val="0"/>
          <w:numId w:val="19"/>
        </w:numPr>
        <w:spacing w:after="80" w:line="276"/>
      </w:pPr>
      <w:r>
        <w:t xml:space="preserve">Contact the respondent to confirm, then select </w:t>
      </w:r>
      <w:r>
        <w:rPr>
          <w:b/>
          <w:bCs/>
        </w:rPr>
        <w:t xml:space="preserve">CONFIRMED</w:t>
      </w:r>
      <w:r>
        <w:t xml:space="preserve">.</w:t>
      </w:r>
    </w:p>
    <w:p>
      <w:pPr>
        <w:pStyle w:val="ListParagraph"/>
        <w:numPr>
          <w:ilvl w:val="0"/>
          <w:numId w:val="19"/>
        </w:numPr>
        <w:spacing w:after="80" w:line="276"/>
      </w:pPr>
      <w:r>
        <w:t xml:space="preserve">After the session select </w:t>
      </w:r>
      <w:r>
        <w:rPr>
          <w:b/>
          <w:bCs/>
        </w:rPr>
        <w:t xml:space="preserve">COMPLETED</w:t>
      </w:r>
      <w:r>
        <w:t xml:space="preserve">, or </w:t>
      </w:r>
      <w:r>
        <w:rPr>
          <w:b/>
          <w:bCs/>
        </w:rPr>
        <w:t xml:space="preserve">MISSED</w:t>
      </w:r>
      <w:r>
        <w:t xml:space="preserve"> if they did not attend, or </w:t>
      </w:r>
      <w:r>
        <w:rPr>
          <w:b/>
          <w:bCs/>
        </w:rPr>
        <w:t xml:space="preserve">CANCELLED</w:t>
      </w:r>
      <w:r>
        <w:t xml:space="preserve">. Only valid next steps are shown; a finished appointment shows </w:t>
      </w:r>
      <w:r>
        <w:rPr>
          <w:b/>
          <w:bCs/>
        </w:rPr>
        <w:t xml:space="preserve">No further action</w:t>
      </w:r>
      <w:r>
        <w:t xml:space="preserve">.</w:t>
      </w:r>
    </w:p>
    <w:p>
      <w:pPr>
        <w:spacing w:after="80"/>
      </w:pPr>
    </w:p>
    <w:p>
      <w:pPr>
        <w:spacing w:after="120" w:line="288"/>
      </w:pPr>
      <w:r>
        <w:t xml:space="preserve">While an appointment is </w:t>
      </w:r>
      <w:r>
        <w:rPr>
          <w:b/>
          <w:bCs/>
        </w:rPr>
        <w:t xml:space="preserve">REQUESTED</w:t>
      </w:r>
      <w:r>
        <w:t xml:space="preserve"> or </w:t>
      </w:r>
      <w:r>
        <w:rPr>
          <w:b/>
          <w:bCs/>
        </w:rPr>
        <w:t xml:space="preserve">CONFIRMED</w:t>
      </w:r>
      <w:r>
        <w:t xml:space="preserve">, its case gets no Day 2 or Day 7 reminder and cannot become Nonresponse: the respondent has already said how they want to take part. </w:t>
      </w:r>
      <w:r>
        <w:rPr>
          <w:b/>
          <w:bCs/>
        </w:rPr>
        <w:t xml:space="preserve">MISSED</w:t>
      </w:r>
      <w:r>
        <w:t xml:space="preserve"> or </w:t>
      </w:r>
      <w:r>
        <w:rPr>
          <w:b/>
          <w:bCs/>
        </w:rPr>
        <w:t xml:space="preserve">CANCELLED</w:t>
      </w:r>
      <w:r>
        <w:t xml:space="preserve"> puts the case back on Follow-ups. Every request and every status change is recorded in the audit log.</w:t>
      </w:r>
    </w:p>
    <w:p>
      <w:pPr>
        <w:pStyle w:val="Heading2"/>
      </w:pPr>
      <w:r>
        <w:t xml:space="preserve">4.13 Logging a contact attempt</w:t>
      </w:r>
    </w:p>
    <w:p>
      <w:pPr>
        <w:spacing w:after="120" w:line="288"/>
      </w:pPr>
      <w:r>
        <w:t xml:space="preserve">Record </w:t>
      </w:r>
      <w:r>
        <w:rPr>
          <w:b/>
          <w:bCs/>
        </w:rPr>
        <w:t xml:space="preserve">every</w:t>
      </w:r>
      <w:r>
        <w:t xml:space="preserve"> attempt, successful or not. The Contact Dashboard, Reports and any later replacement decision rely on it.</w:t>
      </w:r>
    </w:p>
    <w:p>
      <w:pPr>
        <w:pStyle w:val="ListParagraph"/>
        <w:numPr>
          <w:ilvl w:val="0"/>
          <w:numId w:val="20"/>
        </w:numPr>
        <w:spacing w:after="80" w:line="276"/>
      </w:pPr>
      <w:r>
        <w:t xml:space="preserve">On the case page, scroll to </w:t>
      </w:r>
      <w:r>
        <w:rPr>
          <w:b/>
          <w:bCs/>
        </w:rPr>
        <w:t xml:space="preserve">Contact timeline → Log a contact attempt</w:t>
      </w:r>
      <w:r>
        <w:t xml:space="preserve">.</w:t>
      </w:r>
    </w:p>
    <w:p>
      <w:pPr>
        <w:keepNext/>
        <w:spacing w:after="40" w:before="80"/>
        <w:jc w:val="center"/>
      </w:pPr>
      <w:r>
        <w:drawing>
          <wp:inline distT="0" distB="0" distL="0" distR="0">
            <wp:extent cx="5334000" cy="1343025"/>
            <wp:effectExtent t="0" r="0" b="0" l="0"/>
            <wp:docPr id="1" name="adm_case_timeline.jpg" descr="Contact timeline and the form for logging an attempt." title="Contact timeline and the form for logging an attemp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334000" cy="1343025"/>
                    </a:xfrm>
                    <a:prstGeom prst="rect">
                      <a:avLst/>
                    </a:prstGeom>
                  </pic:spPr>
                </pic:pic>
              </a:graphicData>
            </a:graphic>
          </wp:inline>
        </w:drawing>
      </w:r>
    </w:p>
    <w:p>
      <w:pPr>
        <w:spacing w:after="180"/>
        <w:jc w:val="center"/>
      </w:pPr>
      <w:r>
        <w:rPr>
          <w:b/>
          <w:bCs/>
          <w:color w:val="5B6670"/>
          <w:sz w:val="17"/>
          <w:szCs w:val="17"/>
        </w:rPr>
        <w:t xml:space="preserve">Figure 20. </w:t>
      </w:r>
      <w:r>
        <w:rPr>
          <w:i/>
          <w:iCs/>
          <w:color w:val="5B6670"/>
          <w:sz w:val="17"/>
          <w:szCs w:val="17"/>
        </w:rPr>
        <w:t xml:space="preserve">Contact timeline and the form for logging an attempt.</w:t>
      </w:r>
    </w:p>
    <w:p>
      <w:pPr>
        <w:pStyle w:val="ListParagraph"/>
        <w:numPr>
          <w:ilvl w:val="0"/>
          <w:numId w:val="20"/>
        </w:numPr>
        <w:spacing w:after="80" w:line="276"/>
      </w:pPr>
      <w:r>
        <w:t xml:space="preserve">Choose the </w:t>
      </w:r>
      <w:r>
        <w:rPr>
          <w:b/>
          <w:bCs/>
        </w:rPr>
        <w:t xml:space="preserve">channel</w:t>
      </w:r>
      <w:r>
        <w:t xml:space="preserve"> (WHATSAPP, EMAIL, PHONE, SMS, FACE_TO_FACE) and the </w:t>
      </w:r>
      <w:r>
        <w:rPr>
          <w:b/>
          <w:bCs/>
        </w:rPr>
        <w:t xml:space="preserve">outcome</w:t>
      </w:r>
      <w:r>
        <w:t xml:space="preserve"> (REACHED, NO_ANSWER, WRONG_NUMBER, REFUSED, RESCHEDULED, COMPLETED).</w:t>
      </w:r>
    </w:p>
    <w:p>
      <w:pPr>
        <w:pStyle w:val="ListParagraph"/>
        <w:numPr>
          <w:ilvl w:val="0"/>
          <w:numId w:val="20"/>
        </w:numPr>
        <w:spacing w:after="80" w:line="276"/>
      </w:pPr>
      <w:r>
        <w:t xml:space="preserve">Add a short, factual note (optional), e.g. "PA says MD travelling; call back Thursday". Do not record opinions about the person.</w:t>
      </w:r>
    </w:p>
    <w:p>
      <w:pPr>
        <w:pStyle w:val="ListParagraph"/>
        <w:numPr>
          <w:ilvl w:val="0"/>
          <w:numId w:val="20"/>
        </w:numPr>
        <w:spacing w:after="80" w:line="276"/>
      </w:pPr>
      <w:r>
        <w:t xml:space="preserve">Select </w:t>
      </w:r>
      <w:r>
        <w:rPr>
          <w:b/>
          <w:bCs/>
        </w:rPr>
        <w:t xml:space="preserve">Log contact attempt</w:t>
      </w:r>
      <w:r>
        <w:t xml:space="preserve">. The entry appears at the top of the timeline with the date and time.</w:t>
      </w:r>
    </w:p>
    <w:p>
      <w:pPr>
        <w:spacing w:after="80"/>
      </w:pPr>
    </w:p>
    <w:p>
      <w:pPr>
        <w:pStyle w:val="Heading2"/>
      </w:pPr>
      <w:r>
        <w:t xml:space="preserve">4.14 Changing a case's status by hand</w:t>
      </w:r>
    </w:p>
    <w:p>
      <w:pPr>
        <w:spacing w:after="120" w:line="288"/>
      </w:pPr>
      <w:r>
        <w:t xml:space="preserve">Most statuses move automatically. Use </w:t>
      </w:r>
      <w:r>
        <w:rPr>
          <w:b/>
          <w:bCs/>
        </w:rPr>
        <w:t xml:space="preserve">Advance workflow status</w:t>
      </w:r>
      <w:r>
        <w:t xml:space="preserve"> on the case page only for decisions a person makes, such as recording that an organisation is ineligible or has refused.</w:t>
      </w:r>
    </w:p>
    <w:p>
      <w:pPr>
        <w:pStyle w:val="ListParagraph"/>
        <w:numPr>
          <w:ilvl w:val="0"/>
          <w:numId w:val="21"/>
        </w:numPr>
        <w:spacing w:after="80" w:line="276"/>
      </w:pPr>
      <w:r>
        <w:t xml:space="preserve">On the case page, find </w:t>
      </w:r>
      <w:r>
        <w:rPr>
          <w:b/>
          <w:bCs/>
        </w:rPr>
        <w:t xml:space="preserve">Advance workflow status</w:t>
      </w:r>
      <w:r>
        <w:t xml:space="preserve">. Only the transitions allowed from the current status are shown, e.g. </w:t>
      </w:r>
      <w:r>
        <w:rPr>
          <w:b/>
          <w:bCs/>
        </w:rPr>
        <w:t xml:space="preserve">→ S04</w:t>
      </w:r>
      <w:r>
        <w:t xml:space="preserve"> or </w:t>
      </w:r>
      <w:r>
        <w:rPr>
          <w:b/>
          <w:bCs/>
        </w:rPr>
        <w:t xml:space="preserve">→ S14</w:t>
      </w:r>
      <w:r>
        <w:t xml:space="preserve">.</w:t>
      </w:r>
    </w:p>
    <w:p>
      <w:pPr>
        <w:keepNext/>
        <w:spacing w:after="40" w:before="80"/>
        <w:jc w:val="center"/>
      </w:pPr>
      <w:r>
        <w:drawing>
          <wp:inline distT="0" distB="0" distL="0" distR="0">
            <wp:extent cx="5334000" cy="638175"/>
            <wp:effectExtent t="0" r="0" b="0" l="0"/>
            <wp:docPr id="1" name="adm_case_workflow.jpg" descr="Only valid next statuses are offered." title="Only valid next statuses are offer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334000" cy="638175"/>
                    </a:xfrm>
                    <a:prstGeom prst="rect">
                      <a:avLst/>
                    </a:prstGeom>
                  </pic:spPr>
                </pic:pic>
              </a:graphicData>
            </a:graphic>
          </wp:inline>
        </w:drawing>
      </w:r>
    </w:p>
    <w:p>
      <w:pPr>
        <w:spacing w:after="180"/>
        <w:jc w:val="center"/>
      </w:pPr>
      <w:r>
        <w:rPr>
          <w:b/>
          <w:bCs/>
          <w:color w:val="5B6670"/>
          <w:sz w:val="17"/>
          <w:szCs w:val="17"/>
        </w:rPr>
        <w:t xml:space="preserve">Figure 21. </w:t>
      </w:r>
      <w:r>
        <w:rPr>
          <w:i/>
          <w:iCs/>
          <w:color w:val="5B6670"/>
          <w:sz w:val="17"/>
          <w:szCs w:val="17"/>
        </w:rPr>
        <w:t xml:space="preserve">Only valid next statuses are offered.</w:t>
      </w:r>
    </w:p>
    <w:p>
      <w:pPr>
        <w:pStyle w:val="ListParagraph"/>
        <w:numPr>
          <w:ilvl w:val="0"/>
          <w:numId w:val="21"/>
        </w:numPr>
        <w:spacing w:after="80" w:line="276"/>
      </w:pPr>
      <w:r>
        <w:t xml:space="preserve">Log a contact attempt or note explaining the decision first.</w:t>
      </w:r>
    </w:p>
    <w:p>
      <w:pPr>
        <w:pStyle w:val="ListParagraph"/>
        <w:numPr>
          <w:ilvl w:val="0"/>
          <w:numId w:val="21"/>
        </w:numPr>
        <w:spacing w:after="80" w:line="276"/>
      </w:pPr>
      <w:r>
        <w:t xml:space="preserve">Select the new status. The change is audited.</w:t>
      </w:r>
    </w:p>
    <w:p>
      <w:pPr>
        <w:spacing w:after="80"/>
      </w:pP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2824"/>
        <w:gridCol w:w="6588"/>
      </w:tblGrid>
      <w:tr>
        <w:trPr>
          <w:tblHeader/>
        </w:trPr>
        <w:tc>
          <w:tcPr>
            <w:tcW w:type="dxa" w:w="2824"/>
            <w:shd w:fill="1B3350" w:color="auto" w:val="clear"/>
            <w:tcMar>
              <w:top w:type="dxa" w:w="70"/>
              <w:left w:type="dxa" w:w="110"/>
              <w:bottom w:type="dxa" w:w="70"/>
              <w:right w:type="dxa" w:w="110"/>
            </w:tcMar>
            <w:vAlign w:val="top"/>
          </w:tcPr>
          <w:p>
            <w:pPr>
              <w:spacing w:after="40"/>
            </w:pPr>
            <w:r>
              <w:rPr>
                <w:b/>
                <w:bCs/>
                <w:color w:val="FFFFFF"/>
                <w:sz w:val="19"/>
                <w:szCs w:val="19"/>
              </w:rPr>
              <w:t xml:space="preserve">From</w:t>
            </w:r>
          </w:p>
        </w:tc>
        <w:tc>
          <w:tcPr>
            <w:tcW w:type="dxa" w:w="6588"/>
            <w:shd w:fill="1B3350" w:color="auto" w:val="clear"/>
            <w:tcMar>
              <w:top w:type="dxa" w:w="70"/>
              <w:left w:type="dxa" w:w="110"/>
              <w:bottom w:type="dxa" w:w="70"/>
              <w:right w:type="dxa" w:w="110"/>
            </w:tcMar>
            <w:vAlign w:val="top"/>
          </w:tcPr>
          <w:p>
            <w:pPr>
              <w:spacing w:after="40"/>
            </w:pPr>
            <w:r>
              <w:rPr>
                <w:b/>
                <w:bCs/>
                <w:color w:val="FFFFFF"/>
                <w:sz w:val="19"/>
                <w:szCs w:val="19"/>
              </w:rPr>
              <w:t xml:space="preserve">Can move to</w:t>
            </w:r>
          </w:p>
        </w:tc>
      </w:tr>
      <w:tr>
        <w:trPr>
          <w:cantSplit/>
        </w:trPr>
        <w:tc>
          <w:tcPr>
            <w:tcW w:type="dxa" w:w="2824"/>
            <w:tcMar>
              <w:top w:type="dxa" w:w="70"/>
              <w:left w:type="dxa" w:w="110"/>
              <w:bottom w:type="dxa" w:w="70"/>
              <w:right w:type="dxa" w:w="110"/>
            </w:tcMar>
            <w:vAlign w:val="top"/>
          </w:tcPr>
          <w:p>
            <w:pPr>
              <w:spacing w:after="40"/>
            </w:pPr>
            <w:r>
              <w:rPr>
                <w:b w:val="false"/>
                <w:bCs w:val="false"/>
                <w:sz w:val="19"/>
                <w:szCs w:val="19"/>
              </w:rPr>
              <w:t xml:space="preserve">S00</w:t>
            </w:r>
          </w:p>
        </w:tc>
        <w:tc>
          <w:tcPr>
            <w:tcW w:type="dxa" w:w="6588"/>
            <w:tcMar>
              <w:top w:type="dxa" w:w="70"/>
              <w:left w:type="dxa" w:w="110"/>
              <w:bottom w:type="dxa" w:w="70"/>
              <w:right w:type="dxa" w:w="110"/>
            </w:tcMar>
            <w:vAlign w:val="top"/>
          </w:tcPr>
          <w:p>
            <w:pPr>
              <w:spacing w:after="40"/>
            </w:pPr>
            <w:r>
              <w:rPr>
                <w:b w:val="false"/>
                <w:bCs w:val="false"/>
                <w:sz w:val="19"/>
                <w:szCs w:val="19"/>
              </w:rPr>
              <w:t xml:space="preserve">S01</w:t>
            </w:r>
          </w:p>
        </w:tc>
      </w:tr>
      <w:tr>
        <w:trPr>
          <w:cantSplit/>
        </w:trPr>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S01</w:t>
            </w:r>
          </w:p>
        </w:tc>
        <w:tc>
          <w:tcPr>
            <w:tcW w:type="dxa" w:w="6588"/>
            <w:shd w:fill="F8FAFB" w:color="auto" w:val="clear"/>
            <w:tcMar>
              <w:top w:type="dxa" w:w="70"/>
              <w:left w:type="dxa" w:w="110"/>
              <w:bottom w:type="dxa" w:w="70"/>
              <w:right w:type="dxa" w:w="110"/>
            </w:tcMar>
            <w:vAlign w:val="top"/>
          </w:tcPr>
          <w:p>
            <w:pPr>
              <w:spacing w:after="40"/>
            </w:pPr>
            <w:r>
              <w:rPr>
                <w:b w:val="false"/>
                <w:bCs w:val="false"/>
                <w:sz w:val="19"/>
                <w:szCs w:val="19"/>
              </w:rPr>
              <w:t xml:space="preserve">S02, S15</w:t>
            </w:r>
          </w:p>
        </w:tc>
      </w:tr>
      <w:tr>
        <w:trPr>
          <w:cantSplit/>
        </w:trPr>
        <w:tc>
          <w:tcPr>
            <w:tcW w:type="dxa" w:w="2824"/>
            <w:tcMar>
              <w:top w:type="dxa" w:w="70"/>
              <w:left w:type="dxa" w:w="110"/>
              <w:bottom w:type="dxa" w:w="70"/>
              <w:right w:type="dxa" w:w="110"/>
            </w:tcMar>
            <w:vAlign w:val="top"/>
          </w:tcPr>
          <w:p>
            <w:pPr>
              <w:spacing w:after="40"/>
            </w:pPr>
            <w:r>
              <w:rPr>
                <w:b w:val="false"/>
                <w:bCs w:val="false"/>
                <w:sz w:val="19"/>
                <w:szCs w:val="19"/>
              </w:rPr>
              <w:t xml:space="preserve">S02</w:t>
            </w:r>
          </w:p>
        </w:tc>
        <w:tc>
          <w:tcPr>
            <w:tcW w:type="dxa" w:w="6588"/>
            <w:tcMar>
              <w:top w:type="dxa" w:w="70"/>
              <w:left w:type="dxa" w:w="110"/>
              <w:bottom w:type="dxa" w:w="70"/>
              <w:right w:type="dxa" w:w="110"/>
            </w:tcMar>
            <w:vAlign w:val="top"/>
          </w:tcPr>
          <w:p>
            <w:pPr>
              <w:spacing w:after="40"/>
            </w:pPr>
            <w:r>
              <w:rPr>
                <w:b w:val="false"/>
                <w:bCs w:val="false"/>
                <w:sz w:val="19"/>
                <w:szCs w:val="19"/>
              </w:rPr>
              <w:t xml:space="preserve">S03, S14, S15</w:t>
            </w:r>
          </w:p>
        </w:tc>
      </w:tr>
      <w:tr>
        <w:trPr>
          <w:cantSplit/>
        </w:trPr>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S03</w:t>
            </w:r>
          </w:p>
        </w:tc>
        <w:tc>
          <w:tcPr>
            <w:tcW w:type="dxa" w:w="6588"/>
            <w:shd w:fill="F8FAFB" w:color="auto" w:val="clear"/>
            <w:tcMar>
              <w:top w:type="dxa" w:w="70"/>
              <w:left w:type="dxa" w:w="110"/>
              <w:bottom w:type="dxa" w:w="70"/>
              <w:right w:type="dxa" w:w="110"/>
            </w:tcMar>
            <w:vAlign w:val="top"/>
          </w:tcPr>
          <w:p>
            <w:pPr>
              <w:spacing w:after="40"/>
            </w:pPr>
            <w:r>
              <w:rPr>
                <w:b w:val="false"/>
                <w:bCs w:val="false"/>
                <w:sz w:val="19"/>
                <w:szCs w:val="19"/>
              </w:rPr>
              <w:t xml:space="preserve">S04, S14</w:t>
            </w:r>
          </w:p>
        </w:tc>
      </w:tr>
      <w:tr>
        <w:trPr>
          <w:cantSplit/>
        </w:trPr>
        <w:tc>
          <w:tcPr>
            <w:tcW w:type="dxa" w:w="2824"/>
            <w:tcMar>
              <w:top w:type="dxa" w:w="70"/>
              <w:left w:type="dxa" w:w="110"/>
              <w:bottom w:type="dxa" w:w="70"/>
              <w:right w:type="dxa" w:w="110"/>
            </w:tcMar>
            <w:vAlign w:val="top"/>
          </w:tcPr>
          <w:p>
            <w:pPr>
              <w:spacing w:after="40"/>
            </w:pPr>
            <w:r>
              <w:rPr>
                <w:b w:val="false"/>
                <w:bCs w:val="false"/>
                <w:sz w:val="19"/>
                <w:szCs w:val="19"/>
              </w:rPr>
              <w:t xml:space="preserve">S04</w:t>
            </w:r>
          </w:p>
        </w:tc>
        <w:tc>
          <w:tcPr>
            <w:tcW w:type="dxa" w:w="6588"/>
            <w:tcMar>
              <w:top w:type="dxa" w:w="70"/>
              <w:left w:type="dxa" w:w="110"/>
              <w:bottom w:type="dxa" w:w="70"/>
              <w:right w:type="dxa" w:w="110"/>
            </w:tcMar>
            <w:vAlign w:val="top"/>
          </w:tcPr>
          <w:p>
            <w:pPr>
              <w:spacing w:after="40"/>
            </w:pPr>
            <w:r>
              <w:rPr>
                <w:b w:val="false"/>
                <w:bCs w:val="false"/>
                <w:sz w:val="19"/>
                <w:szCs w:val="19"/>
              </w:rPr>
              <w:t xml:space="preserve">S05</w:t>
            </w:r>
          </w:p>
        </w:tc>
      </w:tr>
      <w:tr>
        <w:trPr>
          <w:cantSplit/>
        </w:trPr>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S05, S06, S07</w:t>
            </w:r>
          </w:p>
        </w:tc>
        <w:tc>
          <w:tcPr>
            <w:tcW w:type="dxa" w:w="6588"/>
            <w:shd w:fill="F8FAFB" w:color="auto" w:val="clear"/>
            <w:tcMar>
              <w:top w:type="dxa" w:w="70"/>
              <w:left w:type="dxa" w:w="110"/>
              <w:bottom w:type="dxa" w:w="70"/>
              <w:right w:type="dxa" w:w="110"/>
            </w:tcMar>
            <w:vAlign w:val="top"/>
          </w:tcPr>
          <w:p>
            <w:pPr>
              <w:spacing w:after="40"/>
            </w:pPr>
            <w:r>
              <w:rPr>
                <w:b w:val="false"/>
                <w:bCs w:val="false"/>
                <w:sz w:val="19"/>
                <w:szCs w:val="19"/>
              </w:rPr>
              <w:t xml:space="preserve">Next step, S12 Refused, S13 Nonresponse</w:t>
            </w:r>
          </w:p>
        </w:tc>
      </w:tr>
      <w:tr>
        <w:trPr>
          <w:cantSplit/>
        </w:trPr>
        <w:tc>
          <w:tcPr>
            <w:tcW w:type="dxa" w:w="2824"/>
            <w:tcMar>
              <w:top w:type="dxa" w:w="70"/>
              <w:left w:type="dxa" w:w="110"/>
              <w:bottom w:type="dxa" w:w="70"/>
              <w:right w:type="dxa" w:w="110"/>
            </w:tcMar>
            <w:vAlign w:val="top"/>
          </w:tcPr>
          <w:p>
            <w:pPr>
              <w:spacing w:after="40"/>
            </w:pPr>
            <w:r>
              <w:rPr>
                <w:b w:val="false"/>
                <w:bCs w:val="false"/>
                <w:sz w:val="19"/>
                <w:szCs w:val="19"/>
              </w:rPr>
              <w:t xml:space="preserve">S08</w:t>
            </w:r>
          </w:p>
        </w:tc>
        <w:tc>
          <w:tcPr>
            <w:tcW w:type="dxa" w:w="6588"/>
            <w:tcMar>
              <w:top w:type="dxa" w:w="70"/>
              <w:left w:type="dxa" w:w="110"/>
              <w:bottom w:type="dxa" w:w="70"/>
              <w:right w:type="dxa" w:w="110"/>
            </w:tcMar>
            <w:vAlign w:val="top"/>
          </w:tcPr>
          <w:p>
            <w:pPr>
              <w:spacing w:after="40"/>
            </w:pPr>
            <w:r>
              <w:rPr>
                <w:b w:val="false"/>
                <w:bCs w:val="false"/>
                <w:sz w:val="19"/>
                <w:szCs w:val="19"/>
              </w:rPr>
              <w:t xml:space="preserve">S09, S10</w:t>
            </w:r>
          </w:p>
        </w:tc>
      </w:tr>
      <w:tr>
        <w:trPr>
          <w:cantSplit/>
        </w:trPr>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S09</w:t>
            </w:r>
          </w:p>
        </w:tc>
        <w:tc>
          <w:tcPr>
            <w:tcW w:type="dxa" w:w="6588"/>
            <w:shd w:fill="F8FAFB" w:color="auto" w:val="clear"/>
            <w:tcMar>
              <w:top w:type="dxa" w:w="70"/>
              <w:left w:type="dxa" w:w="110"/>
              <w:bottom w:type="dxa" w:w="70"/>
              <w:right w:type="dxa" w:w="110"/>
            </w:tcMar>
            <w:vAlign w:val="top"/>
          </w:tcPr>
          <w:p>
            <w:pPr>
              <w:spacing w:after="40"/>
            </w:pPr>
            <w:r>
              <w:rPr>
                <w:b w:val="false"/>
                <w:bCs w:val="false"/>
                <w:sz w:val="19"/>
                <w:szCs w:val="19"/>
              </w:rPr>
              <w:t xml:space="preserve">S10</w:t>
            </w:r>
          </w:p>
        </w:tc>
      </w:tr>
      <w:tr>
        <w:trPr>
          <w:cantSplit/>
        </w:trPr>
        <w:tc>
          <w:tcPr>
            <w:tcW w:type="dxa" w:w="2824"/>
            <w:tcMar>
              <w:top w:type="dxa" w:w="70"/>
              <w:left w:type="dxa" w:w="110"/>
              <w:bottom w:type="dxa" w:w="70"/>
              <w:right w:type="dxa" w:w="110"/>
            </w:tcMar>
            <w:vAlign w:val="top"/>
          </w:tcPr>
          <w:p>
            <w:pPr>
              <w:spacing w:after="40"/>
            </w:pPr>
            <w:r>
              <w:rPr>
                <w:b w:val="false"/>
                <w:bCs w:val="false"/>
                <w:sz w:val="19"/>
                <w:szCs w:val="19"/>
              </w:rPr>
              <w:t xml:space="preserve">S10</w:t>
            </w:r>
          </w:p>
        </w:tc>
        <w:tc>
          <w:tcPr>
            <w:tcW w:type="dxa" w:w="6588"/>
            <w:tcMar>
              <w:top w:type="dxa" w:w="70"/>
              <w:left w:type="dxa" w:w="110"/>
              <w:bottom w:type="dxa" w:w="70"/>
              <w:right w:type="dxa" w:w="110"/>
            </w:tcMar>
            <w:vAlign w:val="top"/>
          </w:tcPr>
          <w:p>
            <w:pPr>
              <w:spacing w:after="40"/>
            </w:pPr>
            <w:r>
              <w:rPr>
                <w:b w:val="false"/>
                <w:bCs w:val="false"/>
                <w:sz w:val="19"/>
                <w:szCs w:val="19"/>
              </w:rPr>
              <w:t xml:space="preserve">S11</w:t>
            </w:r>
          </w:p>
        </w:tc>
      </w:tr>
      <w:tr>
        <w:trPr>
          <w:cantSplit/>
        </w:trPr>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S12–S15</w:t>
            </w:r>
          </w:p>
        </w:tc>
        <w:tc>
          <w:tcPr>
            <w:tcW w:type="dxa" w:w="6588"/>
            <w:shd w:fill="F8FAFB" w:color="auto" w:val="clear"/>
            <w:tcMar>
              <w:top w:type="dxa" w:w="70"/>
              <w:left w:type="dxa" w:w="110"/>
              <w:bottom w:type="dxa" w:w="70"/>
              <w:right w:type="dxa" w:w="110"/>
            </w:tcMar>
            <w:vAlign w:val="top"/>
          </w:tcPr>
          <w:p>
            <w:pPr>
              <w:spacing w:after="40"/>
            </w:pPr>
            <w:r>
              <w:rPr>
                <w:b w:val="false"/>
                <w:bCs w:val="false"/>
                <w:sz w:val="19"/>
                <w:szCs w:val="19"/>
              </w:rPr>
              <w:t xml:space="preserve">S16 Reserve eligible for activation</w:t>
            </w:r>
          </w:p>
        </w:tc>
      </w:tr>
    </w:tbl>
    <w:p>
      <w:pPr>
        <w:spacing w:after="120"/>
      </w:pPr>
    </w:p>
    <w:p>
      <w:pPr>
        <w:pStyle w:val="Heading2"/>
      </w:pPr>
      <w:r>
        <w:t xml:space="preserve">4.15 When the person is not the right respondent</w:t>
      </w:r>
    </w:p>
    <w:p>
      <w:pPr>
        <w:pStyle w:val="ListParagraph"/>
        <w:numPr>
          <w:ilvl w:val="0"/>
          <w:numId w:val="2"/>
        </w:numPr>
        <w:spacing w:after="60" w:line="276"/>
      </w:pPr>
      <w:r>
        <w:t xml:space="preserve">If someone chooses </w:t>
      </w:r>
      <w:r>
        <w:rPr>
          <w:b/>
          <w:bCs/>
        </w:rPr>
        <w:t xml:space="preserve">None of these describe me</w:t>
      </w:r>
      <w:r>
        <w:t xml:space="preserve">, the portal thanks them and the questionnaire never opens. No answers are recorded.</w:t>
      </w:r>
    </w:p>
    <w:p>
      <w:pPr>
        <w:pStyle w:val="ListParagraph"/>
        <w:numPr>
          <w:ilvl w:val="0"/>
          <w:numId w:val="2"/>
        </w:numPr>
        <w:spacing w:after="60" w:line="276"/>
      </w:pPr>
      <w:r>
        <w:t xml:space="preserve">Ask them politely to nominate the right senior person, record that person under </w:t>
      </w:r>
      <w:r>
        <w:rPr>
          <w:b/>
          <w:bCs/>
        </w:rPr>
        <w:t xml:space="preserve">Respondents and contact details</w:t>
      </w:r>
      <w:r>
        <w:t xml:space="preserve">, and send a new invitation.</w:t>
      </w:r>
    </w:p>
    <w:p>
      <w:pPr>
        <w:pStyle w:val="ListParagraph"/>
        <w:numPr>
          <w:ilvl w:val="0"/>
          <w:numId w:val="2"/>
        </w:numPr>
        <w:spacing w:after="60" w:line="276"/>
      </w:pPr>
      <w:r>
        <w:t xml:space="preserve">If nobody suitable exists, record the reason in the contact timeline and move the case to </w:t>
      </w:r>
      <w:r>
        <w:rPr>
          <w:b/>
          <w:bCs/>
        </w:rPr>
        <w:t xml:space="preserve">S14 Ineligible</w:t>
      </w:r>
      <w:r>
        <w:t xml:space="preserve"> (Field Coordinator or PI).</w:t>
      </w:r>
    </w:p>
    <w:p>
      <w:pPr>
        <w:spacing w:after="60"/>
      </w:pPr>
    </w:p>
    <w:p>
      <w:pPr>
        <w:pStyle w:val="Heading2"/>
      </w:pPr>
      <w:r>
        <w:t xml:space="preserve">4.16 Recording a withdrawal</w:t>
      </w:r>
    </w:p>
    <w:p>
      <w:pPr>
        <w:spacing w:after="120" w:line="288"/>
      </w:pPr>
      <w:r>
        <w:t xml:space="preserve">A participant may withdraw at any time, for any reason, without giving one.</w:t>
      </w:r>
    </w:p>
    <w:p>
      <w:pPr>
        <w:pStyle w:val="ListParagraph"/>
        <w:numPr>
          <w:ilvl w:val="0"/>
          <w:numId w:val="22"/>
        </w:numPr>
        <w:spacing w:after="80" w:line="276"/>
      </w:pPr>
      <w:r>
        <w:t xml:space="preserve">Stop contacting the person immediately.</w:t>
      </w:r>
    </w:p>
    <w:p>
      <w:pPr>
        <w:pStyle w:val="ListParagraph"/>
        <w:numPr>
          <w:ilvl w:val="0"/>
          <w:numId w:val="22"/>
        </w:numPr>
        <w:spacing w:after="80" w:line="276"/>
      </w:pPr>
      <w:r>
        <w:t xml:space="preserve">On the case page, in </w:t>
      </w:r>
      <w:r>
        <w:rPr>
          <w:b/>
          <w:bCs/>
        </w:rPr>
        <w:t xml:space="preserve">Record a withdrawal</w:t>
      </w:r>
      <w:r>
        <w:t xml:space="preserve">, choose </w:t>
      </w:r>
      <w:r>
        <w:rPr>
          <w:b/>
          <w:bCs/>
        </w:rPr>
        <w:t xml:space="preserve">How they told us</w:t>
      </w:r>
      <w:r>
        <w:t xml:space="preserve"> — </w:t>
      </w:r>
      <w:r>
        <w:rPr>
          <w:b/>
          <w:bCs/>
        </w:rPr>
        <w:t xml:space="preserve">By phone or in person</w:t>
      </w:r>
      <w:r>
        <w:t xml:space="preserve">, or </w:t>
      </w:r>
      <w:r>
        <w:rPr>
          <w:b/>
          <w:bCs/>
        </w:rPr>
        <w:t xml:space="preserve">In writing (WhatsApp, email, letter)</w:t>
      </w:r>
      <w:r>
        <w:t xml:space="preserve"> — and type the reason or their own words.</w:t>
      </w:r>
    </w:p>
    <w:p>
      <w:pPr>
        <w:keepNext/>
        <w:spacing w:after="40" w:before="80"/>
        <w:jc w:val="center"/>
      </w:pPr>
      <w:r>
        <w:drawing>
          <wp:inline distT="0" distB="0" distL="0" distR="0">
            <wp:extent cx="5334000" cy="1409700"/>
            <wp:effectExtent t="0" r="0" b="0" l="0"/>
            <wp:docPr id="1" name="adm_case_withdrawal.jpg" descr="Record a withdrawal." title="Record a withdraw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334000" cy="1409700"/>
                    </a:xfrm>
                    <a:prstGeom prst="rect">
                      <a:avLst/>
                    </a:prstGeom>
                  </pic:spPr>
                </pic:pic>
              </a:graphicData>
            </a:graphic>
          </wp:inline>
        </w:drawing>
      </w:r>
    </w:p>
    <w:p>
      <w:pPr>
        <w:spacing w:after="180"/>
        <w:jc w:val="center"/>
      </w:pPr>
      <w:r>
        <w:rPr>
          <w:b/>
          <w:bCs/>
          <w:color w:val="5B6670"/>
          <w:sz w:val="17"/>
          <w:szCs w:val="17"/>
        </w:rPr>
        <w:t xml:space="preserve">Figure 22. </w:t>
      </w:r>
      <w:r>
        <w:rPr>
          <w:i/>
          <w:iCs/>
          <w:color w:val="5B6670"/>
          <w:sz w:val="17"/>
          <w:szCs w:val="17"/>
        </w:rPr>
        <w:t xml:space="preserve">Record a withdrawal.</w:t>
      </w:r>
    </w:p>
    <w:p>
      <w:pPr>
        <w:pStyle w:val="ListParagraph"/>
        <w:numPr>
          <w:ilvl w:val="0"/>
          <w:numId w:val="22"/>
        </w:numPr>
        <w:spacing w:after="80" w:line="276"/>
      </w:pPr>
      <w:r>
        <w:t xml:space="preserve">Select </w:t>
      </w:r>
      <w:r>
        <w:rPr>
          <w:b/>
          <w:bCs/>
        </w:rPr>
        <w:t xml:space="preserve">Record withdrawal</w:t>
      </w:r>
      <w:r>
        <w:t xml:space="preserve"> and confirm.</w:t>
      </w:r>
    </w:p>
    <w:p>
      <w:pPr>
        <w:spacing w:after="80"/>
      </w:pPr>
    </w:p>
    <w:p>
      <w:pPr>
        <w:spacing w:after="120" w:line="288"/>
      </w:pPr>
      <w:r>
        <w:t xml:space="preserve">In one step the portal records the withdrawal, stops the invitation link and all reminders, moves the case to </w:t>
      </w:r>
      <w:r>
        <w:rPr>
          <w:b/>
          <w:bCs/>
        </w:rPr>
        <w:t xml:space="preserve">S12 Refused</w:t>
      </w:r>
      <w:r>
        <w:t xml:space="preserve"> where allowed, erases the phone, WhatsApp, email and gatekeeper contact, and flags the case as </w:t>
      </w:r>
      <w:r>
        <w:rPr>
          <w:rFonts w:ascii="Consolas" w:cs="Consolas" w:eastAsia="Consolas" w:hAnsi="Consolas"/>
          <w:b w:val="false"/>
          <w:bCs w:val="false"/>
          <w:color w:val="122238"/>
          <w:sz w:val="19"/>
          <w:szCs w:val="19"/>
        </w:rPr>
        <w:t xml:space="preserve">consent_withdrawn</w:t>
      </w:r>
      <w:r>
        <w:t xml:space="preserve"> in every export. This cannot be undone.</w:t>
      </w: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Answers already submitted</w:t>
            </w:r>
          </w:p>
          <w:p>
            <w:pPr>
              <w:spacing w:after="40" w:line="264"/>
            </w:pPr>
            <w:r>
              <w:rPr>
                <w:sz w:val="19"/>
                <w:szCs w:val="19"/>
              </w:rPr>
              <w:t xml:space="preserve">PI decision (15 September 2026): a questionnaire submitted before the withdrawal is </w:t>
            </w:r>
            <w:r>
              <w:rPr>
                <w:b/>
                <w:bCs/>
                <w:sz w:val="19"/>
                <w:szCs w:val="19"/>
              </w:rPr>
              <w:t xml:space="preserve">kept for the audit trail but never analysed</w:t>
            </w:r>
            <w:r>
              <w:rPr>
                <w:sz w:val="19"/>
                <w:szCs w:val="19"/>
              </w:rPr>
              <w:t xml:space="preserve">. It is left out of the de-identified analysis export automatically, flagged </w:t>
            </w:r>
            <w:r>
              <w:rPr>
                <w:rFonts w:ascii="Consolas" w:cs="Consolas" w:eastAsia="Consolas" w:hAnsi="Consolas"/>
                <w:b w:val="false"/>
                <w:bCs w:val="false"/>
                <w:color w:val="122238"/>
                <w:sz w:val="19"/>
                <w:szCs w:val="19"/>
              </w:rPr>
              <w:t xml:space="preserve">consent_withdrawn</w:t>
            </w:r>
            <w:r>
              <w:rPr>
                <w:sz w:val="19"/>
                <w:szCs w:val="19"/>
              </w:rPr>
              <w:t xml:space="preserve"> in the operational export, and marked in the PI's KoboToolbox workbook (README count and </w:t>
            </w:r>
            <w:r>
              <w:rPr>
                <w:rFonts w:ascii="Consolas" w:cs="Consolas" w:eastAsia="Consolas" w:hAnsi="Consolas"/>
                <w:b w:val="false"/>
                <w:bCs w:val="false"/>
                <w:color w:val="122238"/>
                <w:sz w:val="19"/>
                <w:szCs w:val="19"/>
              </w:rPr>
              <w:t xml:space="preserve">portal_consent_withdrawn</w:t>
            </w:r>
            <w:r>
              <w:rPr>
                <w:sz w:val="19"/>
                <w:szCs w:val="19"/>
              </w:rPr>
              <w:t xml:space="preserve"> = TRUE) and PDF ZIP (file name starts </w:t>
            </w:r>
            <w:r>
              <w:rPr>
                <w:rFonts w:ascii="Consolas" w:cs="Consolas" w:eastAsia="Consolas" w:hAnsi="Consolas"/>
                <w:b w:val="false"/>
                <w:bCs w:val="false"/>
                <w:color w:val="122238"/>
                <w:sz w:val="19"/>
                <w:szCs w:val="19"/>
              </w:rPr>
              <w:t xml:space="preserve">WITHDRAWN-</w:t>
            </w:r>
            <w:r>
              <w:rPr>
                <w:sz w:val="19"/>
                <w:szCs w:val="19"/>
              </w:rPr>
              <w:t xml:space="preserve">).</w:t>
            </w:r>
          </w:p>
        </w:tc>
      </w:tr>
    </w:tbl>
    <w:p>
      <w:pPr>
        <w:pStyle w:val="Heading2"/>
      </w:pPr>
      <w:r>
        <w:t xml:space="preserve">4.17 Activating a Reserve case</w:t>
      </w:r>
    </w:p>
    <w:p>
      <w:pPr>
        <w:spacing w:after="120" w:line="288"/>
      </w:pPr>
      <w:r>
        <w:t xml:space="preserve">A Reserve replaces its Main case only after the Main case reaches a drop state (S12 Refused, S13 Nonresponse, S14 Ineligible or S15 Duplicate/inactive) and there is evidence.</w:t>
      </w:r>
    </w:p>
    <w:p>
      <w:pPr>
        <w:pStyle w:val="ListParagraph"/>
        <w:numPr>
          <w:ilvl w:val="0"/>
          <w:numId w:val="23"/>
        </w:numPr>
        <w:spacing w:after="80" w:line="276"/>
      </w:pPr>
      <w:r>
        <w:t xml:space="preserve">Select </w:t>
      </w:r>
      <w:r>
        <w:rPr>
          <w:b/>
          <w:bCs/>
        </w:rPr>
        <w:t xml:space="preserve">Reserve Activation</w:t>
      </w:r>
      <w:r>
        <w:t xml:space="preserve">. Every locked Reserve is listed with a search box.</w:t>
      </w:r>
    </w:p>
    <w:p>
      <w:pPr>
        <w:keepNext/>
        <w:spacing w:after="40" w:before="80"/>
        <w:jc w:val="center"/>
      </w:pPr>
      <w:r>
        <w:drawing>
          <wp:inline distT="0" distB="0" distL="0" distR="0">
            <wp:extent cx="5334000" cy="2505075"/>
            <wp:effectExtent t="0" r="0" b="0" l="0"/>
            <wp:docPr id="1" name="adm_reserve.jpg" descr="Reserve Activation." title="Reserve Activ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334000" cy="2505075"/>
                    </a:xfrm>
                    <a:prstGeom prst="rect">
                      <a:avLst/>
                    </a:prstGeom>
                  </pic:spPr>
                </pic:pic>
              </a:graphicData>
            </a:graphic>
          </wp:inline>
        </w:drawing>
      </w:r>
    </w:p>
    <w:p>
      <w:pPr>
        <w:spacing w:after="180"/>
        <w:jc w:val="center"/>
      </w:pPr>
      <w:r>
        <w:rPr>
          <w:b/>
          <w:bCs/>
          <w:color w:val="5B6670"/>
          <w:sz w:val="17"/>
          <w:szCs w:val="17"/>
        </w:rPr>
        <w:t xml:space="preserve">Figure 23. </w:t>
      </w:r>
      <w:r>
        <w:rPr>
          <w:i/>
          <w:iCs/>
          <w:color w:val="5B6670"/>
          <w:sz w:val="17"/>
          <w:szCs w:val="17"/>
        </w:rPr>
        <w:t xml:space="preserve">Reserve Activation.</w:t>
      </w:r>
    </w:p>
    <w:p>
      <w:pPr>
        <w:pStyle w:val="ListParagraph"/>
        <w:numPr>
          <w:ilvl w:val="0"/>
          <w:numId w:val="23"/>
        </w:numPr>
        <w:spacing w:after="80" w:line="276"/>
      </w:pPr>
      <w:r>
        <w:t xml:space="preserve">Find the Reserve matched to the dropped Main case (the Main case page shows the pairing).</w:t>
      </w:r>
    </w:p>
    <w:p>
      <w:pPr>
        <w:pStyle w:val="ListParagraph"/>
        <w:numPr>
          <w:ilvl w:val="0"/>
          <w:numId w:val="23"/>
        </w:numPr>
        <w:spacing w:after="80" w:line="276"/>
      </w:pPr>
      <w:r>
        <w:t xml:space="preserve">Choose the authorised reason: </w:t>
      </w:r>
      <w:r>
        <w:rPr>
          <w:b/>
          <w:bCs/>
        </w:rPr>
        <w:t xml:space="preserve">Ineligible</w:t>
      </w:r>
      <w:r>
        <w:t xml:space="preserve">, </w:t>
      </w:r>
      <w:r>
        <w:rPr>
          <w:b/>
          <w:bCs/>
        </w:rPr>
        <w:t xml:space="preserve">Inactive</w:t>
      </w:r>
      <w:r>
        <w:t xml:space="preserve">, </w:t>
      </w:r>
      <w:r>
        <w:rPr>
          <w:b/>
          <w:bCs/>
        </w:rPr>
        <w:t xml:space="preserve">Duplicate</w:t>
      </w:r>
      <w:r>
        <w:t xml:space="preserve">, </w:t>
      </w:r>
      <w:r>
        <w:rPr>
          <w:b/>
          <w:bCs/>
        </w:rPr>
        <w:t xml:space="preserve">Refusal</w:t>
      </w:r>
      <w:r>
        <w:t xml:space="preserve"> or </w:t>
      </w:r>
      <w:r>
        <w:rPr>
          <w:b/>
          <w:bCs/>
        </w:rPr>
        <w:t xml:space="preserve">Nonresponse exhausted</w:t>
      </w:r>
      <w:r>
        <w:t xml:space="preserve">. There is deliberately no "other".</w:t>
      </w:r>
    </w:p>
    <w:p>
      <w:pPr>
        <w:pStyle w:val="ListParagraph"/>
        <w:numPr>
          <w:ilvl w:val="0"/>
          <w:numId w:val="23"/>
        </w:numPr>
        <w:spacing w:after="80" w:line="276"/>
      </w:pPr>
      <w:r>
        <w:t xml:space="preserve">Write the </w:t>
      </w:r>
      <w:r>
        <w:rPr>
          <w:b/>
          <w:bCs/>
        </w:rPr>
        <w:t xml:space="preserve">Evidence note (required)</w:t>
      </w:r>
      <w:r>
        <w:t xml:space="preserve">, e.g. "MD declined by phone 12 Sep, logged in contact timeline".</w:t>
      </w:r>
    </w:p>
    <w:p>
      <w:pPr>
        <w:pStyle w:val="ListParagraph"/>
        <w:numPr>
          <w:ilvl w:val="0"/>
          <w:numId w:val="23"/>
        </w:numPr>
        <w:spacing w:after="80" w:line="276"/>
      </w:pPr>
      <w:r>
        <w:t xml:space="preserve">Select </w:t>
      </w:r>
      <w:r>
        <w:rPr>
          <w:b/>
          <w:bCs/>
        </w:rPr>
        <w:t xml:space="preserve">Activate this reserve</w:t>
      </w:r>
      <w:r>
        <w:t xml:space="preserve">. The Reserve becomes invitable and is worked like any Main case, starting with verification.</w:t>
      </w:r>
    </w:p>
    <w:p>
      <w:pPr>
        <w:spacing w:after="80"/>
      </w:pPr>
    </w:p>
    <w:p>
      <w:pPr>
        <w:pStyle w:val="Heading2"/>
      </w:pPr>
      <w:r>
        <w:t xml:space="preserve">4.18 Registering a new organisation and its sample case</w:t>
      </w:r>
    </w:p>
    <w:p>
      <w:pPr>
        <w:spacing w:after="120" w:line="288"/>
      </w:pPr>
      <w:r>
        <w:t xml:space="preserve">The approved registers are already loaded. Use this only for a late addition or replacement.</w:t>
      </w:r>
    </w:p>
    <w:p>
      <w:pPr>
        <w:pStyle w:val="ListParagraph"/>
        <w:numPr>
          <w:ilvl w:val="0"/>
          <w:numId w:val="24"/>
        </w:numPr>
        <w:spacing w:after="80" w:line="276"/>
      </w:pPr>
      <w:r>
        <w:t xml:space="preserve">Select </w:t>
      </w:r>
      <w:r>
        <w:rPr>
          <w:b/>
          <w:bCs/>
        </w:rPr>
        <w:t xml:space="preserve">Organisations</w:t>
      </w:r>
      <w:r>
        <w:t xml:space="preserve"> in the top bar.</w:t>
      </w:r>
    </w:p>
    <w:p>
      <w:pPr>
        <w:keepNext/>
        <w:spacing w:after="40" w:before="80"/>
        <w:jc w:val="center"/>
      </w:pPr>
      <w:r>
        <w:drawing>
          <wp:inline distT="0" distB="0" distL="0" distR="0">
            <wp:extent cx="5334000" cy="3333750"/>
            <wp:effectExtent t="0" r="0" b="0" l="0"/>
            <wp:docPr id="1" name="adm_organisations.jpg" descr="Register Organisation: the form (top) and the list of registered organisations (below)." title="Register Organisation: the form (top) and the list of registered organisations (be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334000" cy="3333750"/>
                    </a:xfrm>
                    <a:prstGeom prst="rect">
                      <a:avLst/>
                    </a:prstGeom>
                  </pic:spPr>
                </pic:pic>
              </a:graphicData>
            </a:graphic>
          </wp:inline>
        </w:drawing>
      </w:r>
    </w:p>
    <w:p>
      <w:pPr>
        <w:spacing w:after="180"/>
        <w:jc w:val="center"/>
      </w:pPr>
      <w:r>
        <w:rPr>
          <w:b/>
          <w:bCs/>
          <w:color w:val="5B6670"/>
          <w:sz w:val="17"/>
          <w:szCs w:val="17"/>
        </w:rPr>
        <w:t xml:space="preserve">Figure 24. </w:t>
      </w:r>
      <w:r>
        <w:rPr>
          <w:i/>
          <w:iCs/>
          <w:color w:val="5B6670"/>
          <w:sz w:val="17"/>
          <w:szCs w:val="17"/>
        </w:rPr>
        <w:t xml:space="preserve">Register Organisation: the form (top) and the list of registered organisations (below).</w:t>
      </w:r>
    </w:p>
    <w:p>
      <w:pPr>
        <w:pStyle w:val="ListParagraph"/>
        <w:numPr>
          <w:ilvl w:val="0"/>
          <w:numId w:val="24"/>
        </w:numPr>
        <w:spacing w:after="80" w:line="276"/>
      </w:pPr>
      <w:r>
        <w:t xml:space="preserve">Complete </w:t>
      </w:r>
      <w:r>
        <w:rPr>
          <w:b/>
          <w:bCs/>
        </w:rPr>
        <w:t xml:space="preserve">Name</w:t>
      </w:r>
      <w:r>
        <w:t xml:space="preserve">, </w:t>
      </w:r>
      <w:r>
        <w:rPr>
          <w:b/>
          <w:bCs/>
        </w:rPr>
        <w:t xml:space="preserve">District</w:t>
      </w:r>
      <w:r>
        <w:t xml:space="preserve">, </w:t>
      </w:r>
      <w:r>
        <w:rPr>
          <w:b/>
          <w:bCs/>
        </w:rPr>
        <w:t xml:space="preserve">Province</w:t>
      </w:r>
      <w:r>
        <w:t xml:space="preserve">, </w:t>
      </w:r>
      <w:r>
        <w:rPr>
          <w:b/>
          <w:bCs/>
        </w:rPr>
        <w:t xml:space="preserve">Entity type</w:t>
      </w:r>
      <w:r>
        <w:t xml:space="preserve">, </w:t>
      </w:r>
      <w:r>
        <w:rPr>
          <w:b/>
          <w:bCs/>
        </w:rPr>
        <w:t xml:space="preserve">Actor family</w:t>
      </w:r>
      <w:r>
        <w:t xml:space="preserve">, </w:t>
      </w:r>
      <w:r>
        <w:rPr>
          <w:b/>
          <w:bCs/>
        </w:rPr>
        <w:t xml:space="preserve">Value chain</w:t>
      </w:r>
      <w:r>
        <w:t xml:space="preserve"> and </w:t>
      </w:r>
      <w:r>
        <w:rPr>
          <w:b/>
          <w:bCs/>
        </w:rPr>
        <w:t xml:space="preserve">Size class</w:t>
      </w:r>
      <w:r>
        <w:t xml:space="preserve">. Province, actor family and size class decide the stratum, so check them carefully.</w:t>
      </w:r>
    </w:p>
    <w:p>
      <w:pPr>
        <w:pStyle w:val="ListParagraph"/>
        <w:numPr>
          <w:ilvl w:val="0"/>
          <w:numId w:val="24"/>
        </w:numPr>
        <w:spacing w:after="80" w:line="276"/>
      </w:pPr>
      <w:r>
        <w:t xml:space="preserve">Select </w:t>
      </w:r>
      <w:r>
        <w:rPr>
          <w:b/>
          <w:bCs/>
        </w:rPr>
        <w:t xml:space="preserve">Register organisation</w:t>
      </w:r>
      <w:r>
        <w:t xml:space="preserve">. The Master ID (e.g. MID-HA-000012) is generated automatically.</w:t>
      </w:r>
    </w:p>
    <w:p>
      <w:pPr>
        <w:pStyle w:val="ListParagraph"/>
        <w:numPr>
          <w:ilvl w:val="0"/>
          <w:numId w:val="24"/>
        </w:numPr>
        <w:spacing w:after="80" w:line="276"/>
      </w:pPr>
      <w:r>
        <w:t xml:space="preserve">When offered, choose </w:t>
      </w:r>
      <w:r>
        <w:rPr>
          <w:b/>
          <w:bCs/>
        </w:rPr>
        <w:t xml:space="preserve">Main</w:t>
      </w:r>
      <w:r>
        <w:t xml:space="preserve"> or </w:t>
      </w:r>
      <w:r>
        <w:rPr>
          <w:b/>
          <w:bCs/>
        </w:rPr>
        <w:t xml:space="preserve">Reserve</w:t>
      </w:r>
      <w:r>
        <w:t xml:space="preserve"> and select </w:t>
      </w:r>
      <w:r>
        <w:rPr>
          <w:b/>
          <w:bCs/>
        </w:rPr>
        <w:t xml:space="preserve">Create sample case</w:t>
      </w:r>
      <w:r>
        <w:t xml:space="preserve">. The Sample ID is generated and the new case page opens. You can also create the case later from the organisation's row in the list.</w:t>
      </w:r>
    </w:p>
    <w:p>
      <w:pPr>
        <w:pStyle w:val="ListParagraph"/>
        <w:numPr>
          <w:ilvl w:val="0"/>
          <w:numId w:val="24"/>
        </w:numPr>
        <w:spacing w:after="80" w:line="276"/>
      </w:pPr>
      <w:r>
        <w:t xml:space="preserve">For a Main case, register its Reserve counterpart in the </w:t>
      </w:r>
      <w:r>
        <w:rPr>
          <w:b/>
          <w:bCs/>
        </w:rPr>
        <w:t xml:space="preserve">same province, actor family and size class</w:t>
      </w:r>
      <w:r>
        <w:t xml:space="preserve">, then pair them (see “Pairing a Main case with its Reserve”).</w:t>
      </w:r>
    </w:p>
    <w:p>
      <w:pPr>
        <w:spacing w:after="80"/>
      </w:pPr>
    </w:p>
    <w:p>
      <w:pPr>
        <w:pStyle w:val="Heading2"/>
      </w:pPr>
      <w:r>
        <w:t xml:space="preserve">4.19 Correcting an already-registered organisation</w:t>
      </w:r>
    </w:p>
    <w:p>
      <w:pPr>
        <w:spacing w:after="120" w:line="288"/>
      </w:pPr>
      <w:r>
        <w:t xml:space="preserve">For a mistyped name or a wrong district, entity type or value chain found after registration.</w:t>
      </w:r>
    </w:p>
    <w:p>
      <w:pPr>
        <w:pStyle w:val="ListParagraph"/>
        <w:numPr>
          <w:ilvl w:val="0"/>
          <w:numId w:val="25"/>
        </w:numPr>
        <w:spacing w:after="80" w:line="276"/>
      </w:pPr>
      <w:r>
        <w:t xml:space="preserve">In </w:t>
      </w:r>
      <w:r>
        <w:rPr>
          <w:b/>
          <w:bCs/>
        </w:rPr>
        <w:t xml:space="preserve">Organisations</w:t>
      </w:r>
      <w:r>
        <w:t xml:space="preserve">, find the row and select </w:t>
      </w:r>
      <w:r>
        <w:rPr>
          <w:b/>
          <w:bCs/>
        </w:rPr>
        <w:t xml:space="preserve">Edit</w:t>
      </w:r>
      <w:r>
        <w:t xml:space="preserve">.</w:t>
      </w:r>
    </w:p>
    <w:p>
      <w:pPr>
        <w:keepNext/>
        <w:spacing w:after="40" w:before="80"/>
        <w:jc w:val="center"/>
      </w:pPr>
      <w:r>
        <w:drawing>
          <wp:inline distT="0" distB="0" distL="0" distR="0">
            <wp:extent cx="5334000" cy="3333750"/>
            <wp:effectExtent t="0" r="0" b="0" l="0"/>
            <wp:docPr id="1" name="adm_organisations.jpg" descr="Edit opens the row's own Name, District, Entity type and Value chain fields." title="Edit opens the row's own Name, District, Entity type and Value chain field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334000" cy="3333750"/>
                    </a:xfrm>
                    <a:prstGeom prst="rect">
                      <a:avLst/>
                    </a:prstGeom>
                  </pic:spPr>
                </pic:pic>
              </a:graphicData>
            </a:graphic>
          </wp:inline>
        </w:drawing>
      </w:r>
    </w:p>
    <w:p>
      <w:pPr>
        <w:spacing w:after="180"/>
        <w:jc w:val="center"/>
      </w:pPr>
      <w:r>
        <w:rPr>
          <w:b/>
          <w:bCs/>
          <w:color w:val="5B6670"/>
          <w:sz w:val="17"/>
          <w:szCs w:val="17"/>
        </w:rPr>
        <w:t xml:space="preserve">Figure 25. </w:t>
      </w:r>
      <w:r>
        <w:rPr>
          <w:i/>
          <w:iCs/>
          <w:color w:val="5B6670"/>
          <w:sz w:val="17"/>
          <w:szCs w:val="17"/>
        </w:rPr>
        <w:t xml:space="preserve">Edit opens the row's own Name, District, Entity type and Value chain fields.</w:t>
      </w:r>
    </w:p>
    <w:p>
      <w:pPr>
        <w:pStyle w:val="ListParagraph"/>
        <w:numPr>
          <w:ilvl w:val="0"/>
          <w:numId w:val="25"/>
        </w:numPr>
        <w:spacing w:after="80" w:line="276"/>
      </w:pPr>
      <w:r>
        <w:t xml:space="preserve">Correct </w:t>
      </w:r>
      <w:r>
        <w:rPr>
          <w:b/>
          <w:bCs/>
        </w:rPr>
        <w:t xml:space="preserve">Name</w:t>
      </w:r>
      <w:r>
        <w:t xml:space="preserve">, </w:t>
      </w:r>
      <w:r>
        <w:rPr>
          <w:b/>
          <w:bCs/>
        </w:rPr>
        <w:t xml:space="preserve">District</w:t>
      </w:r>
      <w:r>
        <w:t xml:space="preserve">, </w:t>
      </w:r>
      <w:r>
        <w:rPr>
          <w:b/>
          <w:bCs/>
        </w:rPr>
        <w:t xml:space="preserve">Entity type</w:t>
      </w:r>
      <w:r>
        <w:t xml:space="preserve"> and/or </w:t>
      </w:r>
      <w:r>
        <w:rPr>
          <w:b/>
          <w:bCs/>
        </w:rPr>
        <w:t xml:space="preserve">Value chain</w:t>
      </w:r>
      <w:r>
        <w:t xml:space="preserve">, then select </w:t>
      </w:r>
      <w:r>
        <w:rPr>
          <w:b/>
          <w:bCs/>
        </w:rPr>
        <w:t xml:space="preserve">Save</w:t>
      </w:r>
      <w:r>
        <w:t xml:space="preserve">.</w:t>
      </w:r>
    </w:p>
    <w:p>
      <w:pPr>
        <w:pStyle w:val="ListParagraph"/>
        <w:numPr>
          <w:ilvl w:val="0"/>
          <w:numId w:val="25"/>
        </w:numPr>
        <w:spacing w:after="80" w:line="276"/>
      </w:pPr>
      <w:r>
        <w:t xml:space="preserve">Select </w:t>
      </w:r>
      <w:r>
        <w:rPr>
          <w:b/>
          <w:bCs/>
        </w:rPr>
        <w:t xml:space="preserve">Cancel</w:t>
      </w:r>
      <w:r>
        <w:t xml:space="preserve"> to close the row without saving.</w:t>
      </w:r>
    </w:p>
    <w:p>
      <w:pPr>
        <w:spacing w:after="80"/>
      </w:pPr>
    </w:p>
    <w:tbl>
      <w:tblPr>
        <w:tblW w:type="dxa" w:w="9412"/>
        <w:tblBorders>
          <w:top w:val="single" w:color="FBF1E1" w:sz="2"/>
          <w:left w:val="single" w:color="D9A441" w:sz="24"/>
          <w:bottom w:val="single" w:color="FBF1E1" w:sz="2"/>
          <w:right w:val="single" w:color="FBF1E1" w:sz="2"/>
          <w:insideH w:val="single" w:color="FBF1E1" w:sz="4"/>
          <w:insideV w:val="single" w:color="FBF1E1" w:sz="4"/>
        </w:tblBorders>
      </w:tblPr>
      <w:tblGrid>
        <w:gridCol w:w="9412"/>
      </w:tblGrid>
      <w:tr>
        <w:trPr>
          <w:cantSplit/>
        </w:trPr>
        <w:tc>
          <w:tcPr>
            <w:tcW w:type="dxa" w:w="9412"/>
            <w:shd w:fill="FBF1E1" w:color="auto" w:val="clear"/>
            <w:tcMar>
              <w:top w:type="dxa" w:w="100"/>
              <w:left w:type="dxa" w:w="180"/>
              <w:bottom w:type="dxa" w:w="100"/>
              <w:right w:type="dxa" w:w="160"/>
            </w:tcMar>
          </w:tcPr>
          <w:p>
            <w:pPr>
              <w:spacing w:after="40"/>
            </w:pPr>
            <w:r>
              <w:rPr>
                <w:b/>
                <w:bCs/>
                <w:color w:val="22282E"/>
                <w:sz w:val="20"/>
                <w:szCs w:val="20"/>
              </w:rPr>
              <w:t xml:space="preserve">Province, actor family and size class can't be corrected here</w:t>
            </w:r>
          </w:p>
          <w:p>
            <w:pPr>
              <w:spacing w:after="40" w:line="264"/>
            </w:pPr>
            <w:r>
              <w:rPr>
                <w:sz w:val="19"/>
                <w:szCs w:val="19"/>
              </w:rPr>
              <w:t xml:space="preserve">These three decide which stratum the organisation's case is paired and Reserve-matched against, set once at registration — changing them later here would silently detach the organisation from that pairing. If one was genuinely entered wrong, ask the technical administrator rather than registering a replacement.</w:t>
            </w:r>
          </w:p>
        </w:tc>
      </w:tr>
    </w:tbl>
    <w:p>
      <w:pPr>
        <w:pStyle w:val="Heading2"/>
      </w:pPr>
      <w:r>
        <w:t xml:space="preserve">4.20 Building a pre-interview profile (PROIT), with AI research</w:t>
      </w:r>
    </w:p>
    <w:p>
      <w:pPr>
        <w:spacing w:after="120" w:line="288"/>
      </w:pPr>
      <w:r>
        <w:t xml:space="preserve">PROIT lets the respondent confirm facts already on public record instead of answering them from scratch, and lets the interviewer ask only what is </w:t>
      </w:r>
      <w:r>
        <w:rPr>
          <w:b/>
          <w:bCs/>
        </w:rPr>
        <w:t xml:space="preserve">not</w:t>
      </w:r>
      <w:r>
        <w:t xml:space="preserve"> public. It never pre-fills, skips or infers any scale item (ABI, NFM, Digital Readiness, FST): only descriptive background. This applies to the questionnaire and to the KIIs alike.</w:t>
      </w:r>
    </w:p>
    <w:p>
      <w:pPr>
        <w:pStyle w:val="Heading3"/>
      </w:pPr>
      <w:r>
        <w:t xml:space="preserve">Step 1: let the AI search public sources</w:t>
      </w:r>
    </w:p>
    <w:p>
      <w:pPr>
        <w:pStyle w:val="ListParagraph"/>
        <w:numPr>
          <w:ilvl w:val="0"/>
          <w:numId w:val="26"/>
        </w:numPr>
        <w:spacing w:after="80" w:line="276"/>
      </w:pPr>
      <w:r>
        <w:t xml:space="preserve">On the case page (or KII page), in </w:t>
      </w:r>
      <w:r>
        <w:rPr>
          <w:b/>
          <w:bCs/>
        </w:rPr>
        <w:t xml:space="preserve">Pre-Interview Profile (PROIT)</w:t>
      </w:r>
      <w:r>
        <w:t xml:space="preserve">, select </w:t>
      </w:r>
      <w:r>
        <w:rPr>
          <w:b/>
          <w:bCs/>
        </w:rPr>
        <w:t xml:space="preserve">Start background research</w:t>
      </w:r>
      <w:r>
        <w:t xml:space="preserve">.</w:t>
      </w:r>
    </w:p>
    <w:p>
      <w:pPr>
        <w:pStyle w:val="ListParagraph"/>
        <w:numPr>
          <w:ilvl w:val="0"/>
          <w:numId w:val="26"/>
        </w:numPr>
        <w:spacing w:after="80" w:line="276"/>
      </w:pPr>
      <w:r>
        <w:t xml:space="preserve">In the </w:t>
      </w:r>
      <w:r>
        <w:rPr>
          <w:b/>
          <w:bCs/>
        </w:rPr>
        <w:t xml:space="preserve">AI research from public sources</w:t>
      </w:r>
      <w:r>
        <w:t xml:space="preserve"> box, select </w:t>
      </w:r>
      <w:r>
        <w:rPr>
          <w:b/>
          <w:bCs/>
        </w:rPr>
        <w:t xml:space="preserve">Research with AI</w:t>
      </w:r>
      <w:r>
        <w:t xml:space="preserve">. The AI searches the public web for the organisation, and for the respondent's published professional role, and works in the background for a few minutes. You can leave the page and come back.</w:t>
      </w:r>
    </w:p>
    <w:p>
      <w:pPr>
        <w:keepNext/>
        <w:spacing w:after="40" w:before="80"/>
        <w:jc w:val="center"/>
      </w:pPr>
      <w:r>
        <w:drawing>
          <wp:inline distT="0" distB="0" distL="0" distR="0">
            <wp:extent cx="3971925" cy="4953000"/>
            <wp:effectExtent t="0" r="0" b="0" l="0"/>
            <wp:docPr id="1" name="proit_ai_research.jpg" descr="AI research: proposals to review, each with its sources." title="AI research: proposals to review, each with its sourc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3971925" cy="4953000"/>
                    </a:xfrm>
                    <a:prstGeom prst="rect">
                      <a:avLst/>
                    </a:prstGeom>
                  </pic:spPr>
                </pic:pic>
              </a:graphicData>
            </a:graphic>
          </wp:inline>
        </w:drawing>
      </w:r>
    </w:p>
    <w:p>
      <w:pPr>
        <w:spacing w:after="180"/>
        <w:jc w:val="center"/>
      </w:pPr>
      <w:r>
        <w:rPr>
          <w:b/>
          <w:bCs/>
          <w:color w:val="5B6670"/>
          <w:sz w:val="17"/>
          <w:szCs w:val="17"/>
        </w:rPr>
        <w:t xml:space="preserve">Figure 26. </w:t>
      </w:r>
      <w:r>
        <w:rPr>
          <w:i/>
          <w:iCs/>
          <w:color w:val="5B6670"/>
          <w:sz w:val="17"/>
          <w:szCs w:val="17"/>
        </w:rPr>
        <w:t xml:space="preserve">AI research: proposals to review, each with its sources.</w:t>
      </w:r>
    </w:p>
    <w:p>
      <w:pPr>
        <w:pStyle w:val="ListParagraph"/>
        <w:numPr>
          <w:ilvl w:val="0"/>
          <w:numId w:val="26"/>
        </w:numPr>
        <w:spacing w:after="80" w:line="276"/>
      </w:pPr>
      <w:r>
        <w:t xml:space="preserve">Under </w:t>
      </w:r>
      <w:r>
        <w:rPr>
          <w:b/>
          <w:bCs/>
        </w:rPr>
        <w:t xml:space="preserve">To review</w:t>
      </w:r>
      <w:r>
        <w:t xml:space="preserve">, read each proposal. It gives the fact, a confidence level, and every source it used with the publisher, the date, the authority tier and a short quote copied from the page. Select the source title to open the page and check it yourself.</w:t>
      </w:r>
    </w:p>
    <w:p>
      <w:pPr>
        <w:pStyle w:val="ListParagraph"/>
        <w:numPr>
          <w:ilvl w:val="0"/>
          <w:numId w:val="26"/>
        </w:numPr>
        <w:spacing w:after="80" w:line="276"/>
      </w:pPr>
      <w:r>
        <w:t xml:space="preserve">Decide on each one. </w:t>
      </w:r>
      <w:r>
        <w:rPr>
          <w:b/>
          <w:bCs/>
        </w:rPr>
        <w:t xml:space="preserve">Accept</w:t>
      </w:r>
      <w:r>
        <w:t xml:space="preserve"> puts it into the profile with its sources. Edit the wording first if it needs correcting, then </w:t>
      </w:r>
      <w:r>
        <w:rPr>
          <w:b/>
          <w:bCs/>
        </w:rPr>
        <w:t xml:space="preserve">Accept</w:t>
      </w:r>
      <w:r>
        <w:t xml:space="preserve">. </w:t>
      </w:r>
      <w:r>
        <w:rPr>
          <w:b/>
          <w:bCs/>
        </w:rPr>
        <w:t xml:space="preserve">Reject</w:t>
      </w:r>
      <w:r>
        <w:t xml:space="preserve"> discards it. Nothing enters the profile until you accept it. Take special care where the note says the organisation may be a different one with a similar name.</w:t>
      </w:r>
    </w:p>
    <w:p>
      <w:pPr>
        <w:pStyle w:val="ListParagraph"/>
        <w:numPr>
          <w:ilvl w:val="0"/>
          <w:numId w:val="26"/>
        </w:numPr>
        <w:spacing w:after="80" w:line="276"/>
      </w:pPr>
      <w:r>
        <w:t xml:space="preserve">Read </w:t>
      </w:r>
      <w:r>
        <w:rPr>
          <w:b/>
          <w:bCs/>
        </w:rPr>
        <w:t xml:space="preserve">Not found publicly: ask the respondent</w:t>
      </w:r>
      <w:r>
        <w:t xml:space="preserve">. These are the facts the AI could not find in any public source. They become the questions the interviewer asks in full.</w:t>
      </w:r>
    </w:p>
    <w:p>
      <w:pPr>
        <w:spacing w:after="80"/>
      </w:pP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Cost</w:t>
            </w:r>
          </w:p>
          <w:p>
            <w:pPr>
              <w:spacing w:after="40" w:line="264"/>
            </w:pPr>
            <w:r>
              <w:rPr>
                <w:sz w:val="19"/>
                <w:szCs w:val="19"/>
              </w:rPr>
              <w:t xml:space="preserve">PROIT research is a paid request on the study's AI account (Meta's Muse model). Measured on real organisations it cost about USD 0.20–0.95 each, around USD 0.50 on average, so researching every Main case is roughly USD 200. Research the organisations that need it rather than re-running it on the same one.</w:t>
            </w:r>
          </w:p>
        </w:tc>
      </w:tr>
    </w:tbl>
    <w:tbl>
      <w:tblPr>
        <w:tblW w:type="dxa" w:w="9412"/>
        <w:tblBorders>
          <w:top w:val="single" w:color="FBF1E1" w:sz="2"/>
          <w:left w:val="single" w:color="D9A441" w:sz="24"/>
          <w:bottom w:val="single" w:color="FBF1E1" w:sz="2"/>
          <w:right w:val="single" w:color="FBF1E1" w:sz="2"/>
          <w:insideH w:val="single" w:color="FBF1E1" w:sz="4"/>
          <w:insideV w:val="single" w:color="FBF1E1" w:sz="4"/>
        </w:tblBorders>
      </w:tblPr>
      <w:tblGrid>
        <w:gridCol w:w="9412"/>
      </w:tblGrid>
      <w:tr>
        <w:trPr>
          <w:cantSplit/>
        </w:trPr>
        <w:tc>
          <w:tcPr>
            <w:tcW w:type="dxa" w:w="9412"/>
            <w:shd w:fill="FBF1E1" w:color="auto" w:val="clear"/>
            <w:tcMar>
              <w:top w:type="dxa" w:w="100"/>
              <w:left w:type="dxa" w:w="180"/>
              <w:bottom w:type="dxa" w:w="100"/>
              <w:right w:type="dxa" w:w="160"/>
            </w:tcMar>
          </w:tcPr>
          <w:p>
            <w:pPr>
              <w:spacing w:after="40"/>
            </w:pPr>
            <w:r>
              <w:rPr>
                <w:b/>
                <w:bCs/>
                <w:color w:val="22282E"/>
                <w:sz w:val="20"/>
                <w:szCs w:val="20"/>
              </w:rPr>
              <w:t xml:space="preserve">The AI proposes, you decide</w:t>
            </w:r>
          </w:p>
          <w:p>
            <w:pPr>
              <w:spacing w:after="40" w:line="264"/>
            </w:pPr>
            <w:r>
              <w:rPr>
                <w:sz w:val="19"/>
                <w:szCs w:val="19"/>
              </w:rPr>
              <w:t xml:space="preserve">The AI only suggests. Every fact still needs a source, a person to accept it and a second person to lock the profile, exactly as if you had typed it in.</w:t>
            </w:r>
          </w:p>
          <w:p>
            <w:pPr>
              <w:spacing w:after="40" w:line="264"/>
            </w:pPr>
            <w:r>
              <w:rPr>
                <w:sz w:val="19"/>
                <w:szCs w:val="19"/>
              </w:rPr>
              <w:t xml:space="preserve">Only sources the search actually returned can be cited. A fact with no verifiable source is turned into “not found publicly”, and anything that looks private is removed automatically. The AI never records health, religion, ethnicity, politics, family, home addresses, personal phone numbers or emails, private finances, or anything from a person's own social-media profile.</w:t>
            </w:r>
          </w:p>
          <w:p>
            <w:pPr>
              <w:spacing w:after="40" w:line="264"/>
            </w:pPr>
            <w:r>
              <w:rPr>
                <w:sz w:val="19"/>
                <w:szCs w:val="19"/>
              </w:rPr>
              <w:t xml:space="preserve">An organisation's </w:t>
            </w:r>
            <w:r>
              <w:rPr>
                <w:b/>
                <w:bCs/>
                <w:sz w:val="19"/>
                <w:szCs w:val="19"/>
              </w:rPr>
              <w:t xml:space="preserve">own</w:t>
            </w:r>
            <w:r>
              <w:rPr>
                <w:sz w:val="19"/>
                <w:szCs w:val="19"/>
              </w:rPr>
              <w:t xml:space="preserve"> business page (for example its Facebook, LinkedIn company or X page) may be cited, but only when the quoted passage names the organisation, never for the respondent's role, and always as Tier 4, the weakest tier. Personal profiles are removed automatically, as are messaging apps and forums.</w:t>
            </w:r>
          </w:p>
          <w:p>
            <w:pPr>
              <w:spacing w:after="40" w:line="264"/>
            </w:pPr>
            <w:r>
              <w:rPr>
                <w:sz w:val="19"/>
                <w:szCs w:val="19"/>
              </w:rPr>
              <w:t xml:space="preserve">What is sent to the AI provider's search: the organisation's name, province, district and type, and the respondent's name and role. Never a phone number, email, gatekeeper or any other contact detail.</w:t>
            </w:r>
          </w:p>
        </w:tc>
      </w:tr>
    </w:tbl>
    <w:p>
      <w:pPr>
        <w:pStyle w:val="Heading3"/>
      </w:pPr>
      <w:r>
        <w:t xml:space="preserve">Step 2: add or correct facts by hand</w:t>
      </w:r>
    </w:p>
    <w:p>
      <w:pPr>
        <w:pStyle w:val="ListParagraph"/>
        <w:numPr>
          <w:ilvl w:val="0"/>
          <w:numId w:val="27"/>
        </w:numPr>
        <w:spacing w:after="80" w:line="276"/>
      </w:pPr>
      <w:r>
        <w:t xml:space="preserve">Under </w:t>
      </w:r>
      <w:r>
        <w:rPr>
          <w:b/>
          <w:bCs/>
        </w:rPr>
        <w:t xml:space="preserve">Add a background field</w:t>
      </w:r>
      <w:r>
        <w:t xml:space="preserve">, choose a field in </w:t>
      </w:r>
      <w:r>
        <w:rPr>
          <w:b/>
          <w:bCs/>
        </w:rPr>
        <w:t xml:space="preserve">Select a field…</w:t>
      </w:r>
      <w:r>
        <w:t xml:space="preserve">, type </w:t>
      </w:r>
      <w:r>
        <w:rPr>
          <w:b/>
          <w:bCs/>
        </w:rPr>
        <w:t xml:space="preserve">What was found (documentary value)</w:t>
      </w:r>
      <w:r>
        <w:t xml:space="preserve">, and select </w:t>
      </w:r>
      <w:r>
        <w:rPr>
          <w:b/>
          <w:bCs/>
        </w:rPr>
        <w:t xml:space="preserve">Add field</w:t>
      </w:r>
      <w:r>
        <w:t xml:space="preserve">.</w:t>
      </w:r>
    </w:p>
    <w:p>
      <w:pPr>
        <w:keepNext/>
        <w:spacing w:after="40" w:before="80"/>
        <w:jc w:val="center"/>
      </w:pPr>
      <w:r>
        <w:drawing>
          <wp:inline distT="0" distB="0" distL="0" distR="0">
            <wp:extent cx="5334000" cy="1781175"/>
            <wp:effectExtent t="0" r="0" b="0" l="0"/>
            <wp:docPr id="1" name="adm_case_proit_draft.jpg" descr="A draft profile: each fact needs at least one source." title="A draft profile: each fact needs at least one sour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5334000" cy="1781175"/>
                    </a:xfrm>
                    <a:prstGeom prst="rect">
                      <a:avLst/>
                    </a:prstGeom>
                  </pic:spPr>
                </pic:pic>
              </a:graphicData>
            </a:graphic>
          </wp:inline>
        </w:drawing>
      </w:r>
    </w:p>
    <w:p>
      <w:pPr>
        <w:spacing w:after="180"/>
        <w:jc w:val="center"/>
      </w:pPr>
      <w:r>
        <w:rPr>
          <w:b/>
          <w:bCs/>
          <w:color w:val="5B6670"/>
          <w:sz w:val="17"/>
          <w:szCs w:val="17"/>
        </w:rPr>
        <w:t xml:space="preserve">Figure 27. </w:t>
      </w:r>
      <w:r>
        <w:rPr>
          <w:i/>
          <w:iCs/>
          <w:color w:val="5B6670"/>
          <w:sz w:val="17"/>
          <w:szCs w:val="17"/>
        </w:rPr>
        <w:t xml:space="preserve">A draft profile: each fact needs at least one source.</w:t>
      </w:r>
    </w:p>
    <w:p>
      <w:pPr>
        <w:pStyle w:val="ListParagraph"/>
        <w:numPr>
          <w:ilvl w:val="0"/>
          <w:numId w:val="27"/>
        </w:numPr>
        <w:spacing w:after="80" w:line="276"/>
      </w:pPr>
      <w:r>
        <w:t xml:space="preserve">For each field, type the </w:t>
      </w:r>
      <w:r>
        <w:rPr>
          <w:b/>
          <w:bCs/>
        </w:rPr>
        <w:t xml:space="preserve">Source title</w:t>
      </w:r>
      <w:r>
        <w:t xml:space="preserve"> (e.g. companies registry entry), choose the confidence (HIGH, MODERATE, LOW) and the authority tier — Tier 1 statutory register or audited report, Tier 2 official website or association record, Tier 3 reputable media or professional profile, Tier 4 corroborated public platform content — then select </w:t>
      </w:r>
      <w:r>
        <w:rPr>
          <w:b/>
          <w:bCs/>
        </w:rPr>
        <w:t xml:space="preserve">Add source</w:t>
      </w:r>
      <w:r>
        <w:t xml:space="preserve">.</w:t>
      </w:r>
    </w:p>
    <w:p>
      <w:pPr>
        <w:pStyle w:val="ListParagraph"/>
        <w:numPr>
          <w:ilvl w:val="0"/>
          <w:numId w:val="27"/>
        </w:numPr>
        <w:spacing w:after="80" w:line="276"/>
      </w:pPr>
      <w:r>
        <w:t xml:space="preserve">Use </w:t>
      </w:r>
      <w:r>
        <w:rPr>
          <w:b/>
          <w:bCs/>
        </w:rPr>
        <w:t xml:space="preserve">Researcher review screen</w:t>
      </w:r>
      <w:r>
        <w:t xml:space="preserve"> to check the whole profile, including gaps and contradictions.</w:t>
      </w:r>
    </w:p>
    <w:p>
      <w:pPr>
        <w:pStyle w:val="ListParagraph"/>
        <w:numPr>
          <w:ilvl w:val="0"/>
          <w:numId w:val="27"/>
        </w:numPr>
        <w:spacing w:after="80" w:line="276"/>
      </w:pPr>
      <w:r>
        <w:t xml:space="preserve">A second researcher reviews it and selects </w:t>
      </w:r>
      <w:r>
        <w:rPr>
          <w:b/>
          <w:bCs/>
        </w:rPr>
        <w:t xml:space="preserve">Lock pre-profile</w:t>
      </w:r>
      <w:r>
        <w:t xml:space="preserve">. Only a locked profile is used with the respondent, who confirms, corrects, or says they don't know, prefer not to say, or it is not applicable. The public value, the respondent's answer and the reconciled value are kept separately.</w:t>
      </w:r>
    </w:p>
    <w:p>
      <w:pPr>
        <w:spacing w:after="80"/>
      </w:pPr>
    </w:p>
    <w:p>
      <w:pPr>
        <w:pStyle w:val="Heading3"/>
      </w:pPr>
      <w:r>
        <w:t xml:space="preserve">After the research: from profile to KoboToolbox</w:t>
      </w:r>
    </w:p>
    <w:p>
      <w:pPr>
        <w:spacing w:after="120" w:line="288"/>
      </w:pPr>
      <w:r>
        <w:t xml:space="preserve">Accepting the AI's proposals is the first of five steps. A profile only does its job once it has been through all of them:</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2824"/>
        <w:gridCol w:w="1600"/>
        <w:gridCol w:w="2353"/>
        <w:gridCol w:w="2635"/>
      </w:tblGrid>
      <w:tr>
        <w:trPr>
          <w:tblHeader/>
        </w:trPr>
        <w:tc>
          <w:tcPr>
            <w:tcW w:type="dxa" w:w="2824"/>
            <w:shd w:fill="1B3350" w:color="auto" w:val="clear"/>
            <w:tcMar>
              <w:top w:type="dxa" w:w="70"/>
              <w:left w:type="dxa" w:w="110"/>
              <w:bottom w:type="dxa" w:w="70"/>
              <w:right w:type="dxa" w:w="110"/>
            </w:tcMar>
            <w:vAlign w:val="top"/>
          </w:tcPr>
          <w:p>
            <w:pPr>
              <w:spacing w:after="40"/>
            </w:pPr>
            <w:r>
              <w:rPr>
                <w:b/>
                <w:bCs/>
                <w:color w:val="FFFFFF"/>
                <w:sz w:val="19"/>
                <w:szCs w:val="19"/>
              </w:rPr>
              <w:t xml:space="preserve">Step</w:t>
            </w:r>
          </w:p>
        </w:tc>
        <w:tc>
          <w:tcPr>
            <w:tcW w:type="dxa" w:w="1600"/>
            <w:shd w:fill="1B3350" w:color="auto" w:val="clear"/>
            <w:tcMar>
              <w:top w:type="dxa" w:w="70"/>
              <w:left w:type="dxa" w:w="110"/>
              <w:bottom w:type="dxa" w:w="70"/>
              <w:right w:type="dxa" w:w="110"/>
            </w:tcMar>
            <w:vAlign w:val="top"/>
          </w:tcPr>
          <w:p>
            <w:pPr>
              <w:spacing w:after="40"/>
            </w:pPr>
            <w:r>
              <w:rPr>
                <w:b/>
                <w:bCs/>
                <w:color w:val="FFFFFF"/>
                <w:sz w:val="19"/>
                <w:szCs w:val="19"/>
              </w:rPr>
              <w:t xml:space="preserve">Who</w:t>
            </w:r>
          </w:p>
        </w:tc>
        <w:tc>
          <w:tcPr>
            <w:tcW w:type="dxa" w:w="2353"/>
            <w:shd w:fill="1B3350" w:color="auto" w:val="clear"/>
            <w:tcMar>
              <w:top w:type="dxa" w:w="70"/>
              <w:left w:type="dxa" w:w="110"/>
              <w:bottom w:type="dxa" w:w="70"/>
              <w:right w:type="dxa" w:w="110"/>
            </w:tcMar>
            <w:vAlign w:val="top"/>
          </w:tcPr>
          <w:p>
            <w:pPr>
              <w:spacing w:after="40"/>
            </w:pPr>
            <w:r>
              <w:rPr>
                <w:b/>
                <w:bCs/>
                <w:color w:val="FFFFFF"/>
                <w:sz w:val="19"/>
                <w:szCs w:val="19"/>
              </w:rPr>
              <w:t xml:space="preserve">Where</w:t>
            </w:r>
          </w:p>
        </w:tc>
        <w:tc>
          <w:tcPr>
            <w:tcW w:type="dxa" w:w="2635"/>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produces</w:t>
            </w:r>
          </w:p>
        </w:tc>
      </w:tr>
      <w:tr>
        <w:trPr>
          <w:cantSplit/>
        </w:trPr>
        <w:tc>
          <w:tcPr>
            <w:tcW w:type="dxa" w:w="2824"/>
            <w:tcMar>
              <w:top w:type="dxa" w:w="70"/>
              <w:left w:type="dxa" w:w="110"/>
              <w:bottom w:type="dxa" w:w="70"/>
              <w:right w:type="dxa" w:w="110"/>
            </w:tcMar>
            <w:vAlign w:val="top"/>
          </w:tcPr>
          <w:p>
            <w:pPr>
              <w:spacing w:after="40"/>
            </w:pPr>
            <w:r>
              <w:rPr>
                <w:b w:val="false"/>
                <w:bCs w:val="false"/>
                <w:sz w:val="19"/>
                <w:szCs w:val="19"/>
              </w:rPr>
              <w:t xml:space="preserve">1. Accept or reject each proposal, add any facts found by hand</w:t>
            </w:r>
          </w:p>
        </w:tc>
        <w:tc>
          <w:tcPr>
            <w:tcW w:type="dxa" w:w="1600"/>
            <w:tcMar>
              <w:top w:type="dxa" w:w="70"/>
              <w:left w:type="dxa" w:w="110"/>
              <w:bottom w:type="dxa" w:w="70"/>
              <w:right w:type="dxa" w:w="110"/>
            </w:tcMar>
            <w:vAlign w:val="top"/>
          </w:tcPr>
          <w:p>
            <w:pPr>
              <w:spacing w:after="40"/>
            </w:pPr>
            <w:r>
              <w:rPr>
                <w:b w:val="false"/>
                <w:bCs w:val="false"/>
                <w:sz w:val="19"/>
                <w:szCs w:val="19"/>
              </w:rPr>
              <w:t xml:space="preserve">Coordinator or PI</w:t>
            </w:r>
          </w:p>
        </w:tc>
        <w:tc>
          <w:tcPr>
            <w:tcW w:type="dxa" w:w="2353"/>
            <w:tcMar>
              <w:top w:type="dxa" w:w="70"/>
              <w:left w:type="dxa" w:w="110"/>
              <w:bottom w:type="dxa" w:w="70"/>
              <w:right w:type="dxa" w:w="110"/>
            </w:tcMar>
            <w:vAlign w:val="top"/>
          </w:tcPr>
          <w:p>
            <w:pPr>
              <w:spacing w:after="40"/>
            </w:pPr>
            <w:r>
              <w:rPr>
                <w:b w:val="false"/>
                <w:bCs w:val="false"/>
                <w:sz w:val="19"/>
                <w:szCs w:val="19"/>
              </w:rPr>
              <w:t xml:space="preserve">PROIT panel on the case (or KII) page</w:t>
            </w:r>
          </w:p>
        </w:tc>
        <w:tc>
          <w:tcPr>
            <w:tcW w:type="dxa" w:w="2635"/>
            <w:tcMar>
              <w:top w:type="dxa" w:w="70"/>
              <w:left w:type="dxa" w:w="110"/>
              <w:bottom w:type="dxa" w:w="70"/>
              <w:right w:type="dxa" w:w="110"/>
            </w:tcMar>
            <w:vAlign w:val="top"/>
          </w:tcPr>
          <w:p>
            <w:pPr>
              <w:spacing w:after="40"/>
            </w:pPr>
            <w:r>
              <w:rPr>
                <w:b w:val="false"/>
                <w:bCs w:val="false"/>
                <w:sz w:val="19"/>
                <w:szCs w:val="19"/>
              </w:rPr>
              <w:t xml:space="preserve">A draft profile: every fact with a source and a named person who accepted it.</w:t>
            </w:r>
          </w:p>
        </w:tc>
      </w:tr>
      <w:tr>
        <w:trPr>
          <w:cantSplit/>
        </w:trPr>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2. Lock the profile</w:t>
            </w:r>
          </w:p>
        </w:tc>
        <w:tc>
          <w:tcPr>
            <w:tcW w:type="dxa" w:w="1600"/>
            <w:shd w:fill="F8FAFB" w:color="auto" w:val="clear"/>
            <w:tcMar>
              <w:top w:type="dxa" w:w="70"/>
              <w:left w:type="dxa" w:w="110"/>
              <w:bottom w:type="dxa" w:w="70"/>
              <w:right w:type="dxa" w:w="110"/>
            </w:tcMar>
            <w:vAlign w:val="top"/>
          </w:tcPr>
          <w:p>
            <w:pPr>
              <w:spacing w:after="40"/>
            </w:pPr>
            <w:r>
              <w:rPr>
                <w:b w:val="false"/>
                <w:bCs w:val="false"/>
                <w:sz w:val="19"/>
                <w:szCs w:val="19"/>
              </w:rPr>
              <w:t xml:space="preserve">A second researcher</w:t>
            </w:r>
          </w:p>
        </w:tc>
        <w:tc>
          <w:tcPr>
            <w:tcW w:type="dxa" w:w="2353"/>
            <w:shd w:fill="F8FAFB" w:color="auto" w:val="clear"/>
            <w:tcMar>
              <w:top w:type="dxa" w:w="70"/>
              <w:left w:type="dxa" w:w="110"/>
              <w:bottom w:type="dxa" w:w="70"/>
              <w:right w:type="dxa" w:w="110"/>
            </w:tcMar>
            <w:vAlign w:val="top"/>
          </w:tcPr>
          <w:p>
            <w:pPr>
              <w:spacing w:after="40"/>
            </w:pPr>
            <w:r>
              <w:rPr>
                <w:b w:val="false"/>
                <w:bCs w:val="false"/>
                <w:sz w:val="19"/>
                <w:szCs w:val="19"/>
              </w:rPr>
              <w:t xml:space="preserve">Lock pre-profile</w:t>
            </w:r>
          </w:p>
        </w:tc>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A fixed version the interview is planned from. It cannot be locked while a fact has no source.</w:t>
            </w:r>
          </w:p>
        </w:tc>
      </w:tr>
      <w:tr>
        <w:trPr>
          <w:cantSplit/>
        </w:trPr>
        <w:tc>
          <w:tcPr>
            <w:tcW w:type="dxa" w:w="2824"/>
            <w:tcMar>
              <w:top w:type="dxa" w:w="70"/>
              <w:left w:type="dxa" w:w="110"/>
              <w:bottom w:type="dxa" w:w="70"/>
              <w:right w:type="dxa" w:w="110"/>
            </w:tcMar>
            <w:vAlign w:val="top"/>
          </w:tcPr>
          <w:p>
            <w:pPr>
              <w:spacing w:after="40"/>
            </w:pPr>
            <w:r>
              <w:rPr>
                <w:b w:val="false"/>
                <w:bCs w:val="false"/>
                <w:sz w:val="19"/>
                <w:szCs w:val="19"/>
              </w:rPr>
              <w:t xml:space="preserve">3. Verify with the respondent</w:t>
            </w:r>
          </w:p>
        </w:tc>
        <w:tc>
          <w:tcPr>
            <w:tcW w:type="dxa" w:w="1600"/>
            <w:tcMar>
              <w:top w:type="dxa" w:w="70"/>
              <w:left w:type="dxa" w:w="110"/>
              <w:bottom w:type="dxa" w:w="70"/>
              <w:right w:type="dxa" w:w="110"/>
            </w:tcMar>
            <w:vAlign w:val="top"/>
          </w:tcPr>
          <w:p>
            <w:pPr>
              <w:spacing w:after="40"/>
            </w:pPr>
            <w:r>
              <w:rPr>
                <w:b w:val="false"/>
                <w:bCs w:val="false"/>
                <w:sz w:val="19"/>
                <w:szCs w:val="19"/>
              </w:rPr>
              <w:t xml:space="preserve">Whoever runs the interview</w:t>
            </w:r>
          </w:p>
        </w:tc>
        <w:tc>
          <w:tcPr>
            <w:tcW w:type="dxa" w:w="2353"/>
            <w:tcMar>
              <w:top w:type="dxa" w:w="70"/>
              <w:left w:type="dxa" w:w="110"/>
              <w:bottom w:type="dxa" w:w="70"/>
              <w:right w:type="dxa" w:w="110"/>
            </w:tcMar>
            <w:vAlign w:val="top"/>
          </w:tcPr>
          <w:p>
            <w:pPr>
              <w:spacing w:after="40"/>
            </w:pPr>
            <w:r>
              <w:rPr>
                <w:b w:val="false"/>
                <w:bCs w:val="false"/>
                <w:sz w:val="19"/>
                <w:szCs w:val="19"/>
              </w:rPr>
              <w:t xml:space="preserve">Interview sheet</w:t>
            </w:r>
            <w:r>
              <w:rPr>
                <w:b w:val="false"/>
                <w:bCs w:val="false"/>
                <w:sz w:val="19"/>
                <w:szCs w:val="19"/>
              </w:rPr>
              <w:t xml:space="preserve"> (see “Verifying a profile with the respondent”)</w:t>
            </w:r>
          </w:p>
        </w:tc>
        <w:tc>
          <w:tcPr>
            <w:tcW w:type="dxa" w:w="2635"/>
            <w:tcMar>
              <w:top w:type="dxa" w:w="70"/>
              <w:left w:type="dxa" w:w="110"/>
              <w:bottom w:type="dxa" w:w="70"/>
              <w:right w:type="dxa" w:w="110"/>
            </w:tcMar>
            <w:vAlign w:val="top"/>
          </w:tcPr>
          <w:p>
            <w:pPr>
              <w:spacing w:after="40"/>
            </w:pPr>
            <w:r>
              <w:rPr>
                <w:b w:val="false"/>
                <w:bCs w:val="false"/>
                <w:sz w:val="19"/>
                <w:szCs w:val="19"/>
              </w:rPr>
              <w:t xml:space="preserve">The respondent's own answer to each fact, kept apart from the public value.</w:t>
            </w:r>
          </w:p>
        </w:tc>
      </w:tr>
      <w:tr>
        <w:trPr>
          <w:cantSplit/>
        </w:trPr>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4. Reconcile the facts that differ</w:t>
            </w:r>
          </w:p>
        </w:tc>
        <w:tc>
          <w:tcPr>
            <w:tcW w:type="dxa" w:w="1600"/>
            <w:shd w:fill="F8FAFB" w:color="auto" w:val="clear"/>
            <w:tcMar>
              <w:top w:type="dxa" w:w="70"/>
              <w:left w:type="dxa" w:w="110"/>
              <w:bottom w:type="dxa" w:w="70"/>
              <w:right w:type="dxa" w:w="110"/>
            </w:tcMar>
            <w:vAlign w:val="top"/>
          </w:tcPr>
          <w:p>
            <w:pPr>
              <w:spacing w:after="40"/>
            </w:pPr>
            <w:r>
              <w:rPr>
                <w:b w:val="false"/>
                <w:bCs w:val="false"/>
                <w:sz w:val="19"/>
                <w:szCs w:val="19"/>
              </w:rPr>
              <w:t xml:space="preserve">Coordinator or PI</w:t>
            </w:r>
          </w:p>
        </w:tc>
        <w:tc>
          <w:tcPr>
            <w:tcW w:type="dxa" w:w="2353"/>
            <w:shd w:fill="F8FAFB" w:color="auto" w:val="clear"/>
            <w:tcMar>
              <w:top w:type="dxa" w:w="70"/>
              <w:left w:type="dxa" w:w="110"/>
              <w:bottom w:type="dxa" w:w="70"/>
              <w:right w:type="dxa" w:w="110"/>
            </w:tcMar>
            <w:vAlign w:val="top"/>
          </w:tcPr>
          <w:p>
            <w:pPr>
              <w:spacing w:after="40"/>
            </w:pPr>
            <w:r>
              <w:rPr>
                <w:b w:val="false"/>
                <w:bCs w:val="false"/>
                <w:sz w:val="19"/>
                <w:szCs w:val="19"/>
              </w:rPr>
              <w:t xml:space="preserve">Reconciled value (required)</w:t>
            </w:r>
            <w:r>
              <w:rPr>
                <w:b w:val="false"/>
                <w:bCs w:val="false"/>
                <w:sz w:val="19"/>
                <w:szCs w:val="19"/>
              </w:rPr>
              <w:t xml:space="preserve"> on the interview sheet</w:t>
            </w:r>
          </w:p>
        </w:tc>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The value coded for analysis, wherever the respondent corrected or qualified a fact.</w:t>
            </w:r>
          </w:p>
        </w:tc>
      </w:tr>
      <w:tr>
        <w:trPr>
          <w:cantSplit/>
        </w:trPr>
        <w:tc>
          <w:tcPr>
            <w:tcW w:type="dxa" w:w="2824"/>
            <w:tcMar>
              <w:top w:type="dxa" w:w="70"/>
              <w:left w:type="dxa" w:w="110"/>
              <w:bottom w:type="dxa" w:w="70"/>
              <w:right w:type="dxa" w:w="110"/>
            </w:tcMar>
            <w:vAlign w:val="top"/>
          </w:tcPr>
          <w:p>
            <w:pPr>
              <w:spacing w:after="40"/>
            </w:pPr>
            <w:r>
              <w:rPr>
                <w:b w:val="false"/>
                <w:bCs w:val="false"/>
                <w:sz w:val="19"/>
                <w:szCs w:val="19"/>
              </w:rPr>
              <w:t xml:space="preserve">5. Saved to KoboToolbox</w:t>
            </w:r>
          </w:p>
        </w:tc>
        <w:tc>
          <w:tcPr>
            <w:tcW w:type="dxa" w:w="1600"/>
            <w:tcMar>
              <w:top w:type="dxa" w:w="70"/>
              <w:left w:type="dxa" w:w="110"/>
              <w:bottom w:type="dxa" w:w="70"/>
              <w:right w:type="dxa" w:w="110"/>
            </w:tcMar>
            <w:vAlign w:val="top"/>
          </w:tcPr>
          <w:p>
            <w:pPr>
              <w:spacing w:after="40"/>
            </w:pPr>
            <w:r>
              <w:rPr>
                <w:b w:val="false"/>
                <w:bCs w:val="false"/>
                <w:sz w:val="19"/>
                <w:szCs w:val="19"/>
              </w:rPr>
              <w:t xml:space="preserve">Automatic</w:t>
            </w:r>
          </w:p>
        </w:tc>
        <w:tc>
          <w:tcPr>
            <w:tcW w:type="dxa" w:w="2353"/>
            <w:tcMar>
              <w:top w:type="dxa" w:w="70"/>
              <w:left w:type="dxa" w:w="110"/>
              <w:bottom w:type="dxa" w:w="70"/>
              <w:right w:type="dxa" w:w="110"/>
            </w:tcMar>
            <w:vAlign w:val="top"/>
          </w:tcPr>
          <w:p>
            <w:pPr>
              <w:spacing w:after="40"/>
            </w:pPr>
            <w:r>
              <w:rPr>
                <w:b w:val="false"/>
                <w:bCs w:val="false"/>
                <w:sz w:val="19"/>
                <w:szCs w:val="19"/>
              </w:rPr>
              <w:t xml:space="preserve">ABF-FST PROIT Interview Profile</w:t>
            </w:r>
            <w:r>
              <w:rPr>
                <w:b w:val="false"/>
                <w:bCs w:val="false"/>
                <w:sz w:val="19"/>
                <w:szCs w:val="19"/>
              </w:rPr>
              <w:t xml:space="preserve"> form</w:t>
            </w:r>
          </w:p>
        </w:tc>
        <w:tc>
          <w:tcPr>
            <w:tcW w:type="dxa" w:w="2635"/>
            <w:tcMar>
              <w:top w:type="dxa" w:w="70"/>
              <w:left w:type="dxa" w:w="110"/>
              <w:bottom w:type="dxa" w:w="70"/>
              <w:right w:type="dxa" w:w="110"/>
            </w:tcMar>
            <w:vAlign w:val="top"/>
          </w:tcPr>
          <w:p>
            <w:pPr>
              <w:spacing w:after="40"/>
            </w:pPr>
            <w:r>
              <w:rPr>
                <w:b w:val="false"/>
                <w:bCs w:val="false"/>
                <w:sz w:val="19"/>
                <w:szCs w:val="19"/>
              </w:rPr>
              <w:t xml:space="preserve">Sent by the portal the moment the last fact is settled; the sheet then shows </w:t>
            </w:r>
            <w:r>
              <w:rPr>
                <w:b w:val="false"/>
                <w:bCs w:val="false"/>
                <w:sz w:val="19"/>
                <w:szCs w:val="19"/>
              </w:rPr>
              <w:t xml:space="preserve">Saved to KoboToolbox</w:t>
            </w:r>
            <w:r>
              <w:rPr>
                <w:b w:val="false"/>
                <w:bCs w:val="false"/>
                <w:sz w:val="19"/>
                <w:szCs w:val="19"/>
              </w:rPr>
              <w:t xml:space="preserve">.</w:t>
            </w:r>
          </w:p>
        </w:tc>
      </w:tr>
    </w:tbl>
    <w:p>
      <w:pPr>
        <w:spacing w:after="120"/>
      </w:pPr>
    </w:p>
    <w:p>
      <w:pPr>
        <w:spacing w:after="120" w:line="288"/>
      </w:pPr>
      <w:r>
        <w:t xml:space="preserve">Until step 4 is finished, QA cannot accept that case's questionnaire and a KII's coding cannot become COMPLETE (see the warning under “Verifying a profile with the respondent”).</w:t>
      </w:r>
    </w:p>
    <w:p>
      <w:pPr>
        <w:pStyle w:val="Heading2"/>
      </w:pPr>
      <w:r>
        <w:t xml:space="preserve">4.21 Verifying a profile with the respondent, and reconciling it afterwards</w:t>
      </w:r>
    </w:p>
    <w:p>
      <w:pPr>
        <w:spacing w:after="120" w:line="288"/>
      </w:pPr>
      <w:r>
        <w:t xml:space="preserve">Once a profile is locked, the interview has two duties: confirm what is public, and ask what is not. The </w:t>
      </w:r>
      <w:r>
        <w:rPr>
          <w:b/>
          <w:bCs/>
        </w:rPr>
        <w:t xml:space="preserve">Interview sheet</w:t>
      </w:r>
      <w:r>
        <w:t xml:space="preserve"> is where you do both, and where the results are reconciled afterwards. It appears on the locked profile on the case page (coordinator and PI), on the case page of an assisted interview (Contact RA) and on the KII record (KII RA). Nothing here changes the public value.</w:t>
      </w:r>
    </w:p>
    <w:p>
      <w:pPr>
        <w:pStyle w:val="ListParagraph"/>
        <w:numPr>
          <w:ilvl w:val="0"/>
          <w:numId w:val="28"/>
        </w:numPr>
        <w:spacing w:after="80" w:line="276"/>
      </w:pPr>
      <w:r>
        <w:t xml:space="preserve">Open the case (or the KII record) and find </w:t>
      </w:r>
      <w:r>
        <w:rPr>
          <w:b/>
          <w:bCs/>
        </w:rPr>
        <w:t xml:space="preserve">Interview sheet: confirm what is public, ask what is not</w:t>
      </w:r>
      <w:r>
        <w:t xml:space="preserve">. Each row is one fact and is marked </w:t>
      </w:r>
      <w:r>
        <w:rPr>
          <w:b/>
          <w:bCs/>
        </w:rPr>
        <w:t xml:space="preserve">Confirm</w:t>
      </w:r>
      <w:r>
        <w:t xml:space="preserve">, </w:t>
      </w:r>
      <w:r>
        <w:rPr>
          <w:b/>
          <w:bCs/>
        </w:rPr>
        <w:t xml:space="preserve">Confirm, then probe</w:t>
      </w:r>
      <w:r>
        <w:t xml:space="preserve"> or </w:t>
      </w:r>
      <w:r>
        <w:rPr>
          <w:b/>
          <w:bCs/>
        </w:rPr>
        <w:t xml:space="preserve">Ask</w:t>
      </w:r>
      <w:r>
        <w:t xml:space="preserve">.</w:t>
      </w:r>
    </w:p>
    <w:p>
      <w:pPr>
        <w:keepNext/>
        <w:spacing w:after="40" w:before="80"/>
        <w:jc w:val="center"/>
      </w:pPr>
      <w:r>
        <w:drawing>
          <wp:inline distT="0" distB="0" distL="0" distR="0">
            <wp:extent cx="4752975" cy="4953000"/>
            <wp:effectExtent t="0" r="0" b="0" l="0"/>
            <wp:docPr id="1" name="proit_interview_sheet.jpg" descr="The interview sheet: confirm what is public, ask what is not." title="The interview sheet: confirm what is public, ask what is n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4752975" cy="4953000"/>
                    </a:xfrm>
                    <a:prstGeom prst="rect">
                      <a:avLst/>
                    </a:prstGeom>
                  </pic:spPr>
                </pic:pic>
              </a:graphicData>
            </a:graphic>
          </wp:inline>
        </w:drawing>
      </w:r>
    </w:p>
    <w:p>
      <w:pPr>
        <w:spacing w:after="180"/>
        <w:jc w:val="center"/>
      </w:pPr>
      <w:r>
        <w:rPr>
          <w:b/>
          <w:bCs/>
          <w:color w:val="5B6670"/>
          <w:sz w:val="17"/>
          <w:szCs w:val="17"/>
        </w:rPr>
        <w:t xml:space="preserve">Figure 28. </w:t>
      </w:r>
      <w:r>
        <w:rPr>
          <w:i/>
          <w:iCs/>
          <w:color w:val="5B6670"/>
          <w:sz w:val="17"/>
          <w:szCs w:val="17"/>
        </w:rPr>
        <w:t xml:space="preserve">The interview sheet: confirm what is public, ask what is not.</w:t>
      </w:r>
    </w:p>
    <w:p>
      <w:pPr>
        <w:pStyle w:val="ListParagraph"/>
        <w:numPr>
          <w:ilvl w:val="0"/>
          <w:numId w:val="28"/>
        </w:numPr>
        <w:spacing w:after="80" w:line="276"/>
      </w:pPr>
      <w:r>
        <w:t xml:space="preserve">For a </w:t>
      </w:r>
      <w:r>
        <w:rPr>
          <w:b/>
          <w:bCs/>
        </w:rPr>
        <w:t xml:space="preserve">Confirm</w:t>
      </w:r>
      <w:r>
        <w:t xml:space="preserve"> row, read the public fact to the respondent, with its source shown under it, and ask whether it is right. Never state a fact on an </w:t>
      </w:r>
      <w:r>
        <w:rPr>
          <w:b/>
          <w:bCs/>
        </w:rPr>
        <w:t xml:space="preserve">Ask</w:t>
      </w:r>
      <w:r>
        <w:t xml:space="preserve"> row: it is a question, not something established. A weak source's value is deliberately hidden.</w:t>
      </w:r>
    </w:p>
    <w:p>
      <w:pPr>
        <w:pStyle w:val="ListParagraph"/>
        <w:numPr>
          <w:ilvl w:val="0"/>
          <w:numId w:val="28"/>
        </w:numPr>
        <w:spacing w:after="80" w:line="276"/>
      </w:pPr>
      <w:r>
        <w:t xml:space="preserve">In </w:t>
      </w:r>
      <w:r>
        <w:rPr>
          <w:b/>
          <w:bCs/>
        </w:rPr>
        <w:t xml:space="preserve">What the respondent said</w:t>
      </w:r>
      <w:r>
        <w:t xml:space="preserve">, choose the answer: confirmed, corrected, partly correct or out of date, does not know, prefers not to say, or does not apply. For a correction, type </w:t>
      </w:r>
      <w:r>
        <w:rPr>
          <w:b/>
          <w:bCs/>
        </w:rPr>
        <w:t xml:space="preserve">Their answer</w:t>
      </w:r>
      <w:r>
        <w:t xml:space="preserve">. Add a comment if useful, then select </w:t>
      </w:r>
      <w:r>
        <w:rPr>
          <w:b/>
          <w:bCs/>
        </w:rPr>
        <w:t xml:space="preserve">Save answer</w:t>
      </w:r>
      <w:r>
        <w:t xml:space="preserve">.</w:t>
      </w:r>
    </w:p>
    <w:p>
      <w:pPr>
        <w:pStyle w:val="ListParagraph"/>
        <w:numPr>
          <w:ilvl w:val="0"/>
          <w:numId w:val="28"/>
        </w:numPr>
        <w:spacing w:after="80" w:line="276"/>
      </w:pPr>
      <w:r>
        <w:t xml:space="preserve">For an </w:t>
      </w:r>
      <w:r>
        <w:rPr>
          <w:b/>
          <w:bCs/>
        </w:rPr>
        <w:t xml:space="preserve">Ask</w:t>
      </w:r>
      <w:r>
        <w:t xml:space="preserve"> row, choose </w:t>
      </w:r>
      <w:r>
        <w:rPr>
          <w:b/>
          <w:bCs/>
        </w:rPr>
        <w:t xml:space="preserve">They told us</w:t>
      </w:r>
      <w:r>
        <w:t xml:space="preserve"> and type what they said, or record that they do not know or would rather not say.</w:t>
      </w:r>
    </w:p>
    <w:p>
      <w:pPr>
        <w:pStyle w:val="ListParagraph"/>
        <w:numPr>
          <w:ilvl w:val="0"/>
          <w:numId w:val="28"/>
        </w:numPr>
        <w:spacing w:after="80" w:line="276"/>
      </w:pPr>
      <w:r>
        <w:t xml:space="preserve">When the interview is over, select </w:t>
      </w:r>
      <w:r>
        <w:rPr>
          <w:b/>
          <w:bCs/>
        </w:rPr>
        <w:t xml:space="preserve">Interview finished</w:t>
      </w:r>
      <w:r>
        <w:t xml:space="preserve">.</w:t>
      </w:r>
    </w:p>
    <w:p>
      <w:pPr>
        <w:spacing w:after="80"/>
      </w:pPr>
    </w:p>
    <w:p>
      <w:pPr>
        <w:pStyle w:val="Heading3"/>
      </w:pPr>
      <w:r>
        <w:t xml:space="preserve">After the interview: reconcile (coordinator and PI)</w:t>
      </w:r>
    </w:p>
    <w:p>
      <w:pPr>
        <w:pStyle w:val="ListParagraph"/>
        <w:numPr>
          <w:ilvl w:val="0"/>
          <w:numId w:val="29"/>
        </w:numPr>
        <w:spacing w:after="80" w:line="276"/>
      </w:pPr>
      <w:r>
        <w:t xml:space="preserve">Rows where the respondent corrected or qualified a fact show </w:t>
      </w:r>
      <w:r>
        <w:rPr>
          <w:b/>
          <w:bCs/>
        </w:rPr>
        <w:t xml:space="preserve">Differs from the public source</w:t>
      </w:r>
      <w:r>
        <w:t xml:space="preserve">. Under </w:t>
      </w:r>
      <w:r>
        <w:rPr>
          <w:b/>
          <w:bCs/>
        </w:rPr>
        <w:t xml:space="preserve">Reconciled value (required)</w:t>
      </w:r>
      <w:r>
        <w:t xml:space="preserve">, type the value you code for analysis, then select </w:t>
      </w:r>
      <w:r>
        <w:rPr>
          <w:b/>
          <w:bCs/>
        </w:rPr>
        <w:t xml:space="preserve">Save reconciled value</w:t>
      </w:r>
      <w:r>
        <w:t xml:space="preserve">. A plain confirmation or “does not apply” needs no reconciled value.</w:t>
      </w:r>
    </w:p>
    <w:p>
      <w:pPr>
        <w:keepNext/>
        <w:spacing w:after="40" w:before="80"/>
        <w:jc w:val="center"/>
      </w:pPr>
      <w:r>
        <w:drawing>
          <wp:inline distT="0" distB="0" distL="0" distR="0">
            <wp:extent cx="5334000" cy="1152525"/>
            <wp:effectExtent t="0" r="0" b="0" l="0"/>
            <wp:docPr id="1" name="proit_reconcile.jpg" descr="Reconciling a corrected fact: the three values stay separate." title="Reconciling a corrected fact: the three values stay separa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5334000" cy="1152525"/>
                    </a:xfrm>
                    <a:prstGeom prst="rect">
                      <a:avLst/>
                    </a:prstGeom>
                  </pic:spPr>
                </pic:pic>
              </a:graphicData>
            </a:graphic>
          </wp:inline>
        </w:drawing>
      </w:r>
    </w:p>
    <w:p>
      <w:pPr>
        <w:spacing w:after="180"/>
        <w:jc w:val="center"/>
      </w:pPr>
      <w:r>
        <w:rPr>
          <w:b/>
          <w:bCs/>
          <w:color w:val="5B6670"/>
          <w:sz w:val="17"/>
          <w:szCs w:val="17"/>
        </w:rPr>
        <w:t xml:space="preserve">Figure 29. </w:t>
      </w:r>
      <w:r>
        <w:rPr>
          <w:i/>
          <w:iCs/>
          <w:color w:val="5B6670"/>
          <w:sz w:val="17"/>
          <w:szCs w:val="17"/>
        </w:rPr>
        <w:t xml:space="preserve">Reconciling a corrected fact: the three values stay separate.</w:t>
      </w:r>
    </w:p>
    <w:p>
      <w:pPr>
        <w:pStyle w:val="ListParagraph"/>
        <w:numPr>
          <w:ilvl w:val="0"/>
          <w:numId w:val="29"/>
        </w:numPr>
        <w:spacing w:after="80" w:line="276"/>
      </w:pPr>
      <w:r>
        <w:t xml:space="preserve">The status at the top of the sheet counts up: “Verified 6 of 8 · settled 5 of 8”, then </w:t>
      </w:r>
      <w:r>
        <w:rPr>
          <w:b/>
          <w:bCs/>
        </w:rPr>
        <w:t xml:space="preserve">Reconciled</w:t>
      </w:r>
      <w:r>
        <w:t xml:space="preserve"> when every fact is settled. At that moment the portal also sends the whole profile (what was known, what the respondent said, the reconciled value, and the sources) to KoboToolbox, in the </w:t>
      </w:r>
      <w:r>
        <w:rPr>
          <w:b/>
          <w:bCs/>
        </w:rPr>
        <w:t xml:space="preserve">ABF-FST PROIT Interview Profile</w:t>
      </w:r>
      <w:r>
        <w:t xml:space="preserve"> form, and the status shows </w:t>
      </w:r>
      <w:r>
        <w:rPr>
          <w:b/>
          <w:bCs/>
        </w:rPr>
        <w:t xml:space="preserve">Saved to KoboToolbox</w:t>
      </w:r>
      <w:r>
        <w:t xml:space="preserve">.</w:t>
      </w:r>
    </w:p>
    <w:p>
      <w:pPr>
        <w:pStyle w:val="ListParagraph"/>
        <w:numPr>
          <w:ilvl w:val="0"/>
          <w:numId w:val="29"/>
        </w:numPr>
        <w:spacing w:after="80" w:line="276"/>
      </w:pPr>
      <w:r>
        <w:t xml:space="preserve">If reconciliation truly cannot be finished (for example the respondent cannot be reached again), select </w:t>
      </w:r>
      <w:r>
        <w:rPr>
          <w:b/>
          <w:bCs/>
        </w:rPr>
        <w:t xml:space="preserve">Record a protocol deviation</w:t>
      </w:r>
      <w:r>
        <w:t xml:space="preserve"> and give the reason. The case is released but stays flagged.</w:t>
      </w:r>
    </w:p>
    <w:p>
      <w:pPr>
        <w:spacing w:after="80"/>
      </w:pPr>
    </w:p>
    <w:tbl>
      <w:tblPr>
        <w:tblW w:type="dxa" w:w="9412"/>
        <w:tblBorders>
          <w:top w:val="single" w:color="FBF1E1" w:sz="2"/>
          <w:left w:val="single" w:color="D9A441" w:sz="24"/>
          <w:bottom w:val="single" w:color="FBF1E1" w:sz="2"/>
          <w:right w:val="single" w:color="FBF1E1" w:sz="2"/>
          <w:insideH w:val="single" w:color="FBF1E1" w:sz="4"/>
          <w:insideV w:val="single" w:color="FBF1E1" w:sz="4"/>
        </w:tblBorders>
      </w:tblPr>
      <w:tblGrid>
        <w:gridCol w:w="9412"/>
      </w:tblGrid>
      <w:tr>
        <w:trPr>
          <w:cantSplit/>
        </w:trPr>
        <w:tc>
          <w:tcPr>
            <w:tcW w:type="dxa" w:w="9412"/>
            <w:shd w:fill="FBF1E1" w:color="auto" w:val="clear"/>
            <w:tcMar>
              <w:top w:type="dxa" w:w="100"/>
              <w:left w:type="dxa" w:w="180"/>
              <w:bottom w:type="dxa" w:w="100"/>
              <w:right w:type="dxa" w:w="160"/>
            </w:tcMar>
          </w:tcPr>
          <w:p>
            <w:pPr>
              <w:spacing w:after="40"/>
            </w:pPr>
            <w:r>
              <w:rPr>
                <w:b/>
                <w:bCs/>
                <w:color w:val="22282E"/>
                <w:sz w:val="20"/>
                <w:szCs w:val="20"/>
              </w:rPr>
              <w:t xml:space="preserve">A case is not complete until its profile is reconciled</w:t>
            </w:r>
          </w:p>
          <w:p>
            <w:pPr>
              <w:spacing w:after="40" w:line="264"/>
            </w:pPr>
            <w:r>
              <w:rPr>
                <w:sz w:val="19"/>
                <w:szCs w:val="19"/>
              </w:rPr>
              <w:t xml:space="preserve">QA cannot </w:t>
            </w:r>
            <w:r>
              <w:rPr>
                <w:b/>
                <w:bCs/>
                <w:sz w:val="19"/>
                <w:szCs w:val="19"/>
              </w:rPr>
              <w:t xml:space="preserve">Accept</w:t>
            </w:r>
            <w:r>
              <w:rPr>
                <w:sz w:val="19"/>
                <w:szCs w:val="19"/>
              </w:rPr>
              <w:t xml:space="preserve"> a questionnaire, and a KII's coding cannot become COMPLETE, while a locked profile still has facts not verified with the respondent or not reconciled. The message says how many are outstanding. Re-query and Reject are never blocked.</w:t>
            </w:r>
          </w:p>
          <w:p>
            <w:pPr>
              <w:spacing w:after="40" w:line="264"/>
            </w:pPr>
            <w:r>
              <w:rPr>
                <w:sz w:val="19"/>
                <w:szCs w:val="19"/>
              </w:rPr>
              <w:t xml:space="preserve">This applies only to a case that has a locked profile with facts on it. A case with no profile is not held up.</w:t>
            </w:r>
          </w:p>
        </w:tc>
      </w:tr>
    </w:tbl>
    <w:p>
      <w:pPr>
        <w:pStyle w:val="Heading2"/>
      </w:pPr>
      <w:r>
        <w:t xml:space="preserve">4.22 Reviewing questionnaires in the QA Queue</w:t>
      </w:r>
    </w:p>
    <w:p>
      <w:pPr>
        <w:pStyle w:val="ListParagraph"/>
        <w:numPr>
          <w:ilvl w:val="0"/>
          <w:numId w:val="30"/>
        </w:numPr>
        <w:spacing w:after="80" w:line="276"/>
      </w:pPr>
      <w:r>
        <w:t xml:space="preserve">Select </w:t>
      </w:r>
      <w:r>
        <w:rPr>
          <w:b/>
          <w:bCs/>
        </w:rPr>
        <w:t xml:space="preserve">QA Queue</w:t>
      </w:r>
      <w:r>
        <w:t xml:space="preserve">. Each submission shows the Sample ID, when it was submitted, the administration mode, the completion time in minutes and its QA status (PENDING or QUERY).</w:t>
      </w:r>
    </w:p>
    <w:p>
      <w:pPr>
        <w:keepNext/>
        <w:spacing w:after="40" w:before="80"/>
        <w:jc w:val="center"/>
      </w:pPr>
      <w:r>
        <w:drawing>
          <wp:inline distT="0" distB="0" distL="0" distR="0">
            <wp:extent cx="5334000" cy="3333750"/>
            <wp:effectExtent t="0" r="0" b="0" l="0"/>
            <wp:docPr id="1" name="qa_queue.jpg" descr="QUAN QA Queue with the KoboToolbox sync panel." title="QUAN QA Queue with the KoboToolbox sync pan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5334000" cy="3333750"/>
                    </a:xfrm>
                    <a:prstGeom prst="rect">
                      <a:avLst/>
                    </a:prstGeom>
                  </pic:spPr>
                </pic:pic>
              </a:graphicData>
            </a:graphic>
          </wp:inline>
        </w:drawing>
      </w:r>
    </w:p>
    <w:p>
      <w:pPr>
        <w:spacing w:after="180"/>
        <w:jc w:val="center"/>
      </w:pPr>
      <w:r>
        <w:rPr>
          <w:b/>
          <w:bCs/>
          <w:color w:val="5B6670"/>
          <w:sz w:val="17"/>
          <w:szCs w:val="17"/>
        </w:rPr>
        <w:t xml:space="preserve">Figure 30. </w:t>
      </w:r>
      <w:r>
        <w:rPr>
          <w:i/>
          <w:iCs/>
          <w:color w:val="5B6670"/>
          <w:sz w:val="17"/>
          <w:szCs w:val="17"/>
        </w:rPr>
        <w:t xml:space="preserve">QUAN QA Queue with the KoboToolbox sync panel.</w:t>
      </w:r>
    </w:p>
    <w:p>
      <w:pPr>
        <w:pStyle w:val="ListParagraph"/>
        <w:numPr>
          <w:ilvl w:val="0"/>
          <w:numId w:val="30"/>
        </w:numPr>
        <w:spacing w:after="80" w:line="276"/>
      </w:pPr>
      <w:r>
        <w:t xml:space="preserve">Open the completed form to check the answers: </w:t>
      </w:r>
      <w:r>
        <w:rPr>
          <w:b/>
          <w:bCs/>
        </w:rPr>
        <w:t xml:space="preserve">Form PDFs → Download PDF</w:t>
      </w:r>
      <w:r>
        <w:t xml:space="preserve">, or the </w:t>
      </w:r>
      <w:r>
        <w:rPr>
          <w:b/>
          <w:bCs/>
        </w:rPr>
        <w:t xml:space="preserve">Completed questionnaire</w:t>
      </w:r>
      <w:r>
        <w:t xml:space="preserve"> panel on the case page.</w:t>
      </w:r>
    </w:p>
    <w:p>
      <w:pPr>
        <w:pStyle w:val="ListParagraph"/>
        <w:numPr>
          <w:ilvl w:val="0"/>
          <w:numId w:val="30"/>
        </w:numPr>
        <w:spacing w:after="80" w:line="276"/>
      </w:pPr>
      <w:r>
        <w:t xml:space="preserve">Check it against the QA rules (table below) and any open QA exception for that case.</w:t>
      </w:r>
    </w:p>
    <w:p>
      <w:pPr>
        <w:pStyle w:val="ListParagraph"/>
        <w:numPr>
          <w:ilvl w:val="0"/>
          <w:numId w:val="30"/>
        </w:numPr>
        <w:spacing w:after="80" w:line="276"/>
      </w:pPr>
      <w:r>
        <w:t xml:space="preserve">Write a </w:t>
      </w:r>
      <w:r>
        <w:rPr>
          <w:b/>
          <w:bCs/>
        </w:rPr>
        <w:t xml:space="preserve">Note (required)</w:t>
      </w:r>
      <w:r>
        <w:t xml:space="preserve"> explaining your decision.</w:t>
      </w:r>
    </w:p>
    <w:p>
      <w:pPr>
        <w:pStyle w:val="ListParagraph"/>
        <w:numPr>
          <w:ilvl w:val="0"/>
          <w:numId w:val="30"/>
        </w:numPr>
        <w:spacing w:after="80" w:line="276"/>
      </w:pPr>
      <w:r>
        <w:t xml:space="preserve">Select </w:t>
      </w:r>
      <w:r>
        <w:rPr>
          <w:b/>
          <w:bCs/>
        </w:rPr>
        <w:t xml:space="preserve">Accept</w:t>
      </w:r>
      <w:r>
        <w:t xml:space="preserve"> (moves the case to S10 QA passed), </w:t>
      </w:r>
      <w:r>
        <w:rPr>
          <w:b/>
          <w:bCs/>
        </w:rPr>
        <w:t xml:space="preserve">Re-query</w:t>
      </w:r>
      <w:r>
        <w:t xml:space="preserve"> (S09 QA query — follow up with the respondent or the RA who administered it) or </w:t>
      </w:r>
      <w:r>
        <w:rPr>
          <w:b/>
          <w:bCs/>
        </w:rPr>
        <w:t xml:space="preserve">Reject</w:t>
      </w:r>
      <w:r>
        <w:t xml:space="preserve"> (not usable).</w:t>
      </w:r>
    </w:p>
    <w:p>
      <w:pPr>
        <w:spacing w:after="80"/>
      </w:pP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2353"/>
        <w:gridCol w:w="3765"/>
        <w:gridCol w:w="3294"/>
      </w:tblGrid>
      <w:tr>
        <w:trPr>
          <w:tblHeader/>
        </w:trPr>
        <w:tc>
          <w:tcPr>
            <w:tcW w:type="dxa" w:w="2353"/>
            <w:shd w:fill="1B3350" w:color="auto" w:val="clear"/>
            <w:tcMar>
              <w:top w:type="dxa" w:w="70"/>
              <w:left w:type="dxa" w:w="110"/>
              <w:bottom w:type="dxa" w:w="70"/>
              <w:right w:type="dxa" w:w="110"/>
            </w:tcMar>
            <w:vAlign w:val="top"/>
          </w:tcPr>
          <w:p>
            <w:pPr>
              <w:spacing w:after="40"/>
            </w:pPr>
            <w:r>
              <w:rPr>
                <w:b/>
                <w:bCs/>
                <w:color w:val="FFFFFF"/>
                <w:sz w:val="19"/>
                <w:szCs w:val="19"/>
              </w:rPr>
              <w:t xml:space="preserve">Rule</w:t>
            </w:r>
          </w:p>
        </w:tc>
        <w:tc>
          <w:tcPr>
            <w:tcW w:type="dxa" w:w="3765"/>
            <w:shd w:fill="1B3350" w:color="auto" w:val="clear"/>
            <w:tcMar>
              <w:top w:type="dxa" w:w="70"/>
              <w:left w:type="dxa" w:w="110"/>
              <w:bottom w:type="dxa" w:w="70"/>
              <w:right w:type="dxa" w:w="110"/>
            </w:tcMar>
            <w:vAlign w:val="top"/>
          </w:tcPr>
          <w:p>
            <w:pPr>
              <w:spacing w:after="40"/>
            </w:pPr>
            <w:r>
              <w:rPr>
                <w:b/>
                <w:bCs/>
                <w:color w:val="FFFFFF"/>
                <w:sz w:val="19"/>
                <w:szCs w:val="19"/>
              </w:rPr>
              <w:t xml:space="preserve">Setting</w:t>
            </w:r>
          </w:p>
        </w:tc>
        <w:tc>
          <w:tcPr>
            <w:tcW w:type="dxa" w:w="3294"/>
            <w:shd w:fill="1B3350" w:color="auto" w:val="clear"/>
            <w:tcMar>
              <w:top w:type="dxa" w:w="70"/>
              <w:left w:type="dxa" w:w="110"/>
              <w:bottom w:type="dxa" w:w="70"/>
              <w:right w:type="dxa" w:w="110"/>
            </w:tcMar>
            <w:vAlign w:val="top"/>
          </w:tcPr>
          <w:p>
            <w:pPr>
              <w:spacing w:after="40"/>
            </w:pPr>
            <w:r>
              <w:rPr>
                <w:b/>
                <w:bCs/>
                <w:color w:val="FFFFFF"/>
                <w:sz w:val="19"/>
                <w:szCs w:val="19"/>
              </w:rPr>
              <w:t xml:space="preserve">Effect</w:t>
            </w:r>
          </w:p>
        </w:tc>
      </w:tr>
      <w:tr>
        <w:trPr>
          <w:cantSplit/>
        </w:trPr>
        <w:tc>
          <w:tcPr>
            <w:tcW w:type="dxa" w:w="2353"/>
            <w:tcMar>
              <w:top w:type="dxa" w:w="70"/>
              <w:left w:type="dxa" w:w="110"/>
              <w:bottom w:type="dxa" w:w="70"/>
              <w:right w:type="dxa" w:w="110"/>
            </w:tcMar>
            <w:vAlign w:val="top"/>
          </w:tcPr>
          <w:p>
            <w:pPr>
              <w:spacing w:after="40"/>
            </w:pPr>
            <w:r>
              <w:rPr>
                <w:b w:val="false"/>
                <w:bCs w:val="false"/>
                <w:sz w:val="19"/>
                <w:szCs w:val="19"/>
              </w:rPr>
              <w:t xml:space="preserve">Required answers missing</w:t>
            </w:r>
          </w:p>
        </w:tc>
        <w:tc>
          <w:tcPr>
            <w:tcW w:type="dxa" w:w="3765"/>
            <w:tcMar>
              <w:top w:type="dxa" w:w="70"/>
              <w:left w:type="dxa" w:w="110"/>
              <w:bottom w:type="dxa" w:w="70"/>
              <w:right w:type="dxa" w:w="110"/>
            </w:tcMar>
            <w:vAlign w:val="top"/>
          </w:tcPr>
          <w:p>
            <w:pPr>
              <w:spacing w:after="40"/>
            </w:pPr>
            <w:r>
              <w:rPr>
                <w:b w:val="false"/>
                <w:bCs w:val="false"/>
                <w:sz w:val="19"/>
                <w:szCs w:val="19"/>
              </w:rPr>
              <w:t xml:space="preserve">65 required fields from the live questionnaire</w:t>
            </w:r>
          </w:p>
        </w:tc>
        <w:tc>
          <w:tcPr>
            <w:tcW w:type="dxa" w:w="3294"/>
            <w:tcMar>
              <w:top w:type="dxa" w:w="70"/>
              <w:left w:type="dxa" w:w="110"/>
              <w:bottom w:type="dxa" w:w="70"/>
              <w:right w:type="dxa" w:w="110"/>
            </w:tcMar>
            <w:vAlign w:val="top"/>
          </w:tcPr>
          <w:p>
            <w:pPr>
              <w:spacing w:after="40"/>
            </w:pPr>
            <w:r>
              <w:rPr>
                <w:b w:val="false"/>
                <w:bCs w:val="false"/>
                <w:sz w:val="19"/>
                <w:szCs w:val="19"/>
              </w:rPr>
              <w:t xml:space="preserve">Hard stop: raises an exception; cannot pass without a human decision and note.</w:t>
            </w:r>
          </w:p>
        </w:tc>
      </w:tr>
      <w:tr>
        <w:trPr>
          <w:cantSplit/>
        </w:trPr>
        <w:tc>
          <w:tcPr>
            <w:tcW w:type="dxa" w:w="2353"/>
            <w:shd w:fill="F8FAFB" w:color="auto" w:val="clear"/>
            <w:tcMar>
              <w:top w:type="dxa" w:w="70"/>
              <w:left w:type="dxa" w:w="110"/>
              <w:bottom w:type="dxa" w:w="70"/>
              <w:right w:type="dxa" w:w="110"/>
            </w:tcMar>
            <w:vAlign w:val="top"/>
          </w:tcPr>
          <w:p>
            <w:pPr>
              <w:spacing w:after="40"/>
            </w:pPr>
            <w:r>
              <w:rPr>
                <w:b w:val="false"/>
                <w:bCs w:val="false"/>
                <w:sz w:val="19"/>
                <w:szCs w:val="19"/>
              </w:rPr>
              <w:t xml:space="preserve">Too quick</w:t>
            </w:r>
          </w:p>
        </w:tc>
        <w:tc>
          <w:tcPr>
            <w:tcW w:type="dxa" w:w="3765"/>
            <w:shd w:fill="F8FAFB" w:color="auto" w:val="clear"/>
            <w:tcMar>
              <w:top w:type="dxa" w:w="70"/>
              <w:left w:type="dxa" w:w="110"/>
              <w:bottom w:type="dxa" w:w="70"/>
              <w:right w:type="dxa" w:w="110"/>
            </w:tcMar>
            <w:vAlign w:val="top"/>
          </w:tcPr>
          <w:p>
            <w:pPr>
              <w:spacing w:after="40"/>
            </w:pPr>
            <w:r>
              <w:rPr>
                <w:b w:val="false"/>
                <w:bCs w:val="false"/>
                <w:sz w:val="19"/>
                <w:szCs w:val="19"/>
              </w:rPr>
              <w:t xml:space="preserve">Completed in under 5 minutes (300 s)</w:t>
            </w:r>
          </w:p>
        </w:tc>
        <w:tc>
          <w:tcPr>
            <w:tcW w:type="dxa" w:w="3294"/>
            <w:shd w:fill="F8FAFB" w:color="auto" w:val="clear"/>
            <w:tcMar>
              <w:top w:type="dxa" w:w="70"/>
              <w:left w:type="dxa" w:w="110"/>
              <w:bottom w:type="dxa" w:w="70"/>
              <w:right w:type="dxa" w:w="110"/>
            </w:tcMar>
            <w:vAlign w:val="top"/>
          </w:tcPr>
          <w:p>
            <w:pPr>
              <w:spacing w:after="40"/>
            </w:pPr>
            <w:r>
              <w:rPr>
                <w:b w:val="false"/>
                <w:bCs w:val="false"/>
                <w:sz w:val="19"/>
                <w:szCs w:val="19"/>
              </w:rPr>
              <w:t xml:space="preserve">Soft flag for review.</w:t>
            </w:r>
          </w:p>
        </w:tc>
      </w:tr>
      <w:tr>
        <w:trPr>
          <w:cantSplit/>
        </w:trPr>
        <w:tc>
          <w:tcPr>
            <w:tcW w:type="dxa" w:w="2353"/>
            <w:tcMar>
              <w:top w:type="dxa" w:w="70"/>
              <w:left w:type="dxa" w:w="110"/>
              <w:bottom w:type="dxa" w:w="70"/>
              <w:right w:type="dxa" w:w="110"/>
            </w:tcMar>
            <w:vAlign w:val="top"/>
          </w:tcPr>
          <w:p>
            <w:pPr>
              <w:spacing w:after="40"/>
            </w:pPr>
            <w:r>
              <w:rPr>
                <w:b w:val="false"/>
                <w:bCs w:val="false"/>
                <w:sz w:val="19"/>
                <w:szCs w:val="19"/>
              </w:rPr>
              <w:t xml:space="preserve">Too slow</w:t>
            </w:r>
          </w:p>
        </w:tc>
        <w:tc>
          <w:tcPr>
            <w:tcW w:type="dxa" w:w="3765"/>
            <w:tcMar>
              <w:top w:type="dxa" w:w="70"/>
              <w:left w:type="dxa" w:w="110"/>
              <w:bottom w:type="dxa" w:w="70"/>
              <w:right w:type="dxa" w:w="110"/>
            </w:tcMar>
            <w:vAlign w:val="top"/>
          </w:tcPr>
          <w:p>
            <w:pPr>
              <w:spacing w:after="40"/>
            </w:pPr>
            <w:r>
              <w:rPr>
                <w:b w:val="false"/>
                <w:bCs w:val="false"/>
                <w:sz w:val="19"/>
                <w:szCs w:val="19"/>
              </w:rPr>
              <w:t xml:space="preserve">Completed in over 90 minutes (5400 s)</w:t>
            </w:r>
          </w:p>
        </w:tc>
        <w:tc>
          <w:tcPr>
            <w:tcW w:type="dxa" w:w="3294"/>
            <w:tcMar>
              <w:top w:type="dxa" w:w="70"/>
              <w:left w:type="dxa" w:w="110"/>
              <w:bottom w:type="dxa" w:w="70"/>
              <w:right w:type="dxa" w:w="110"/>
            </w:tcMar>
            <w:vAlign w:val="top"/>
          </w:tcPr>
          <w:p>
            <w:pPr>
              <w:spacing w:after="40"/>
            </w:pPr>
            <w:r>
              <w:rPr>
                <w:b w:val="false"/>
                <w:bCs w:val="false"/>
                <w:sz w:val="19"/>
                <w:szCs w:val="19"/>
              </w:rPr>
              <w:t xml:space="preserve">Soft flag for review.</w:t>
            </w:r>
          </w:p>
        </w:tc>
      </w:tr>
      <w:tr>
        <w:trPr>
          <w:cantSplit/>
        </w:trPr>
        <w:tc>
          <w:tcPr>
            <w:tcW w:type="dxa" w:w="2353"/>
            <w:shd w:fill="F8FAFB" w:color="auto" w:val="clear"/>
            <w:tcMar>
              <w:top w:type="dxa" w:w="70"/>
              <w:left w:type="dxa" w:w="110"/>
              <w:bottom w:type="dxa" w:w="70"/>
              <w:right w:type="dxa" w:w="110"/>
            </w:tcMar>
            <w:vAlign w:val="top"/>
          </w:tcPr>
          <w:p>
            <w:pPr>
              <w:spacing w:after="40"/>
            </w:pPr>
            <w:r>
              <w:rPr>
                <w:b w:val="false"/>
                <w:bCs w:val="false"/>
                <w:sz w:val="19"/>
                <w:szCs w:val="19"/>
              </w:rPr>
              <w:t xml:space="preserve">Possible duplicate</w:t>
            </w:r>
          </w:p>
        </w:tc>
        <w:tc>
          <w:tcPr>
            <w:tcW w:type="dxa" w:w="3765"/>
            <w:shd w:fill="F8FAFB" w:color="auto" w:val="clear"/>
            <w:tcMar>
              <w:top w:type="dxa" w:w="70"/>
              <w:left w:type="dxa" w:w="110"/>
              <w:bottom w:type="dxa" w:w="70"/>
              <w:right w:type="dxa" w:w="110"/>
            </w:tcMar>
            <w:vAlign w:val="top"/>
          </w:tcPr>
          <w:p>
            <w:pPr>
              <w:spacing w:after="40"/>
            </w:pPr>
            <w:r>
              <w:rPr>
                <w:b w:val="false"/>
                <w:bCs w:val="false"/>
                <w:sz w:val="19"/>
                <w:szCs w:val="19"/>
              </w:rPr>
              <w:t xml:space="preserve">Another submission for the same organisation within 24 hours</w:t>
            </w:r>
          </w:p>
        </w:tc>
        <w:tc>
          <w:tcPr>
            <w:tcW w:type="dxa" w:w="3294"/>
            <w:shd w:fill="F8FAFB" w:color="auto" w:val="clear"/>
            <w:tcMar>
              <w:top w:type="dxa" w:w="70"/>
              <w:left w:type="dxa" w:w="110"/>
              <w:bottom w:type="dxa" w:w="70"/>
              <w:right w:type="dxa" w:w="110"/>
            </w:tcMar>
            <w:vAlign w:val="top"/>
          </w:tcPr>
          <w:p>
            <w:pPr>
              <w:spacing w:after="40"/>
            </w:pPr>
            <w:r>
              <w:rPr>
                <w:b w:val="false"/>
                <w:bCs w:val="false"/>
                <w:sz w:val="19"/>
                <w:szCs w:val="19"/>
              </w:rPr>
              <w:t xml:space="preserve">Soft flag for review.</w:t>
            </w:r>
          </w:p>
        </w:tc>
      </w:tr>
    </w:tbl>
    <w:p>
      <w:pPr>
        <w:spacing w:after="120"/>
      </w:pP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Nothing passes automatically</w:t>
            </w:r>
          </w:p>
          <w:p>
            <w:pPr>
              <w:spacing w:after="40" w:line="264"/>
            </w:pPr>
            <w:r>
              <w:rPr>
                <w:sz w:val="19"/>
                <w:szCs w:val="19"/>
              </w:rPr>
              <w:t xml:space="preserve">Even a submission with no flags needs a person to select Accept. Every decision and its note is audited.</w:t>
            </w:r>
          </w:p>
        </w:tc>
      </w:tr>
    </w:tbl>
    <w:p>
      <w:pPr>
        <w:pStyle w:val="Heading3"/>
      </w:pPr>
      <w:r>
        <w:t xml:space="preserve">Pulling new submissions now</w:t>
      </w:r>
    </w:p>
    <w:p>
      <w:pPr>
        <w:spacing w:after="120" w:line="288"/>
      </w:pPr>
      <w:r>
        <w:t xml:space="preserve">Submissions arrive within seconds (KoboToolbox notifies the portal) and a full check runs every 15 minutes between 06:00 and 22:00 and hourly overnight. To check immediately, select </w:t>
      </w:r>
      <w:r>
        <w:rPr>
          <w:b/>
          <w:bCs/>
        </w:rPr>
        <w:t xml:space="preserve">Sync now</w:t>
      </w:r>
      <w:r>
        <w:t xml:space="preserve"> in </w:t>
      </w:r>
      <w:r>
        <w:rPr>
          <w:b/>
          <w:bCs/>
        </w:rPr>
        <w:t xml:space="preserve">KoboToolbox sync</w:t>
      </w:r>
      <w:r>
        <w:t xml:space="preserve">; the panel shows the last run, how many were pulled and how many were new or updated. An edited submission returns to the queue for review.</w:t>
      </w:r>
    </w:p>
    <w:p>
      <w:pPr>
        <w:pStyle w:val="Heading2"/>
      </w:pPr>
      <w:r>
        <w:t xml:space="preserve">4.23 Working QA exceptions</w:t>
      </w:r>
    </w:p>
    <w:p>
      <w:pPr>
        <w:pStyle w:val="ListParagraph"/>
        <w:numPr>
          <w:ilvl w:val="0"/>
          <w:numId w:val="31"/>
        </w:numPr>
        <w:spacing w:after="80" w:line="276"/>
      </w:pPr>
      <w:r>
        <w:t xml:space="preserve">Select </w:t>
      </w:r>
      <w:r>
        <w:rPr>
          <w:b/>
          <w:bCs/>
        </w:rPr>
        <w:t xml:space="preserve">QA Exceptions</w:t>
      </w:r>
      <w:r>
        <w:t xml:space="preserve">. Each card shows the rule that fired (for example </w:t>
      </w:r>
      <w:r>
        <w:rPr>
          <w:rFonts w:ascii="Consolas" w:cs="Consolas" w:eastAsia="Consolas" w:hAnsi="Consolas"/>
          <w:b w:val="false"/>
          <w:bCs w:val="false"/>
          <w:color w:val="122238"/>
          <w:sz w:val="19"/>
          <w:szCs w:val="19"/>
        </w:rPr>
        <w:t xml:space="preserve">hard_stop_missing_required_fields</w:t>
      </w:r>
      <w:r>
        <w:t xml:space="preserve"> or </w:t>
      </w:r>
      <w:r>
        <w:rPr>
          <w:rFonts w:ascii="Consolas" w:cs="Consolas" w:eastAsia="Consolas" w:hAnsi="Consolas"/>
          <w:b w:val="false"/>
          <w:bCs w:val="false"/>
          <w:color w:val="122238"/>
          <w:sz w:val="19"/>
          <w:szCs w:val="19"/>
        </w:rPr>
        <w:t xml:space="preserve">min_plausible_duration_seconds</w:t>
      </w:r>
      <w:r>
        <w:t xml:space="preserve">), the Sample ID, when it was raised and its status. Oldest first.</w:t>
      </w:r>
    </w:p>
    <w:p>
      <w:pPr>
        <w:keepNext/>
        <w:spacing w:after="40" w:before="80"/>
        <w:jc w:val="center"/>
      </w:pPr>
      <w:r>
        <w:drawing>
          <wp:inline distT="0" distB="0" distL="0" distR="0">
            <wp:extent cx="5334000" cy="3333750"/>
            <wp:effectExtent t="0" r="0" b="0" l="0"/>
            <wp:docPr id="1" name="qa_exceptions.jpg" descr="QA Exception Queue." title="QA Exception Que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5334000" cy="3333750"/>
                    </a:xfrm>
                    <a:prstGeom prst="rect">
                      <a:avLst/>
                    </a:prstGeom>
                  </pic:spPr>
                </pic:pic>
              </a:graphicData>
            </a:graphic>
          </wp:inline>
        </w:drawing>
      </w:r>
    </w:p>
    <w:p>
      <w:pPr>
        <w:spacing w:after="180"/>
        <w:jc w:val="center"/>
      </w:pPr>
      <w:r>
        <w:rPr>
          <w:b/>
          <w:bCs/>
          <w:color w:val="5B6670"/>
          <w:sz w:val="17"/>
          <w:szCs w:val="17"/>
        </w:rPr>
        <w:t xml:space="preserve">Figure 31. </w:t>
      </w:r>
      <w:r>
        <w:rPr>
          <w:i/>
          <w:iCs/>
          <w:color w:val="5B6670"/>
          <w:sz w:val="17"/>
          <w:szCs w:val="17"/>
        </w:rPr>
        <w:t xml:space="preserve">QA Exception Queue.</w:t>
      </w:r>
    </w:p>
    <w:p>
      <w:pPr>
        <w:pStyle w:val="ListParagraph"/>
        <w:numPr>
          <w:ilvl w:val="0"/>
          <w:numId w:val="31"/>
        </w:numPr>
        <w:spacing w:after="80" w:line="276"/>
      </w:pPr>
      <w:r>
        <w:t xml:space="preserve">Tick </w:t>
      </w:r>
      <w:r>
        <w:rPr>
          <w:b/>
          <w:bCs/>
        </w:rPr>
        <w:t xml:space="preserve">Only mine</w:t>
      </w:r>
      <w:r>
        <w:t xml:space="preserve"> to see exceptions assigned to you; tick </w:t>
      </w:r>
      <w:r>
        <w:rPr>
          <w:b/>
          <w:bCs/>
        </w:rPr>
        <w:t xml:space="preserve">Show closed</w:t>
      </w:r>
      <w:r>
        <w:t xml:space="preserve"> to include resolved ones.</w:t>
      </w:r>
    </w:p>
    <w:p>
      <w:pPr>
        <w:pStyle w:val="ListParagraph"/>
        <w:numPr>
          <w:ilvl w:val="0"/>
          <w:numId w:val="31"/>
        </w:numPr>
        <w:spacing w:after="80" w:line="276"/>
      </w:pPr>
      <w:r>
        <w:t xml:space="preserve">Use </w:t>
      </w:r>
      <w:r>
        <w:rPr>
          <w:b/>
          <w:bCs/>
        </w:rPr>
        <w:t xml:space="preserve">Assign to</w:t>
      </w:r>
      <w:r>
        <w:t xml:space="preserve"> to take ownership (or give it to a colleague). The status becomes </w:t>
      </w:r>
      <w:r>
        <w:rPr>
          <w:b/>
          <w:bCs/>
        </w:rPr>
        <w:t xml:space="preserve">In progress</w:t>
      </w:r>
      <w:r>
        <w:t xml:space="preserve">.</w:t>
      </w:r>
    </w:p>
    <w:p>
      <w:pPr>
        <w:pStyle w:val="ListParagraph"/>
        <w:numPr>
          <w:ilvl w:val="0"/>
          <w:numId w:val="31"/>
        </w:numPr>
        <w:spacing w:after="80" w:line="276"/>
      </w:pPr>
      <w:r>
        <w:t xml:space="preserve">Investigate: open the form PDF, check the case timeline, contact the respondent if needed.</w:t>
      </w:r>
    </w:p>
    <w:p>
      <w:pPr>
        <w:pStyle w:val="ListParagraph"/>
        <w:numPr>
          <w:ilvl w:val="0"/>
          <w:numId w:val="31"/>
        </w:numPr>
        <w:spacing w:after="80" w:line="276"/>
      </w:pPr>
      <w:r>
        <w:t xml:space="preserve">Type </w:t>
      </w:r>
      <w:r>
        <w:rPr>
          <w:b/>
          <w:bCs/>
        </w:rPr>
        <w:t xml:space="preserve">What was done about it?</w:t>
      </w:r>
      <w:r>
        <w:t xml:space="preserve"> and select </w:t>
      </w:r>
      <w:r>
        <w:rPr>
          <w:b/>
          <w:bCs/>
        </w:rPr>
        <w:t xml:space="preserve">Resolved</w:t>
      </w:r>
      <w:r>
        <w:t xml:space="preserve">, or </w:t>
      </w:r>
      <w:r>
        <w:rPr>
          <w:b/>
          <w:bCs/>
        </w:rPr>
        <w:t xml:space="preserve">Not a real problem</w:t>
      </w:r>
      <w:r>
        <w:t xml:space="preserve"> if the flag was a false alarm. A note is always required.</w:t>
      </w:r>
    </w:p>
    <w:p>
      <w:pPr>
        <w:spacing w:after="80"/>
      </w:pPr>
    </w:p>
    <w:p>
      <w:pPr>
        <w:pStyle w:val="Heading2"/>
      </w:pPr>
      <w:r>
        <w:t xml:space="preserve">4.24 Downloading or emailing completed forms (Form PDFs)</w:t>
      </w:r>
    </w:p>
    <w:p>
      <w:pPr>
        <w:pStyle w:val="ListParagraph"/>
        <w:numPr>
          <w:ilvl w:val="0"/>
          <w:numId w:val="32"/>
        </w:numPr>
        <w:spacing w:after="80" w:line="276"/>
      </w:pPr>
      <w:r>
        <w:t xml:space="preserve">Select </w:t>
      </w:r>
      <w:r>
        <w:rPr>
          <w:b/>
          <w:bCs/>
        </w:rPr>
        <w:t xml:space="preserve">Form PDFs</w:t>
      </w:r>
      <w:r>
        <w:t xml:space="preserve">. You see the completed questionnaire, KII Guide and document forms from KoboToolbox, newest first, 20 per page to begin with (choose more under </w:t>
      </w:r>
      <w:r>
        <w:rPr>
          <w:b/>
          <w:bCs/>
        </w:rPr>
        <w:t xml:space="preserve">Show</w:t>
      </w:r>
      <w:r>
        <w:t xml:space="preserve"> at the foot of the list).</w:t>
      </w:r>
    </w:p>
    <w:p>
      <w:pPr>
        <w:keepNext/>
        <w:spacing w:after="40" w:before="80"/>
        <w:jc w:val="center"/>
      </w:pPr>
      <w:r>
        <w:drawing>
          <wp:inline distT="0" distB="0" distL="0" distR="0">
            <wp:extent cx="5334000" cy="3333750"/>
            <wp:effectExtent t="0" r="0" b="0" l="0"/>
            <wp:docPr id="1" name="adm_form_pdfs.jpg" descr="Completed form PDFs." title="Completed form PDF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5334000" cy="3333750"/>
                    </a:xfrm>
                    <a:prstGeom prst="rect">
                      <a:avLst/>
                    </a:prstGeom>
                  </pic:spPr>
                </pic:pic>
              </a:graphicData>
            </a:graphic>
          </wp:inline>
        </w:drawing>
      </w:r>
    </w:p>
    <w:p>
      <w:pPr>
        <w:spacing w:after="180"/>
        <w:jc w:val="center"/>
      </w:pPr>
      <w:r>
        <w:rPr>
          <w:b/>
          <w:bCs/>
          <w:color w:val="5B6670"/>
          <w:sz w:val="17"/>
          <w:szCs w:val="17"/>
        </w:rPr>
        <w:t xml:space="preserve">Figure 32. </w:t>
      </w:r>
      <w:r>
        <w:rPr>
          <w:i/>
          <w:iCs/>
          <w:color w:val="5B6670"/>
          <w:sz w:val="17"/>
          <w:szCs w:val="17"/>
        </w:rPr>
        <w:t xml:space="preserve">Completed form PDFs.</w:t>
      </w:r>
    </w:p>
    <w:p>
      <w:pPr>
        <w:pStyle w:val="ListParagraph"/>
        <w:numPr>
          <w:ilvl w:val="0"/>
          <w:numId w:val="32"/>
        </w:numPr>
        <w:spacing w:after="80" w:line="276"/>
      </w:pPr>
      <w:r>
        <w:t xml:space="preserve">Select </w:t>
      </w:r>
      <w:r>
        <w:rPr>
          <w:b/>
          <w:bCs/>
        </w:rPr>
        <w:t xml:space="preserve">Download PDF</w:t>
      </w:r>
      <w:r>
        <w:t xml:space="preserve"> to save a readable copy: sections, questions, the chosen answers as words (not codes) and repeated groups.</w:t>
      </w:r>
    </w:p>
    <w:p>
      <w:pPr>
        <w:pStyle w:val="ListParagraph"/>
        <w:numPr>
          <w:ilvl w:val="0"/>
          <w:numId w:val="32"/>
        </w:numPr>
        <w:spacing w:after="80" w:line="276"/>
      </w:pPr>
      <w:r>
        <w:t xml:space="preserve">Select </w:t>
      </w:r>
      <w:r>
        <w:rPr>
          <w:b/>
          <w:bCs/>
        </w:rPr>
        <w:t xml:space="preserve">Email to me</w:t>
      </w:r>
      <w:r>
        <w:t xml:space="preserve"> to send the PDF to the email address on your account.</w:t>
      </w:r>
    </w:p>
    <w:p>
      <w:pPr>
        <w:pStyle w:val="ListParagraph"/>
        <w:numPr>
          <w:ilvl w:val="0"/>
          <w:numId w:val="32"/>
        </w:numPr>
        <w:spacing w:after="80" w:line="276"/>
      </w:pPr>
      <w:r>
        <w:t xml:space="preserve">For the questionnaire only, select </w:t>
      </w:r>
      <w:r>
        <w:rPr>
          <w:b/>
          <w:bCs/>
        </w:rPr>
        <w:t xml:space="preserve">Email to respondent</w:t>
      </w:r>
      <w:r>
        <w:t xml:space="preserve"> to send the respondent a copy of their own answers at the email address recorded on the case (only while their consent stands). You are asked to confirm first. Every email is audited with the address masked.</w:t>
      </w:r>
    </w:p>
    <w:p>
      <w:pPr>
        <w:spacing w:after="80"/>
      </w:pPr>
    </w:p>
    <w:p>
      <w:pPr>
        <w:spacing w:after="120" w:line="288"/>
      </w:pPr>
      <w:r>
        <w:t xml:space="preserve">At the top of the page, a sync panel shows whether the portal holds the same forms as KoboToolbox, for example “✓ In sync with KoboToolbox — KoboToolbox holds 12 · the portal holds 12”. Each row also says “✓ saved in portal” once the portal has an identical copy. If the panel says “Not in sync”, select </w:t>
      </w:r>
      <w:r>
        <w:rPr>
          <w:b/>
          <w:bCs/>
        </w:rPr>
        <w:t xml:space="preserve">Sync now</w:t>
      </w:r>
      <w:r>
        <w:t xml:space="preserve"> (read-only roles see the panel but not the button); it takes a few seconds.</w:t>
      </w:r>
    </w:p>
    <w:p>
      <w:pPr>
        <w:spacing w:after="120" w:line="288"/>
      </w:pPr>
      <w:r>
        <w:t xml:space="preserve">The same PDF is available from the record itself: the case page (questionnaire), the KII page (KII Guide) or the document page (coding form).</w:t>
      </w: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How the sync works</w:t>
            </w:r>
          </w:p>
          <w:p>
            <w:pPr>
              <w:spacing w:after="40" w:line="264"/>
            </w:pPr>
            <w:r>
              <w:rPr>
                <w:sz w:val="19"/>
                <w:szCs w:val="19"/>
              </w:rPr>
              <w:t xml:space="preserve">The portal keeps its own copy of the questionnaire, KII Guide and Document Analysis Tool, and refreshes it every 15 minutes and whenever someone selects Sync now. A submission edited in KoboToolbox is updated here; one deleted in KoboToolbox is flagged as removed. You never need to sync before downloading a PDF: the PDF is always read from KoboToolbox at that moment.</w:t>
            </w:r>
          </w:p>
        </w:tc>
      </w:tr>
    </w:tbl>
    <w:p>
      <w:pPr>
        <w:pStyle w:val="Heading2"/>
      </w:pPr>
      <w:r>
        <w:t xml:space="preserve">4.25 Logging fieldwork costs</w:t>
      </w:r>
    </w:p>
    <w:p>
      <w:pPr>
        <w:pStyle w:val="ListParagraph"/>
        <w:numPr>
          <w:ilvl w:val="0"/>
          <w:numId w:val="33"/>
        </w:numPr>
        <w:spacing w:after="80" w:line="276"/>
      </w:pPr>
      <w:r>
        <w:t xml:space="preserve">Select </w:t>
      </w:r>
      <w:r>
        <w:rPr>
          <w:b/>
          <w:bCs/>
        </w:rPr>
        <w:t xml:space="preserve">Cost</w:t>
      </w:r>
      <w:r>
        <w:t xml:space="preserve">. The top shows total spend, cost per QA-passed questionnaire and cost per completed KII, with spend by category.</w:t>
      </w:r>
    </w:p>
    <w:p>
      <w:pPr>
        <w:keepNext/>
        <w:spacing w:after="40" w:before="80"/>
        <w:jc w:val="center"/>
      </w:pPr>
      <w:r>
        <w:drawing>
          <wp:inline distT="0" distB="0" distL="0" distR="0">
            <wp:extent cx="5334000" cy="3752850"/>
            <wp:effectExtent t="0" r="0" b="0" l="0"/>
            <wp:docPr id="1" name="adm_cost.jpg" descr="Cost Dashboard and the Log a cost event form." title="Cost Dashboard and the Log a cost event for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5334000" cy="3752850"/>
                    </a:xfrm>
                    <a:prstGeom prst="rect">
                      <a:avLst/>
                    </a:prstGeom>
                  </pic:spPr>
                </pic:pic>
              </a:graphicData>
            </a:graphic>
          </wp:inline>
        </w:drawing>
      </w:r>
    </w:p>
    <w:p>
      <w:pPr>
        <w:spacing w:after="180"/>
        <w:jc w:val="center"/>
      </w:pPr>
      <w:r>
        <w:rPr>
          <w:b/>
          <w:bCs/>
          <w:color w:val="5B6670"/>
          <w:sz w:val="17"/>
          <w:szCs w:val="17"/>
        </w:rPr>
        <w:t xml:space="preserve">Figure 33. </w:t>
      </w:r>
      <w:r>
        <w:rPr>
          <w:i/>
          <w:iCs/>
          <w:color w:val="5B6670"/>
          <w:sz w:val="17"/>
          <w:szCs w:val="17"/>
        </w:rPr>
        <w:t xml:space="preserve">Cost Dashboard and the Log a cost event form.</w:t>
      </w:r>
    </w:p>
    <w:p>
      <w:pPr>
        <w:pStyle w:val="ListParagraph"/>
        <w:numPr>
          <w:ilvl w:val="0"/>
          <w:numId w:val="33"/>
        </w:numPr>
        <w:spacing w:after="80" w:line="276"/>
      </w:pPr>
      <w:r>
        <w:t xml:space="preserve">In </w:t>
      </w:r>
      <w:r>
        <w:rPr>
          <w:b/>
          <w:bCs/>
        </w:rPr>
        <w:t xml:space="preserve">Log a cost event</w:t>
      </w:r>
      <w:r>
        <w:t xml:space="preserve">, enter the date, choose the category (RA_ALLOWANCE, AIRTIME_DATA, TRANSPORT, ACCOMMODATION, HOSTING, MESSAGING, OTHER) and the amount in USD.</w:t>
      </w:r>
    </w:p>
    <w:p>
      <w:pPr>
        <w:pStyle w:val="ListParagraph"/>
        <w:numPr>
          <w:ilvl w:val="0"/>
          <w:numId w:val="33"/>
        </w:numPr>
        <w:spacing w:after="80" w:line="276"/>
      </w:pPr>
      <w:r>
        <w:t xml:space="preserve">Select </w:t>
      </w:r>
      <w:r>
        <w:rPr>
          <w:b/>
          <w:bCs/>
        </w:rPr>
        <w:t xml:space="preserve">Log cost</w:t>
      </w:r>
      <w:r>
        <w:t xml:space="preserve">. Keep the receipt as the study's finance rules require.</w:t>
      </w:r>
    </w:p>
    <w:p>
      <w:pPr>
        <w:spacing w:after="80"/>
      </w:pPr>
    </w:p>
    <w:p>
      <w:pPr>
        <w:pStyle w:val="Heading2"/>
      </w:pPr>
      <w:r>
        <w:t xml:space="preserve">4.26 Downloading data</w:t>
      </w:r>
    </w:p>
    <w:p>
      <w:pPr>
        <w:keepNext/>
        <w:spacing w:after="40" w:before="80"/>
        <w:jc w:val="center"/>
      </w:pPr>
      <w:r>
        <w:drawing>
          <wp:inline distT="0" distB="0" distL="0" distR="0">
            <wp:extent cx="5715000" cy="3657600"/>
            <wp:effectExtent t="0" r="0" b="0" l="0"/>
            <wp:docPr id="1" name="adm_export.jpg" descr="Data Export." title="Data Expo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5715000" cy="3657600"/>
                    </a:xfrm>
                    <a:prstGeom prst="rect">
                      <a:avLst/>
                    </a:prstGeom>
                  </pic:spPr>
                </pic:pic>
              </a:graphicData>
            </a:graphic>
          </wp:inline>
        </w:drawing>
      </w:r>
    </w:p>
    <w:p>
      <w:pPr>
        <w:spacing w:after="180"/>
        <w:jc w:val="center"/>
      </w:pPr>
      <w:r>
        <w:rPr>
          <w:b/>
          <w:bCs/>
          <w:color w:val="5B6670"/>
          <w:sz w:val="17"/>
          <w:szCs w:val="17"/>
        </w:rPr>
        <w:t xml:space="preserve">Figure 34. </w:t>
      </w:r>
      <w:r>
        <w:rPr>
          <w:i/>
          <w:iCs/>
          <w:color w:val="5B6670"/>
          <w:sz w:val="17"/>
          <w:szCs w:val="17"/>
        </w:rPr>
        <w:t xml:space="preserve">Data Export.</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2541"/>
        <w:gridCol w:w="4988"/>
        <w:gridCol w:w="1883"/>
      </w:tblGrid>
      <w:tr>
        <w:trPr>
          <w:tblHeader/>
        </w:trPr>
        <w:tc>
          <w:tcPr>
            <w:tcW w:type="dxa" w:w="2541"/>
            <w:shd w:fill="1B3350" w:color="auto" w:val="clear"/>
            <w:tcMar>
              <w:top w:type="dxa" w:w="70"/>
              <w:left w:type="dxa" w:w="110"/>
              <w:bottom w:type="dxa" w:w="70"/>
              <w:right w:type="dxa" w:w="110"/>
            </w:tcMar>
            <w:vAlign w:val="top"/>
          </w:tcPr>
          <w:p>
            <w:pPr>
              <w:spacing w:after="40"/>
            </w:pPr>
            <w:r>
              <w:rPr>
                <w:b/>
                <w:bCs/>
                <w:color w:val="FFFFFF"/>
                <w:sz w:val="19"/>
                <w:szCs w:val="19"/>
              </w:rPr>
              <w:t xml:space="preserve">Download</w:t>
            </w:r>
          </w:p>
        </w:tc>
        <w:tc>
          <w:tcPr>
            <w:tcW w:type="dxa" w:w="4988"/>
            <w:shd w:fill="1B3350" w:color="auto" w:val="clear"/>
            <w:tcMar>
              <w:top w:type="dxa" w:w="70"/>
              <w:left w:type="dxa" w:w="110"/>
              <w:bottom w:type="dxa" w:w="70"/>
              <w:right w:type="dxa" w:w="110"/>
            </w:tcMar>
            <w:vAlign w:val="top"/>
          </w:tcPr>
          <w:p>
            <w:pPr>
              <w:spacing w:after="40"/>
            </w:pPr>
            <w:r>
              <w:rPr>
                <w:b/>
                <w:bCs/>
                <w:color w:val="FFFFFF"/>
                <w:sz w:val="19"/>
                <w:szCs w:val="19"/>
              </w:rPr>
              <w:t xml:space="preserve">Contains</w:t>
            </w:r>
          </w:p>
        </w:tc>
        <w:tc>
          <w:tcPr>
            <w:tcW w:type="dxa" w:w="1883"/>
            <w:shd w:fill="1B3350" w:color="auto" w:val="clear"/>
            <w:tcMar>
              <w:top w:type="dxa" w:w="70"/>
              <w:left w:type="dxa" w:w="110"/>
              <w:bottom w:type="dxa" w:w="70"/>
              <w:right w:type="dxa" w:w="110"/>
            </w:tcMar>
            <w:vAlign w:val="top"/>
          </w:tcPr>
          <w:p>
            <w:pPr>
              <w:spacing w:after="40"/>
            </w:pPr>
            <w:r>
              <w:rPr>
                <w:b/>
                <w:bCs/>
                <w:color w:val="FFFFFF"/>
                <w:sz w:val="19"/>
                <w:szCs w:val="19"/>
              </w:rPr>
              <w:t xml:space="preserve">Who</w:t>
            </w:r>
          </w:p>
        </w:tc>
      </w:tr>
      <w:tr>
        <w:trPr>
          <w:cantSplit/>
        </w:trPr>
        <w:tc>
          <w:tcPr>
            <w:tcW w:type="dxa" w:w="2541"/>
            <w:tcMar>
              <w:top w:type="dxa" w:w="70"/>
              <w:left w:type="dxa" w:w="110"/>
              <w:bottom w:type="dxa" w:w="70"/>
              <w:right w:type="dxa" w:w="110"/>
            </w:tcMar>
            <w:vAlign w:val="top"/>
          </w:tcPr>
          <w:p>
            <w:pPr>
              <w:spacing w:after="40"/>
            </w:pPr>
            <w:r>
              <w:rPr>
                <w:b w:val="false"/>
                <w:bCs w:val="false"/>
                <w:sz w:val="19"/>
                <w:szCs w:val="19"/>
              </w:rPr>
              <w:t xml:space="preserve">De-identified analysis export (CSV)</w:t>
            </w:r>
          </w:p>
        </w:tc>
        <w:tc>
          <w:tcPr>
            <w:tcW w:type="dxa" w:w="4988"/>
            <w:tcMar>
              <w:top w:type="dxa" w:w="70"/>
              <w:left w:type="dxa" w:w="110"/>
              <w:bottom w:type="dxa" w:w="70"/>
              <w:right w:type="dxa" w:w="110"/>
            </w:tcMar>
            <w:vAlign w:val="top"/>
          </w:tcPr>
          <w:p>
            <w:pPr>
              <w:spacing w:after="40"/>
            </w:pPr>
            <w:r>
              <w:rPr>
                <w:b w:val="false"/>
                <w:bCs w:val="false"/>
                <w:sz w:val="19"/>
                <w:szCs w:val="19"/>
              </w:rPr>
              <w:t xml:space="preserve">One row per questionnaire: sample_id, master_id, province, actor_family, value_chain, size_class, administration_mode, qa_status, submitted_at, completion_seconds. No names or contact details. Participants who withdrew are left out.</w:t>
            </w:r>
          </w:p>
        </w:tc>
        <w:tc>
          <w:tcPr>
            <w:tcW w:type="dxa" w:w="1883"/>
            <w:tcMar>
              <w:top w:type="dxa" w:w="70"/>
              <w:left w:type="dxa" w:w="110"/>
              <w:bottom w:type="dxa" w:w="70"/>
              <w:right w:type="dxa" w:w="110"/>
            </w:tcMar>
            <w:vAlign w:val="top"/>
          </w:tcPr>
          <w:p>
            <w:pPr>
              <w:spacing w:after="40"/>
            </w:pPr>
            <w:r>
              <w:rPr>
                <w:b w:val="false"/>
                <w:bCs w:val="false"/>
                <w:sz w:val="19"/>
                <w:szCs w:val="19"/>
              </w:rPr>
              <w:t xml:space="preserve">PI, Field Coordinator, Analyst</w:t>
            </w:r>
          </w:p>
        </w:tc>
      </w:tr>
      <w:tr>
        <w:trPr>
          <w:cantSplit/>
        </w:trPr>
        <w:tc>
          <w:tcPr>
            <w:tcW w:type="dxa" w:w="2541"/>
            <w:shd w:fill="F8FAFB" w:color="auto" w:val="clear"/>
            <w:tcMar>
              <w:top w:type="dxa" w:w="70"/>
              <w:left w:type="dxa" w:w="110"/>
              <w:bottom w:type="dxa" w:w="70"/>
              <w:right w:type="dxa" w:w="110"/>
            </w:tcMar>
            <w:vAlign w:val="top"/>
          </w:tcPr>
          <w:p>
            <w:pPr>
              <w:spacing w:after="40"/>
            </w:pPr>
            <w:r>
              <w:rPr>
                <w:b w:val="false"/>
                <w:bCs w:val="false"/>
                <w:sz w:val="19"/>
                <w:szCs w:val="19"/>
              </w:rPr>
              <w:t xml:space="preserve">Full operational export (CSV)</w:t>
            </w:r>
          </w:p>
        </w:tc>
        <w:tc>
          <w:tcPr>
            <w:tcW w:type="dxa" w:w="4988"/>
            <w:shd w:fill="F8FAFB" w:color="auto" w:val="clear"/>
            <w:tcMar>
              <w:top w:type="dxa" w:w="70"/>
              <w:left w:type="dxa" w:w="110"/>
              <w:bottom w:type="dxa" w:w="70"/>
              <w:right w:type="dxa" w:w="110"/>
            </w:tcMar>
            <w:vAlign w:val="top"/>
          </w:tcPr>
          <w:p>
            <w:pPr>
              <w:spacing w:after="40"/>
            </w:pPr>
            <w:r>
              <w:rPr>
                <w:b w:val="false"/>
                <w:bCs w:val="false"/>
                <w:sz w:val="19"/>
                <w:szCs w:val="19"/>
              </w:rPr>
              <w:t xml:space="preserve">Every questionnaire, including withdrawn ones (consent_withdrawn), plus organisation name, respondent name, phone, email and gatekeeper details. Internal operations only.</w:t>
            </w:r>
          </w:p>
        </w:tc>
        <w:tc>
          <w:tcPr>
            <w:tcW w:type="dxa" w:w="1883"/>
            <w:shd w:fill="F8FAFB" w:color="auto" w:val="clear"/>
            <w:tcMar>
              <w:top w:type="dxa" w:w="70"/>
              <w:left w:type="dxa" w:w="110"/>
              <w:bottom w:type="dxa" w:w="70"/>
              <w:right w:type="dxa" w:w="110"/>
            </w:tcMar>
            <w:vAlign w:val="top"/>
          </w:tcPr>
          <w:p>
            <w:pPr>
              <w:spacing w:after="40"/>
            </w:pPr>
            <w:r>
              <w:rPr>
                <w:b w:val="false"/>
                <w:bCs w:val="false"/>
                <w:sz w:val="19"/>
                <w:szCs w:val="19"/>
              </w:rPr>
              <w:t xml:space="preserve">PI only</w:t>
            </w:r>
          </w:p>
        </w:tc>
      </w:tr>
      <w:tr>
        <w:trPr>
          <w:cantSplit/>
        </w:trPr>
        <w:tc>
          <w:tcPr>
            <w:tcW w:type="dxa" w:w="2541"/>
            <w:tcMar>
              <w:top w:type="dxa" w:w="70"/>
              <w:left w:type="dxa" w:w="110"/>
              <w:bottom w:type="dxa" w:w="70"/>
              <w:right w:type="dxa" w:w="110"/>
            </w:tcMar>
            <w:vAlign w:val="top"/>
          </w:tcPr>
          <w:p>
            <w:pPr>
              <w:spacing w:after="40"/>
            </w:pPr>
            <w:r>
              <w:rPr>
                <w:b w:val="false"/>
                <w:bCs w:val="false"/>
                <w:sz w:val="19"/>
                <w:szCs w:val="19"/>
              </w:rPr>
              <w:t xml:space="preserve">Respondents and outreach (Excel)</w:t>
            </w:r>
          </w:p>
        </w:tc>
        <w:tc>
          <w:tcPr>
            <w:tcW w:type="dxa" w:w="4988"/>
            <w:tcMar>
              <w:top w:type="dxa" w:w="70"/>
              <w:left w:type="dxa" w:w="110"/>
              <w:bottom w:type="dxa" w:w="70"/>
              <w:right w:type="dxa" w:w="110"/>
            </w:tcMar>
            <w:vAlign w:val="top"/>
          </w:tcPr>
          <w:p>
            <w:pPr>
              <w:spacing w:after="40"/>
            </w:pPr>
            <w:r>
              <w:rPr>
                <w:b w:val="false"/>
                <w:bCs w:val="false"/>
                <w:sz w:val="19"/>
                <w:szCs w:val="19"/>
              </w:rPr>
              <w:t xml:space="preserve">Everyone the study can contact or has contacted, not only those who submitted. Sheet 1: every Main-400 respondent (one row per person, and a row for a case with nobody recorded yet) with phone, WhatsApp, email, gatekeeper, the latest invitation (channel, date, who sent it, status, whether the portal emailed it), reminders marked as sent and the last contact attempt. Sheet 2: every KII informant with contact details and latest invitation. Sheet 3: a log of every invitation ever sent. A WhatsApp invitation is recorded when it is created; WhatsApp does not tell the portal whether it was delivered or read.</w:t>
            </w:r>
          </w:p>
        </w:tc>
        <w:tc>
          <w:tcPr>
            <w:tcW w:type="dxa" w:w="1883"/>
            <w:tcMar>
              <w:top w:type="dxa" w:w="70"/>
              <w:left w:type="dxa" w:w="110"/>
              <w:bottom w:type="dxa" w:w="70"/>
              <w:right w:type="dxa" w:w="110"/>
            </w:tcMar>
            <w:vAlign w:val="top"/>
          </w:tcPr>
          <w:p>
            <w:pPr>
              <w:spacing w:after="40"/>
            </w:pPr>
            <w:r>
              <w:rPr>
                <w:b w:val="false"/>
                <w:bCs w:val="false"/>
                <w:sz w:val="19"/>
                <w:szCs w:val="19"/>
              </w:rPr>
              <w:t xml:space="preserve">PI only</w:t>
            </w:r>
          </w:p>
        </w:tc>
      </w:tr>
      <w:tr>
        <w:trPr>
          <w:cantSplit/>
        </w:trPr>
        <w:tc>
          <w:tcPr>
            <w:tcW w:type="dxa" w:w="2541"/>
            <w:shd w:fill="F8FAFB" w:color="auto" w:val="clear"/>
            <w:tcMar>
              <w:top w:type="dxa" w:w="70"/>
              <w:left w:type="dxa" w:w="110"/>
              <w:bottom w:type="dxa" w:w="70"/>
              <w:right w:type="dxa" w:w="110"/>
            </w:tcMar>
            <w:vAlign w:val="top"/>
          </w:tcPr>
          <w:p>
            <w:pPr>
              <w:spacing w:after="40"/>
            </w:pPr>
            <w:r>
              <w:rPr>
                <w:b w:val="false"/>
                <w:bCs w:val="false"/>
                <w:sz w:val="19"/>
                <w:szCs w:val="19"/>
              </w:rPr>
              <w:t xml:space="preserve">KoboToolbox data: Excel workbook</w:t>
            </w:r>
          </w:p>
        </w:tc>
        <w:tc>
          <w:tcPr>
            <w:tcW w:type="dxa" w:w="4988"/>
            <w:shd w:fill="F8FAFB" w:color="auto" w:val="clear"/>
            <w:tcMar>
              <w:top w:type="dxa" w:w="70"/>
              <w:left w:type="dxa" w:w="110"/>
              <w:bottom w:type="dxa" w:w="70"/>
              <w:right w:type="dxa" w:w="110"/>
            </w:tcMar>
            <w:vAlign w:val="top"/>
          </w:tcPr>
          <w:p>
            <w:pPr>
              <w:spacing w:after="40"/>
            </w:pPr>
            <w:r>
              <w:rPr>
                <w:b w:val="false"/>
                <w:bCs w:val="false"/>
                <w:sz w:val="19"/>
                <w:szCs w:val="19"/>
              </w:rPr>
              <w:t xml:space="preserve">Every submission's answers for one form: data_codes (codes for SPSS/Stata/R), data_labels, a sheet per repeat group, the questions dictionary, the choices lists, and for the questionnaire the matched case, QA status, withdrawal flag and workflow status.</w:t>
            </w:r>
          </w:p>
        </w:tc>
        <w:tc>
          <w:tcPr>
            <w:tcW w:type="dxa" w:w="1883"/>
            <w:shd w:fill="F8FAFB" w:color="auto" w:val="clear"/>
            <w:tcMar>
              <w:top w:type="dxa" w:w="70"/>
              <w:left w:type="dxa" w:w="110"/>
              <w:bottom w:type="dxa" w:w="70"/>
              <w:right w:type="dxa" w:w="110"/>
            </w:tcMar>
            <w:vAlign w:val="top"/>
          </w:tcPr>
          <w:p>
            <w:pPr>
              <w:spacing w:after="40"/>
            </w:pPr>
            <w:r>
              <w:rPr>
                <w:b w:val="false"/>
                <w:bCs w:val="false"/>
                <w:sz w:val="19"/>
                <w:szCs w:val="19"/>
              </w:rPr>
              <w:t xml:space="preserve">PI only</w:t>
            </w:r>
          </w:p>
        </w:tc>
      </w:tr>
      <w:tr>
        <w:trPr>
          <w:cantSplit/>
        </w:trPr>
        <w:tc>
          <w:tcPr>
            <w:tcW w:type="dxa" w:w="2541"/>
            <w:tcMar>
              <w:top w:type="dxa" w:w="70"/>
              <w:left w:type="dxa" w:w="110"/>
              <w:bottom w:type="dxa" w:w="70"/>
              <w:right w:type="dxa" w:w="110"/>
            </w:tcMar>
            <w:vAlign w:val="top"/>
          </w:tcPr>
          <w:p>
            <w:pPr>
              <w:spacing w:after="40"/>
            </w:pPr>
            <w:r>
              <w:rPr>
                <w:b w:val="false"/>
                <w:bCs w:val="false"/>
                <w:sz w:val="19"/>
                <w:szCs w:val="19"/>
              </w:rPr>
              <w:t xml:space="preserve">KoboToolbox data: All completed forms (PDF ZIP)</w:t>
            </w:r>
          </w:p>
        </w:tc>
        <w:tc>
          <w:tcPr>
            <w:tcW w:type="dxa" w:w="4988"/>
            <w:tcMar>
              <w:top w:type="dxa" w:w="70"/>
              <w:left w:type="dxa" w:w="110"/>
              <w:bottom w:type="dxa" w:w="70"/>
              <w:right w:type="dxa" w:w="110"/>
            </w:tcMar>
            <w:vAlign w:val="top"/>
          </w:tcPr>
          <w:p>
            <w:pPr>
              <w:spacing w:after="40"/>
            </w:pPr>
            <w:r>
              <w:rPr>
                <w:b w:val="false"/>
                <w:bCs w:val="false"/>
                <w:sz w:val="19"/>
                <w:szCs w:val="19"/>
              </w:rPr>
              <w:t xml:space="preserve">Every completed form as a PDF, with manifest.csv listing file, record, KoboToolbox id and submission time.</w:t>
            </w:r>
          </w:p>
        </w:tc>
        <w:tc>
          <w:tcPr>
            <w:tcW w:type="dxa" w:w="1883"/>
            <w:tcMar>
              <w:top w:type="dxa" w:w="70"/>
              <w:left w:type="dxa" w:w="110"/>
              <w:bottom w:type="dxa" w:w="70"/>
              <w:right w:type="dxa" w:w="110"/>
            </w:tcMar>
            <w:vAlign w:val="top"/>
          </w:tcPr>
          <w:p>
            <w:pPr>
              <w:spacing w:after="40"/>
            </w:pPr>
            <w:r>
              <w:rPr>
                <w:b w:val="false"/>
                <w:bCs w:val="false"/>
                <w:sz w:val="19"/>
                <w:szCs w:val="19"/>
              </w:rPr>
              <w:t xml:space="preserve">PI only</w:t>
            </w:r>
          </w:p>
        </w:tc>
      </w:tr>
      <w:tr>
        <w:trPr>
          <w:cantSplit/>
        </w:trPr>
        <w:tc>
          <w:tcPr>
            <w:tcW w:type="dxa" w:w="2541"/>
            <w:shd w:fill="F8FAFB" w:color="auto" w:val="clear"/>
            <w:tcMar>
              <w:top w:type="dxa" w:w="70"/>
              <w:left w:type="dxa" w:w="110"/>
              <w:bottom w:type="dxa" w:w="70"/>
              <w:right w:type="dxa" w:w="110"/>
            </w:tcMar>
            <w:vAlign w:val="top"/>
          </w:tcPr>
          <w:p>
            <w:pPr>
              <w:spacing w:after="40"/>
            </w:pPr>
            <w:r>
              <w:rPr>
                <w:b w:val="false"/>
                <w:bCs w:val="false"/>
                <w:sz w:val="19"/>
                <w:szCs w:val="19"/>
              </w:rPr>
              <w:t xml:space="preserve">Analysis packs: SmartPLS 4 and ATLAS.ti</w:t>
            </w:r>
          </w:p>
        </w:tc>
        <w:tc>
          <w:tcPr>
            <w:tcW w:type="dxa" w:w="4988"/>
            <w:shd w:fill="F8FAFB" w:color="auto" w:val="clear"/>
            <w:tcMar>
              <w:top w:type="dxa" w:w="70"/>
              <w:left w:type="dxa" w:w="110"/>
              <w:bottom w:type="dxa" w:w="70"/>
              <w:right w:type="dxa" w:w="110"/>
            </w:tcMar>
            <w:vAlign w:val="top"/>
          </w:tcPr>
          <w:p>
            <w:pPr>
              <w:spacing w:after="40"/>
            </w:pPr>
            <w:r>
              <w:rPr>
                <w:b w:val="false"/>
                <w:bCs w:val="false"/>
                <w:sz w:val="19"/>
                <w:szCs w:val="19"/>
              </w:rPr>
              <w:t xml:space="preserve">Three ZIP downloads that open directly in your analysis software. SmartPLS pack: the questionnaire as one numeric row per respondent who passed QA, with a data dictionary and a missing-value code of -99. ATLAS.ti interviews pack: one Word document per key informant interview plus an attribute sheet. ATLAS.ti documents pack: the uploaded source files named by document ID plus an attribute sheet. Each has a README that says how to import it. No names, organisation, job title or contact details; anyone who withdrew consent is left out.</w:t>
            </w:r>
          </w:p>
        </w:tc>
        <w:tc>
          <w:tcPr>
            <w:tcW w:type="dxa" w:w="1883"/>
            <w:shd w:fill="F8FAFB" w:color="auto" w:val="clear"/>
            <w:tcMar>
              <w:top w:type="dxa" w:w="70"/>
              <w:left w:type="dxa" w:w="110"/>
              <w:bottom w:type="dxa" w:w="70"/>
              <w:right w:type="dxa" w:w="110"/>
            </w:tcMar>
            <w:vAlign w:val="top"/>
          </w:tcPr>
          <w:p>
            <w:pPr>
              <w:spacing w:after="40"/>
            </w:pPr>
            <w:r>
              <w:rPr>
                <w:b w:val="false"/>
                <w:bCs w:val="false"/>
                <w:sz w:val="19"/>
                <w:szCs w:val="19"/>
              </w:rPr>
              <w:t xml:space="preserve">PI only</w:t>
            </w:r>
          </w:p>
        </w:tc>
      </w:tr>
    </w:tbl>
    <w:p>
      <w:pPr>
        <w:spacing w:after="120"/>
      </w:pPr>
    </w:p>
    <w:p>
      <w:pPr>
        <w:pStyle w:val="Heading1"/>
        <w:pageBreakBefore/>
      </w:pPr>
      <w:r>
        <w:t xml:space="preserve">5. Rules you must follow</w:t>
      </w:r>
    </w:p>
    <w:p>
      <w:pPr>
        <w:pStyle w:val="ListParagraph"/>
        <w:numPr>
          <w:ilvl w:val="0"/>
          <w:numId w:val="2"/>
        </w:numPr>
        <w:spacing w:after="60" w:line="276"/>
      </w:pPr>
      <w:r>
        <w:t xml:space="preserve">Record a withdrawal the same day you hear of it.</w:t>
      </w:r>
    </w:p>
    <w:p>
      <w:pPr>
        <w:pStyle w:val="ListParagraph"/>
        <w:numPr>
          <w:ilvl w:val="0"/>
          <w:numId w:val="2"/>
        </w:numPr>
        <w:spacing w:after="60" w:line="276"/>
      </w:pPr>
      <w:r>
        <w:t xml:space="preserve">Activate a Reserve only with an authorised reason and written evidence.</w:t>
      </w:r>
    </w:p>
    <w:p>
      <w:pPr>
        <w:pStyle w:val="ListParagraph"/>
        <w:numPr>
          <w:ilvl w:val="0"/>
          <w:numId w:val="2"/>
        </w:numPr>
        <w:spacing w:after="60" w:line="276"/>
      </w:pPr>
      <w:r>
        <w:t xml:space="preserve">Treat everything in the portal as </w:t>
      </w:r>
      <w:r>
        <w:rPr>
          <w:b/>
          <w:bCs/>
        </w:rPr>
        <w:t xml:space="preserve">confidential research data</w:t>
      </w:r>
      <w:r>
        <w:t xml:space="preserve">. Do not screenshot, copy, print or forward names, phone numbers, email addresses or answers except as your role requires.</w:t>
      </w:r>
    </w:p>
    <w:p>
      <w:pPr>
        <w:pStyle w:val="ListParagraph"/>
        <w:numPr>
          <w:ilvl w:val="0"/>
          <w:numId w:val="2"/>
        </w:numPr>
        <w:spacing w:after="60" w:line="276"/>
      </w:pPr>
      <w:r>
        <w:t xml:space="preserve">Never share your username or password, and never sign in for someone else.</w:t>
      </w:r>
    </w:p>
    <w:p>
      <w:pPr>
        <w:pStyle w:val="ListParagraph"/>
        <w:numPr>
          <w:ilvl w:val="0"/>
          <w:numId w:val="2"/>
        </w:numPr>
        <w:spacing w:after="60" w:line="276"/>
      </w:pPr>
      <w:r>
        <w:t xml:space="preserve">Use the respondent's contact details </w:t>
      </w:r>
      <w:r>
        <w:rPr>
          <w:b/>
          <w:bCs/>
        </w:rPr>
        <w:t xml:space="preserve">only</w:t>
      </w:r>
      <w:r>
        <w:t xml:space="preserve"> to manage their participation in this study (invitations, reminders, appointments).</w:t>
      </w:r>
    </w:p>
    <w:p>
      <w:pPr>
        <w:pStyle w:val="ListParagraph"/>
        <w:numPr>
          <w:ilvl w:val="0"/>
          <w:numId w:val="2"/>
        </w:numPr>
        <w:spacing w:after="60" w:line="276"/>
      </w:pPr>
      <w:r>
        <w:t xml:space="preserve">Never tell a respondent, lender or anyone else that answers affect financing. The study generates </w:t>
      </w:r>
      <w:r>
        <w:rPr>
          <w:b/>
          <w:bCs/>
        </w:rPr>
        <w:t xml:space="preserve">no score, rating or financing decision</w:t>
      </w:r>
      <w:r>
        <w:t xml:space="preserve">.</w:t>
      </w:r>
    </w:p>
    <w:p>
      <w:pPr>
        <w:pStyle w:val="ListParagraph"/>
        <w:numPr>
          <w:ilvl w:val="0"/>
          <w:numId w:val="2"/>
        </w:numPr>
        <w:spacing w:after="60" w:line="276"/>
      </w:pPr>
      <w:r>
        <w:t xml:space="preserve">If a respondent asks to withdraw, stop contacting them and tell the Field Coordinator or PI the same day so the withdrawal is recorded.</w:t>
      </w:r>
    </w:p>
    <w:p>
      <w:pPr>
        <w:pStyle w:val="ListParagraph"/>
        <w:numPr>
          <w:ilvl w:val="0"/>
          <w:numId w:val="2"/>
        </w:numPr>
        <w:spacing w:after="60" w:line="276"/>
      </w:pPr>
      <w:r>
        <w:t xml:space="preserve">Report a lost device, a suspected account compromise, or data sent to the wrong person to the PI immediately.</w:t>
      </w:r>
    </w:p>
    <w:p>
      <w:pPr>
        <w:spacing w:after="60"/>
      </w:pPr>
    </w:p>
    <w:p>
      <w:pPr>
        <w:pStyle w:val="Heading1"/>
        <w:pageBreakBefore/>
      </w:pPr>
      <w:r>
        <w:t xml:space="preserve">6. Troubleshooting</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2635"/>
        <w:gridCol w:w="3200"/>
        <w:gridCol w:w="3577"/>
      </w:tblGrid>
      <w:tr>
        <w:trPr>
          <w:tblHeader/>
        </w:trPr>
        <w:tc>
          <w:tcPr>
            <w:tcW w:type="dxa" w:w="2635"/>
            <w:shd w:fill="1B3350" w:color="auto" w:val="clear"/>
            <w:tcMar>
              <w:top w:type="dxa" w:w="70"/>
              <w:left w:type="dxa" w:w="110"/>
              <w:bottom w:type="dxa" w:w="70"/>
              <w:right w:type="dxa" w:w="110"/>
            </w:tcMar>
            <w:vAlign w:val="top"/>
          </w:tcPr>
          <w:p>
            <w:pPr>
              <w:spacing w:after="40"/>
            </w:pPr>
            <w:r>
              <w:rPr>
                <w:b/>
                <w:bCs/>
                <w:color w:val="FFFFFF"/>
                <w:sz w:val="19"/>
                <w:szCs w:val="19"/>
              </w:rPr>
              <w:t xml:space="preserve">Situation</w:t>
            </w:r>
          </w:p>
        </w:tc>
        <w:tc>
          <w:tcPr>
            <w:tcW w:type="dxa" w:w="3200"/>
            <w:shd w:fill="1B3350" w:color="auto" w:val="clear"/>
            <w:tcMar>
              <w:top w:type="dxa" w:w="70"/>
              <w:left w:type="dxa" w:w="110"/>
              <w:bottom w:type="dxa" w:w="70"/>
              <w:right w:type="dxa" w:w="110"/>
            </w:tcMar>
            <w:vAlign w:val="top"/>
          </w:tcPr>
          <w:p>
            <w:pPr>
              <w:spacing w:after="40"/>
            </w:pPr>
            <w:r>
              <w:rPr>
                <w:b/>
                <w:bCs/>
                <w:color w:val="FFFFFF"/>
                <w:sz w:val="19"/>
                <w:szCs w:val="19"/>
              </w:rPr>
              <w:t xml:space="preserve">Likely cause</w:t>
            </w:r>
          </w:p>
        </w:tc>
        <w:tc>
          <w:tcPr>
            <w:tcW w:type="dxa" w:w="3577"/>
            <w:shd w:fill="1B3350" w:color="auto" w:val="clear"/>
            <w:tcMar>
              <w:top w:type="dxa" w:w="70"/>
              <w:left w:type="dxa" w:w="110"/>
              <w:bottom w:type="dxa" w:w="70"/>
              <w:right w:type="dxa" w:w="110"/>
            </w:tcMar>
            <w:vAlign w:val="top"/>
          </w:tcPr>
          <w:p>
            <w:pPr>
              <w:spacing w:after="40"/>
            </w:pPr>
            <w:r>
              <w:rPr>
                <w:b/>
                <w:bCs/>
                <w:color w:val="FFFFFF"/>
                <w:sz w:val="19"/>
                <w:szCs w:val="19"/>
              </w:rPr>
              <w:t xml:space="preserve">What to do</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"Move all" shows 0</w:t>
            </w:r>
          </w:p>
        </w:tc>
        <w:tc>
          <w:tcPr>
            <w:tcW w:type="dxa" w:w="3200"/>
            <w:tcMar>
              <w:top w:type="dxa" w:w="70"/>
              <w:left w:type="dxa" w:w="110"/>
              <w:bottom w:type="dxa" w:w="70"/>
              <w:right w:type="dxa" w:w="110"/>
            </w:tcMar>
            <w:vAlign w:val="top"/>
          </w:tcPr>
          <w:p>
            <w:pPr>
              <w:spacing w:after="40"/>
            </w:pPr>
            <w:r>
              <w:rPr>
                <w:b w:val="false"/>
                <w:bCs w:val="false"/>
                <w:sz w:val="19"/>
                <w:szCs w:val="19"/>
              </w:rPr>
              <w:t xml:space="preserve">No Main cases are at that step.</w:t>
            </w:r>
          </w:p>
        </w:tc>
        <w:tc>
          <w:tcPr>
            <w:tcW w:type="dxa" w:w="3577"/>
            <w:tcMar>
              <w:top w:type="dxa" w:w="70"/>
              <w:left w:type="dxa" w:w="110"/>
              <w:bottom w:type="dxa" w:w="70"/>
              <w:right w:type="dxa" w:w="110"/>
            </w:tcMar>
            <w:vAlign w:val="top"/>
          </w:tcPr>
          <w:p>
            <w:pPr>
              <w:spacing w:after="40"/>
            </w:pPr>
            <w:r>
              <w:rPr>
                <w:b w:val="false"/>
                <w:bCs w:val="false"/>
                <w:sz w:val="19"/>
                <w:szCs w:val="19"/>
              </w:rPr>
              <w:t xml:space="preserve">Choose the next step in the list.</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A case gets no reminders</w:t>
            </w:r>
          </w:p>
        </w:tc>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It was invited before reaching S03, or has no invitation.</w:t>
            </w:r>
          </w:p>
        </w:tc>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Verify it to S03 and issue a new invitation.</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"This screen isn't part of your role"</w:t>
            </w:r>
          </w:p>
        </w:tc>
        <w:tc>
          <w:tcPr>
            <w:tcW w:type="dxa" w:w="3200"/>
            <w:tcMar>
              <w:top w:type="dxa" w:w="70"/>
              <w:left w:type="dxa" w:w="110"/>
              <w:bottom w:type="dxa" w:w="70"/>
              <w:right w:type="dxa" w:w="110"/>
            </w:tcMar>
            <w:vAlign w:val="top"/>
          </w:tcPr>
          <w:p>
            <w:pPr>
              <w:spacing w:after="40"/>
            </w:pPr>
            <w:r>
              <w:rPr>
                <w:b w:val="false"/>
                <w:bCs w:val="false"/>
                <w:sz w:val="19"/>
                <w:szCs w:val="19"/>
              </w:rPr>
              <w:t xml:space="preserve">The screen belongs to another role (often an old bookmark or shared link).</w:t>
            </w:r>
          </w:p>
        </w:tc>
        <w:tc>
          <w:tcPr>
            <w:tcW w:type="dxa" w:w="3577"/>
            <w:tcMar>
              <w:top w:type="dxa" w:w="70"/>
              <w:left w:type="dxa" w:w="110"/>
              <w:bottom w:type="dxa" w:w="70"/>
              <w:right w:type="dxa" w:w="110"/>
            </w:tcMar>
            <w:vAlign w:val="top"/>
          </w:tcPr>
          <w:p>
            <w:pPr>
              <w:spacing w:after="40"/>
            </w:pPr>
            <w:r>
              <w:rPr>
                <w:b w:val="false"/>
                <w:bCs w:val="false"/>
                <w:sz w:val="19"/>
                <w:szCs w:val="19"/>
              </w:rPr>
              <w:t xml:space="preserve">Select </w:t>
            </w:r>
            <w:r>
              <w:rPr>
                <w:b w:val="false"/>
                <w:bCs w:val="false"/>
                <w:sz w:val="19"/>
                <w:szCs w:val="19"/>
              </w:rPr>
              <w:t xml:space="preserve">Go to my start screen</w:t>
            </w:r>
            <w:r>
              <w:rPr>
                <w:b w:val="false"/>
                <w:bCs w:val="false"/>
                <w:sz w:val="19"/>
                <w:szCs w:val="19"/>
              </w:rPr>
              <w:t xml:space="preserve">. If you need that screen, ask the PI about your role.</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"Too many sign-in attempts from this network"</w:t>
            </w:r>
          </w:p>
        </w:tc>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Sign-in is rate-limited per network; an office shares one address.</w:t>
            </w:r>
          </w:p>
        </w:tc>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Wait a minute and try again. A wrong password says so explicitly.</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A register shows fewer rows than expected</w:t>
            </w:r>
          </w:p>
        </w:tc>
        <w:tc>
          <w:tcPr>
            <w:tcW w:type="dxa" w:w="3200"/>
            <w:tcMar>
              <w:top w:type="dxa" w:w="70"/>
              <w:left w:type="dxa" w:w="110"/>
              <w:bottom w:type="dxa" w:w="70"/>
              <w:right w:type="dxa" w:w="110"/>
            </w:tcMar>
            <w:vAlign w:val="top"/>
          </w:tcPr>
          <w:p>
            <w:pPr>
              <w:spacing w:after="40"/>
            </w:pPr>
            <w:r>
              <w:rPr>
                <w:b w:val="false"/>
                <w:bCs w:val="false"/>
                <w:sz w:val="19"/>
                <w:szCs w:val="19"/>
              </w:rPr>
              <w:t xml:space="preserve">Registers show 20 rows per page to begin with; a Contact RA sees only assigned cases.</w:t>
            </w:r>
          </w:p>
        </w:tc>
        <w:tc>
          <w:tcPr>
            <w:tcW w:type="dxa" w:w="3577"/>
            <w:tcMar>
              <w:top w:type="dxa" w:w="70"/>
              <w:left w:type="dxa" w:w="110"/>
              <w:bottom w:type="dxa" w:w="70"/>
              <w:right w:type="dxa" w:w="110"/>
            </w:tcMar>
            <w:vAlign w:val="top"/>
          </w:tcPr>
          <w:p>
            <w:pPr>
              <w:spacing w:after="40"/>
            </w:pPr>
            <w:r>
              <w:rPr>
                <w:b w:val="false"/>
                <w:bCs w:val="false"/>
                <w:sz w:val="19"/>
                <w:szCs w:val="19"/>
              </w:rPr>
              <w:t xml:space="preserve">Choose more rows under </w:t>
            </w:r>
            <w:r>
              <w:rPr>
                <w:b w:val="false"/>
                <w:bCs w:val="false"/>
                <w:sz w:val="19"/>
                <w:szCs w:val="19"/>
              </w:rPr>
              <w:t xml:space="preserve">Show</w:t>
            </w:r>
            <w:r>
              <w:rPr>
                <w:b w:val="false"/>
                <w:bCs w:val="false"/>
                <w:sz w:val="19"/>
                <w:szCs w:val="19"/>
              </w:rPr>
              <w:t xml:space="preserve"> at the foot of the list, use the page numbers or </w:t>
            </w:r>
            <w:r>
              <w:rPr>
                <w:b w:val="false"/>
                <w:bCs w:val="false"/>
                <w:sz w:val="19"/>
                <w:szCs w:val="19"/>
              </w:rPr>
              <w:t xml:space="preserve">Next</w:t>
            </w:r>
            <w:r>
              <w:rPr>
                <w:b w:val="false"/>
                <w:bCs w:val="false"/>
                <w:sz w:val="19"/>
                <w:szCs w:val="19"/>
              </w:rPr>
              <w:t xml:space="preserve">, or search. Ask the Field Coordinator to assign the case.</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A button is greyed out</w:t>
            </w:r>
          </w:p>
        </w:tc>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A required step is missing (a note, an authenticity decision, a selection).</w:t>
            </w:r>
          </w:p>
        </w:tc>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Read the message beside the button; complete the missing step first.</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"KoboToolbox couldn't be reached"</w:t>
            </w:r>
          </w:p>
        </w:tc>
        <w:tc>
          <w:tcPr>
            <w:tcW w:type="dxa" w:w="3200"/>
            <w:tcMar>
              <w:top w:type="dxa" w:w="70"/>
              <w:left w:type="dxa" w:w="110"/>
              <w:bottom w:type="dxa" w:w="70"/>
              <w:right w:type="dxa" w:w="110"/>
            </w:tcMar>
            <w:vAlign w:val="top"/>
          </w:tcPr>
          <w:p>
            <w:pPr>
              <w:spacing w:after="40"/>
            </w:pPr>
            <w:r>
              <w:rPr>
                <w:b w:val="false"/>
                <w:bCs w:val="false"/>
                <w:sz w:val="19"/>
                <w:szCs w:val="19"/>
              </w:rPr>
              <w:t xml:space="preserve">KoboToolbox is slow or the connection token has changed.</w:t>
            </w:r>
          </w:p>
        </w:tc>
        <w:tc>
          <w:tcPr>
            <w:tcW w:type="dxa" w:w="3577"/>
            <w:tcMar>
              <w:top w:type="dxa" w:w="70"/>
              <w:left w:type="dxa" w:w="110"/>
              <w:bottom w:type="dxa" w:w="70"/>
              <w:right w:type="dxa" w:w="110"/>
            </w:tcMar>
            <w:vAlign w:val="top"/>
          </w:tcPr>
          <w:p>
            <w:pPr>
              <w:spacing w:after="40"/>
            </w:pPr>
            <w:r>
              <w:rPr>
                <w:b w:val="false"/>
                <w:bCs w:val="false"/>
                <w:sz w:val="19"/>
                <w:szCs w:val="19"/>
              </w:rPr>
              <w:t xml:space="preserve">Try again in a few minutes. If it persists, tell the PI.</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Form PDFs says "Not in sync with KoboToolbox yet"</w:t>
            </w:r>
          </w:p>
        </w:tc>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The counts differ: a form was submitted or changed in KoboToolbox since the last sync (it runs every 15 minutes).</w:t>
            </w:r>
          </w:p>
        </w:tc>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Select </w:t>
            </w:r>
            <w:r>
              <w:rPr>
                <w:b w:val="false"/>
                <w:bCs w:val="false"/>
                <w:sz w:val="19"/>
                <w:szCs w:val="19"/>
              </w:rPr>
              <w:t xml:space="preserve">Sync now</w:t>
            </w:r>
            <w:r>
              <w:rPr>
                <w:b w:val="false"/>
                <w:bCs w:val="false"/>
                <w:sz w:val="19"/>
                <w:szCs w:val="19"/>
              </w:rPr>
              <w:t xml:space="preserve">. If it still differs, or says it couldn't reach KoboToolbox, try again in a few minutes and tell the PI if it persists.</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A document says "Already submitted" and its answers are locked</w:t>
            </w:r>
          </w:p>
        </w:tc>
        <w:tc>
          <w:tcPr>
            <w:tcW w:type="dxa" w:w="3200"/>
            <w:tcMar>
              <w:top w:type="dxa" w:w="70"/>
              <w:left w:type="dxa" w:w="110"/>
              <w:bottom w:type="dxa" w:w="70"/>
              <w:right w:type="dxa" w:w="110"/>
            </w:tcMar>
            <w:vAlign w:val="top"/>
          </w:tcPr>
          <w:p>
            <w:pPr>
              <w:spacing w:after="40"/>
            </w:pPr>
            <w:r>
              <w:rPr>
                <w:b w:val="false"/>
                <w:bCs w:val="false"/>
                <w:sz w:val="19"/>
                <w:szCs w:val="19"/>
              </w:rPr>
              <w:t xml:space="preserve">Its coding was already sent to KoboToolbox; changing it here would not change that record.</w:t>
            </w:r>
          </w:p>
        </w:tc>
        <w:tc>
          <w:tcPr>
            <w:tcW w:type="dxa" w:w="3577"/>
            <w:tcMar>
              <w:top w:type="dxa" w:w="70"/>
              <w:left w:type="dxa" w:w="110"/>
              <w:bottom w:type="dxa" w:w="70"/>
              <w:right w:type="dxa" w:w="110"/>
            </w:tcMar>
            <w:vAlign w:val="top"/>
          </w:tcPr>
          <w:p>
            <w:pPr>
              <w:spacing w:after="40"/>
            </w:pPr>
            <w:r>
              <w:rPr>
                <w:b w:val="false"/>
                <w:bCs w:val="false"/>
                <w:sz w:val="19"/>
                <w:szCs w:val="19"/>
              </w:rPr>
              <w:t xml:space="preserve">To redo the coding, delete that record in KoboToolbox, then select </w:t>
            </w:r>
            <w:r>
              <w:rPr>
                <w:b w:val="false"/>
                <w:bCs w:val="false"/>
                <w:sz w:val="19"/>
                <w:szCs w:val="19"/>
              </w:rPr>
              <w:t xml:space="preserve">Sync now</w:t>
            </w:r>
            <w:r>
              <w:rPr>
                <w:b w:val="false"/>
                <w:bCs w:val="false"/>
                <w:sz w:val="19"/>
                <w:szCs w:val="19"/>
              </w:rPr>
              <w:t xml:space="preserve"> on Form PDFs. The document unlocks.</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A page keeps loading</w:t>
            </w:r>
          </w:p>
        </w:tc>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A slow or dropped connection.</w:t>
            </w:r>
          </w:p>
        </w:tc>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Refresh the page. Your saved work is not lost; unsaved typing may be.</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Send invitations</w:t>
            </w:r>
            <w:r>
              <w:rPr>
                <w:b w:val="false"/>
                <w:bCs w:val="false"/>
                <w:sz w:val="19"/>
                <w:szCs w:val="19"/>
              </w:rPr>
              <w:t xml:space="preserve"> says email isn't set up</w:t>
            </w:r>
          </w:p>
        </w:tc>
        <w:tc>
          <w:tcPr>
            <w:tcW w:type="dxa" w:w="3200"/>
            <w:tcMar>
              <w:top w:type="dxa" w:w="70"/>
              <w:left w:type="dxa" w:w="110"/>
              <w:bottom w:type="dxa" w:w="70"/>
              <w:right w:type="dxa" w:w="110"/>
            </w:tcMar>
            <w:vAlign w:val="top"/>
          </w:tcPr>
          <w:p>
            <w:pPr>
              <w:spacing w:after="40"/>
            </w:pPr>
            <w:r>
              <w:rPr>
                <w:b w:val="false"/>
                <w:bCs w:val="false"/>
                <w:sz w:val="19"/>
                <w:szCs w:val="19"/>
              </w:rPr>
              <w:t xml:space="preserve">Outgoing email has not been configured on the server.</w:t>
            </w:r>
          </w:p>
        </w:tc>
        <w:tc>
          <w:tcPr>
            <w:tcW w:type="dxa" w:w="3577"/>
            <w:tcMar>
              <w:top w:type="dxa" w:w="70"/>
              <w:left w:type="dxa" w:w="110"/>
              <w:bottom w:type="dxa" w:w="70"/>
              <w:right w:type="dxa" w:w="110"/>
            </w:tcMar>
            <w:vAlign w:val="top"/>
          </w:tcPr>
          <w:p>
            <w:pPr>
              <w:spacing w:after="40"/>
            </w:pPr>
            <w:r>
              <w:rPr>
                <w:b w:val="false"/>
                <w:bCs w:val="false"/>
                <w:sz w:val="19"/>
                <w:szCs w:val="19"/>
              </w:rPr>
              <w:t xml:space="preserve">Ask the administrator to run </w:t>
            </w:r>
            <w:r>
              <w:rPr>
                <w:rFonts w:ascii="Consolas" w:cs="Consolas" w:eastAsia="Consolas" w:hAnsi="Consolas"/>
                <w:b w:val="false"/>
                <w:bCs w:val="false"/>
                <w:sz w:val="19"/>
                <w:szCs w:val="19"/>
              </w:rPr>
              <w:t xml:space="preserve">configure-email.sh</w:t>
            </w:r>
            <w:r>
              <w:rPr>
                <w:b w:val="false"/>
                <w:bCs w:val="false"/>
                <w:sz w:val="19"/>
                <w:szCs w:val="19"/>
              </w:rPr>
              <w:t xml:space="preserve">. Until then, send invitations by WhatsApp.</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Send invitations</w:t>
            </w:r>
            <w:r>
              <w:rPr>
                <w:b w:val="false"/>
                <w:bCs w:val="false"/>
                <w:sz w:val="19"/>
                <w:szCs w:val="19"/>
              </w:rPr>
              <w:t xml:space="preserve"> says SMS or WhatsApp isn't set up</w:t>
            </w:r>
          </w:p>
        </w:tc>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Twilio has not been configured on the server, or (WhatsApp) Meta has not approved the sender and templates yet.</w:t>
            </w:r>
          </w:p>
        </w:tc>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Ask the administrator to run </w:t>
            </w:r>
            <w:r>
              <w:rPr>
                <w:rFonts w:ascii="Consolas" w:cs="Consolas" w:eastAsia="Consolas" w:hAnsi="Consolas"/>
                <w:b w:val="false"/>
                <w:bCs w:val="false"/>
                <w:sz w:val="19"/>
                <w:szCs w:val="19"/>
              </w:rPr>
              <w:t xml:space="preserve">configure-twilio.sh</w:t>
            </w:r>
            <w:r>
              <w:rPr>
                <w:b w:val="false"/>
                <w:bCs w:val="false"/>
                <w:sz w:val="19"/>
                <w:szCs w:val="19"/>
              </w:rPr>
              <w:t xml:space="preserve">. Until then, send by email, or by hand from the study WhatsApp number.</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A WhatsApp invitation was prepared but never sent</w:t>
            </w:r>
          </w:p>
        </w:tc>
        <w:tc>
          <w:tcPr>
            <w:tcW w:type="dxa" w:w="3200"/>
            <w:tcMar>
              <w:top w:type="dxa" w:w="70"/>
              <w:left w:type="dxa" w:w="110"/>
              <w:bottom w:type="dxa" w:w="70"/>
              <w:right w:type="dxa" w:w="110"/>
            </w:tcMar>
            <w:vAlign w:val="top"/>
          </w:tcPr>
          <w:p>
            <w:pPr>
              <w:spacing w:after="40"/>
            </w:pPr>
            <w:r>
              <w:rPr>
                <w:b w:val="false"/>
                <w:bCs w:val="false"/>
                <w:sz w:val="19"/>
                <w:szCs w:val="19"/>
              </w:rPr>
              <w:t xml:space="preserve">Prepare</w:t>
            </w:r>
            <w:r>
              <w:rPr>
                <w:b w:val="false"/>
                <w:bCs w:val="false"/>
                <w:sz w:val="19"/>
                <w:szCs w:val="19"/>
              </w:rPr>
              <w:t xml:space="preserve"> counts it as sent and moves the case to S05.</w:t>
            </w:r>
          </w:p>
        </w:tc>
        <w:tc>
          <w:tcPr>
            <w:tcW w:type="dxa" w:w="3577"/>
            <w:tcMar>
              <w:top w:type="dxa" w:w="70"/>
              <w:left w:type="dxa" w:w="110"/>
              <w:bottom w:type="dxa" w:w="70"/>
              <w:right w:type="dxa" w:w="110"/>
            </w:tcMar>
            <w:vAlign w:val="top"/>
          </w:tcPr>
          <w:p>
            <w:pPr>
              <w:spacing w:after="40"/>
            </w:pPr>
            <w:r>
              <w:rPr>
                <w:b w:val="false"/>
                <w:bCs w:val="false"/>
                <w:sz w:val="19"/>
                <w:szCs w:val="19"/>
              </w:rPr>
              <w:t xml:space="preserve">Open the case and </w:t>
            </w:r>
            <w:r>
              <w:rPr>
                <w:b w:val="false"/>
                <w:bCs w:val="false"/>
                <w:sz w:val="19"/>
                <w:szCs w:val="19"/>
              </w:rPr>
              <w:t xml:space="preserve">Revoke</w:t>
            </w:r>
            <w:r>
              <w:rPr>
                <w:b w:val="false"/>
                <w:bCs w:val="false"/>
                <w:sz w:val="19"/>
                <w:szCs w:val="19"/>
              </w:rPr>
              <w:t xml:space="preserve"> that invitation; send a new one from the case's Invitations panel when you can reach the person.</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A case is missing from the WhatsApp or email queue</w:t>
            </w:r>
          </w:p>
        </w:tc>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It is not verified (S03 or S04), has no number or email on file, already has an open invitation, or is assigned to another Contact RA.</w:t>
            </w:r>
          </w:p>
        </w:tc>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Verify the case, add the contact detail, or check its invitation history.</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The contact finder says it would overwrite a detail</w:t>
            </w:r>
          </w:p>
        </w:tc>
        <w:tc>
          <w:tcPr>
            <w:tcW w:type="dxa" w:w="3200"/>
            <w:tcMar>
              <w:top w:type="dxa" w:w="70"/>
              <w:left w:type="dxa" w:w="110"/>
              <w:bottom w:type="dxa" w:w="70"/>
              <w:right w:type="dxa" w:w="110"/>
            </w:tcMar>
            <w:vAlign w:val="top"/>
          </w:tcPr>
          <w:p>
            <w:pPr>
              <w:spacing w:after="40"/>
            </w:pPr>
            <w:r>
              <w:rPr>
                <w:b w:val="false"/>
                <w:bCs w:val="false"/>
                <w:sz w:val="19"/>
                <w:szCs w:val="19"/>
              </w:rPr>
              <w:t xml:space="preserve">The organisation contact already has a different phone or email.</w:t>
            </w:r>
          </w:p>
        </w:tc>
        <w:tc>
          <w:tcPr>
            <w:tcW w:type="dxa" w:w="3577"/>
            <w:tcMar>
              <w:top w:type="dxa" w:w="70"/>
              <w:left w:type="dxa" w:w="110"/>
              <w:bottom w:type="dxa" w:w="70"/>
              <w:right w:type="dxa" w:w="110"/>
            </w:tcMar>
            <w:vAlign w:val="top"/>
          </w:tcPr>
          <w:p>
            <w:pPr>
              <w:spacing w:after="40"/>
            </w:pPr>
            <w:r>
              <w:rPr>
                <w:b w:val="false"/>
                <w:bCs w:val="false"/>
                <w:sz w:val="19"/>
                <w:szCs w:val="19"/>
              </w:rPr>
              <w:t xml:space="preserve">Check which is right and correct it under </w:t>
            </w:r>
            <w:r>
              <w:rPr>
                <w:b w:val="false"/>
                <w:bCs w:val="false"/>
                <w:sz w:val="19"/>
                <w:szCs w:val="19"/>
              </w:rPr>
              <w:t xml:space="preserve">Respondents and contact details</w:t>
            </w:r>
            <w:r>
              <w:rPr>
                <w:b w:val="false"/>
                <w:bCs w:val="false"/>
                <w:sz w:val="19"/>
                <w:szCs w:val="19"/>
              </w:rPr>
              <w:t xml:space="preserve">.</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A file upload seems stuck</w:t>
            </w:r>
          </w:p>
        </w:tc>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A large file on a slow connection takes time; the bar shows how much has been sent.</w:t>
            </w:r>
          </w:p>
        </w:tc>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Wait for </w:t>
            </w:r>
            <w:r>
              <w:rPr>
                <w:b w:val="false"/>
                <w:bCs w:val="false"/>
                <w:sz w:val="19"/>
                <w:szCs w:val="19"/>
              </w:rPr>
              <w:t xml:space="preserve">Saving…</w:t>
            </w:r>
            <w:r>
              <w:rPr>
                <w:b w:val="false"/>
                <w:bCs w:val="false"/>
                <w:sz w:val="19"/>
                <w:szCs w:val="19"/>
              </w:rPr>
              <w:t xml:space="preserve"> and the file name. If it fails, try again or upload a smaller version.</w:t>
            </w:r>
          </w:p>
        </w:tc>
      </w:tr>
    </w:tbl>
    <w:p>
      <w:pPr>
        <w:spacing w:after="120"/>
      </w:pPr>
    </w:p>
    <w:p>
      <w:pPr>
        <w:pStyle w:val="Heading1"/>
        <w:pageBreakBefore/>
      </w:pPr>
      <w:r>
        <w:t xml:space="preserve">7. Quick reference</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2824"/>
        <w:gridCol w:w="6588"/>
      </w:tblGrid>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Sign in</w:t>
            </w:r>
          </w:p>
        </w:tc>
        <w:tc>
          <w:tcPr>
            <w:tcW w:type="dxa" w:w="6588"/>
            <w:tcMar>
              <w:top w:type="dxa" w:w="70"/>
              <w:left w:type="dxa" w:w="110"/>
              <w:bottom w:type="dxa" w:w="70"/>
              <w:right w:type="dxa" w:w="110"/>
            </w:tcMar>
            <w:vAlign w:val="top"/>
          </w:tcPr>
          <w:p>
            <w:pPr>
              <w:spacing w:after="40"/>
            </w:pPr>
            <w:r>
              <w:rPr>
                <w:b w:val="false"/>
                <w:bCs w:val="false"/>
                <w:sz w:val="19"/>
                <w:szCs w:val="19"/>
              </w:rPr>
              <w:t xml:space="preserve">https://research.agribizframework.com/admin/login</w:t>
            </w:r>
          </w:p>
        </w:tc>
      </w:tr>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You start on</w:t>
            </w:r>
          </w:p>
        </w:tc>
        <w:tc>
          <w:tcPr>
            <w:tcW w:type="dxa" w:w="6588"/>
            <w:tcMar>
              <w:top w:type="dxa" w:w="70"/>
              <w:left w:type="dxa" w:w="110"/>
              <w:bottom w:type="dxa" w:w="70"/>
              <w:right w:type="dxa" w:w="110"/>
            </w:tcMar>
            <w:vAlign w:val="top"/>
          </w:tcPr>
          <w:p>
            <w:pPr>
              <w:spacing w:after="40"/>
            </w:pPr>
            <w:r>
              <w:rPr>
                <w:b w:val="false"/>
                <w:bCs w:val="false"/>
                <w:sz w:val="19"/>
                <w:szCs w:val="19"/>
              </w:rPr>
              <w:t xml:space="preserve">Executive Dashboard</w:t>
            </w:r>
          </w:p>
        </w:tc>
      </w:tr>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Bulk verification</w:t>
            </w:r>
          </w:p>
        </w:tc>
        <w:tc>
          <w:tcPr>
            <w:tcW w:type="dxa" w:w="6588"/>
            <w:tcMar>
              <w:top w:type="dxa" w:w="70"/>
              <w:left w:type="dxa" w:w="110"/>
              <w:bottom w:type="dxa" w:w="70"/>
              <w:right w:type="dxa" w:w="110"/>
            </w:tcMar>
            <w:vAlign w:val="top"/>
          </w:tcPr>
          <w:p>
            <w:pPr>
              <w:spacing w:after="40"/>
            </w:pPr>
            <w:r>
              <w:rPr>
                <w:b w:val="false"/>
                <w:bCs w:val="false"/>
                <w:sz w:val="19"/>
                <w:szCs w:val="19"/>
              </w:rPr>
              <w:t xml:space="preserve">Main-400 Register → Move cases through verification</w:t>
            </w:r>
          </w:p>
        </w:tc>
      </w:tr>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Replacement</w:t>
            </w:r>
          </w:p>
        </w:tc>
        <w:tc>
          <w:tcPr>
            <w:tcW w:type="dxa" w:w="6588"/>
            <w:tcMar>
              <w:top w:type="dxa" w:w="70"/>
              <w:left w:type="dxa" w:w="110"/>
              <w:bottom w:type="dxa" w:w="70"/>
              <w:right w:type="dxa" w:w="110"/>
            </w:tcMar>
            <w:vAlign w:val="top"/>
          </w:tcPr>
          <w:p>
            <w:pPr>
              <w:spacing w:after="40"/>
            </w:pPr>
            <w:r>
              <w:rPr>
                <w:b w:val="false"/>
                <w:bCs w:val="false"/>
                <w:sz w:val="19"/>
                <w:szCs w:val="19"/>
              </w:rPr>
              <w:t xml:space="preserve">Reserve Activation → reason + evidence note</w:t>
            </w:r>
          </w:p>
        </w:tc>
      </w:tr>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Help</w:t>
            </w:r>
          </w:p>
        </w:tc>
        <w:tc>
          <w:tcPr>
            <w:tcW w:type="dxa" w:w="6588"/>
            <w:tcMar>
              <w:top w:type="dxa" w:w="70"/>
              <w:left w:type="dxa" w:w="110"/>
              <w:bottom w:type="dxa" w:w="70"/>
              <w:right w:type="dxa" w:w="110"/>
            </w:tcMar>
            <w:vAlign w:val="top"/>
          </w:tcPr>
          <w:p>
            <w:pPr>
              <w:spacing w:after="40"/>
            </w:pPr>
            <w:r>
              <w:rPr>
                <w:b w:val="false"/>
                <w:bCs w:val="false"/>
                <w:sz w:val="19"/>
                <w:szCs w:val="19"/>
              </w:rPr>
              <w:t xml:space="preserve">Field Coordinator; PI: Happyson Saina, 0773943709, abffst.research@gmail.com</w:t>
            </w:r>
          </w:p>
        </w:tc>
      </w:tr>
    </w:tbl>
    <w:p>
      <w:pPr>
        <w:spacing w:after="120"/>
      </w:pPr>
    </w:p>
    <w:p>
      <w:pPr>
        <w:pStyle w:val="Heading1"/>
        <w:pageBreakBefore/>
      </w:pPr>
      <w:r>
        <w:t xml:space="preserve">8. Every screen and button for your role</w:t>
      </w:r>
    </w:p>
    <w:p>
      <w:pPr>
        <w:spacing w:after="120" w:line="288"/>
      </w:pPr>
      <w:r>
        <w:t xml:space="preserve">This section lists every screen you can open as Field / Digital Coordinator, and for each control: what it does and when to use it, why it exists (the rule behind it), and what you will see next. It is the same material as the Screen and Button Reference, cut down to your role.</w:t>
      </w: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Reading the tables</w:t>
            </w:r>
          </w:p>
          <w:p>
            <w:pPr>
              <w:spacing w:after="40" w:line="264"/>
            </w:pPr>
            <w:r>
              <w:rPr>
                <w:b/>
                <w:bCs/>
                <w:sz w:val="19"/>
                <w:szCs w:val="19"/>
              </w:rPr>
              <w:t xml:space="preserve">Control</w:t>
            </w:r>
            <w:r>
              <w:rPr>
                <w:sz w:val="19"/>
                <w:szCs w:val="19"/>
              </w:rPr>
              <w:t xml:space="preserve"> is the label you see on screen. </w:t>
            </w:r>
            <w:r>
              <w:rPr>
                <w:b/>
                <w:bCs/>
                <w:sz w:val="19"/>
                <w:szCs w:val="19"/>
              </w:rPr>
              <w:t xml:space="preserve">Why it exists</w:t>
            </w:r>
            <w:r>
              <w:rPr>
                <w:sz w:val="19"/>
                <w:szCs w:val="19"/>
              </w:rPr>
              <w:t xml:space="preserve"> explains the rule or risk behind it; if a button is greyed out, this column usually says why. A control that needs a note or a confirmation says so.</w:t>
            </w:r>
          </w:p>
        </w:tc>
      </w:tr>
    </w:tbl>
    <w:p>
      <w:pPr>
        <w:pStyle w:val="Heading2"/>
      </w:pPr>
      <w:r>
        <w:t xml:space="preserve">8.1 Sign in</w:t>
      </w:r>
    </w:p>
    <w:p>
      <w:pPr>
        <w:spacing w:after="120" w:line="288"/>
      </w:pPr>
      <w:r>
        <w:rPr>
          <w:b/>
          <w:bCs/>
        </w:rPr>
        <w:t xml:space="preserve">Who can open it:</w:t>
      </w:r>
      <w:r>
        <w:t xml:space="preserve"> every role.  </w:t>
      </w:r>
      <w:r>
        <w:rPr>
          <w:b/>
          <w:bCs/>
        </w:rPr>
        <w:t xml:space="preserve">Where:</w:t>
      </w:r>
      <w:r>
        <w:t xml:space="preserve"> </w:t>
      </w:r>
      <w:r>
        <w:rPr>
          <w:rFonts w:ascii="Consolas" w:cs="Consolas" w:eastAsia="Consolas" w:hAnsi="Consolas"/>
          <w:b w:val="false"/>
          <w:bCs w:val="false"/>
          <w:color w:val="122238"/>
          <w:sz w:val="19"/>
          <w:szCs w:val="19"/>
        </w:rPr>
        <w:t xml:space="preserve">/admin/login</w:t>
      </w:r>
    </w:p>
    <w:p>
      <w:pPr>
        <w:spacing w:after="120" w:line="288"/>
      </w:pPr>
      <w:r>
        <w:t xml:space="preserve">Where every staff member starts. Staff accounts are created by the PI; there is no self-registration.</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Username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Type the username the PI gave you.</w:t>
            </w:r>
          </w:p>
        </w:tc>
        <w:tc>
          <w:tcPr>
            <w:tcW w:type="dxa" w:w="2447"/>
            <w:tcMar>
              <w:top w:type="dxa" w:w="70"/>
              <w:left w:type="dxa" w:w="110"/>
              <w:bottom w:type="dxa" w:w="70"/>
              <w:right w:type="dxa" w:w="110"/>
            </w:tcMar>
            <w:vAlign w:val="top"/>
          </w:tcPr>
          <w:p>
            <w:pPr>
              <w:spacing w:after="40"/>
            </w:pPr>
            <w:r>
              <w:rPr>
                <w:b w:val="false"/>
                <w:bCs w:val="false"/>
                <w:sz w:val="19"/>
                <w:szCs w:val="19"/>
              </w:rPr>
              <w:t xml:space="preserve">Every action in the portal is recorded against a named person, so accounts are never shared.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Nothing yet; you also need the password.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Password</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Type your password. The characters are hidden.</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Passwords are never shown or emailed; the PI can reset yours but cannot read it.</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Nothing yet; select Sign in.</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Sign in</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Checks your username and password and opens your start screen (the first screen your role uses).</w:t>
            </w:r>
          </w:p>
        </w:tc>
        <w:tc>
          <w:tcPr>
            <w:tcW w:type="dxa" w:w="2447"/>
            <w:tcMar>
              <w:top w:type="dxa" w:w="70"/>
              <w:left w:type="dxa" w:w="110"/>
              <w:bottom w:type="dxa" w:w="70"/>
              <w:right w:type="dxa" w:w="110"/>
            </w:tcMar>
            <w:vAlign w:val="top"/>
          </w:tcPr>
          <w:p>
            <w:pPr>
              <w:spacing w:after="40"/>
            </w:pPr>
            <w:r>
              <w:rPr>
                <w:b w:val="false"/>
                <w:bCs w:val="false"/>
                <w:sz w:val="19"/>
                <w:szCs w:val="19"/>
              </w:rPr>
              <w:t xml:space="preserve">Repeated wrong attempts from one network are refused for a minute, to stop password guessing.</w:t>
            </w:r>
          </w:p>
        </w:tc>
        <w:tc>
          <w:tcPr>
            <w:tcW w:type="dxa" w:w="2071"/>
            <w:tcMar>
              <w:top w:type="dxa" w:w="70"/>
              <w:left w:type="dxa" w:w="110"/>
              <w:bottom w:type="dxa" w:w="70"/>
              <w:right w:type="dxa" w:w="110"/>
            </w:tcMar>
            <w:vAlign w:val="top"/>
          </w:tcPr>
          <w:p>
            <w:pPr>
              <w:spacing w:after="40"/>
            </w:pPr>
            <w:r>
              <w:rPr>
                <w:b w:val="false"/>
                <w:bCs w:val="false"/>
                <w:sz w:val="19"/>
                <w:szCs w:val="19"/>
              </w:rPr>
              <w:t xml:space="preserve">Your start screen opens. A wrong password says so. “Too many sign-in attempts” means wait a minute.</w:t>
            </w:r>
          </w:p>
        </w:tc>
      </w:tr>
    </w:tbl>
    <w:p>
      <w:pPr>
        <w:spacing w:after="120"/>
      </w:pPr>
    </w:p>
    <w:p>
      <w:pPr>
        <w:pStyle w:val="Heading2"/>
      </w:pPr>
      <w:r>
        <w:t xml:space="preserve">8.2 The header and menu bar (every screen)</w:t>
      </w:r>
    </w:p>
    <w:p>
      <w:pPr>
        <w:spacing w:after="120" w:line="288"/>
      </w:pPr>
      <w:r>
        <w:rPr>
          <w:b/>
          <w:bCs/>
        </w:rPr>
        <w:t xml:space="preserve">Who can open it:</w:t>
      </w:r>
      <w:r>
        <w:t xml:space="preserve"> every role.  </w:t>
      </w:r>
      <w:r>
        <w:rPr>
          <w:b/>
          <w:bCs/>
        </w:rPr>
        <w:t xml:space="preserve">Where:</w:t>
      </w:r>
      <w:r>
        <w:t xml:space="preserve"> </w:t>
      </w:r>
      <w:r>
        <w:rPr>
          <w:rFonts w:ascii="Consolas" w:cs="Consolas" w:eastAsia="Consolas" w:hAnsi="Consolas"/>
          <w:b w:val="false"/>
          <w:bCs w:val="false"/>
          <w:color w:val="122238"/>
          <w:sz w:val="19"/>
          <w:szCs w:val="19"/>
        </w:rPr>
        <w:t xml:space="preserve">(top of every screen)</w:t>
      </w:r>
    </w:p>
    <w:p>
      <w:pPr>
        <w:spacing w:after="120" w:line="288"/>
      </w:pPr>
      <w:r>
        <w:t xml:space="preserve">Shown at the top of every signed-in screen. The menu bar lists only the screens your role may open.</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Menu bar (Executive, Sampling, … Audit)</w:t>
            </w:r>
          </w:p>
        </w:tc>
        <w:tc>
          <w:tcPr>
            <w:tcW w:type="dxa" w:w="3012"/>
            <w:tcMar>
              <w:top w:type="dxa" w:w="70"/>
              <w:left w:type="dxa" w:w="110"/>
              <w:bottom w:type="dxa" w:w="70"/>
              <w:right w:type="dxa" w:w="110"/>
            </w:tcMar>
            <w:vAlign w:val="top"/>
          </w:tcPr>
          <w:p>
            <w:pPr>
              <w:spacing w:after="40"/>
            </w:pPr>
            <w:r>
              <w:rPr>
                <w:b w:val="false"/>
                <w:bCs w:val="false"/>
                <w:sz w:val="19"/>
                <w:szCs w:val="19"/>
              </w:rPr>
              <w:t xml:space="preserve">Opens a screen. The current screen is underlined.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list is built by the server from your role, so you never see a screen that would refuse you.</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screen opens. A screen not in your list shows “This screen isn't part of your role”.</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Change password</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Opens the Change Password screen.</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You should change the first password you were given, and any password you think someone saw.</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Change Password screen opens.</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Sign out</w:t>
            </w:r>
          </w:p>
        </w:tc>
        <w:tc>
          <w:tcPr>
            <w:tcW w:type="dxa" w:w="3012"/>
            <w:tcMar>
              <w:top w:type="dxa" w:w="70"/>
              <w:left w:type="dxa" w:w="110"/>
              <w:bottom w:type="dxa" w:w="70"/>
              <w:right w:type="dxa" w:w="110"/>
            </w:tcMar>
            <w:vAlign w:val="top"/>
          </w:tcPr>
          <w:p>
            <w:pPr>
              <w:spacing w:after="40"/>
            </w:pPr>
            <w:r>
              <w:rPr>
                <w:b w:val="false"/>
                <w:bCs w:val="false"/>
                <w:sz w:val="19"/>
                <w:szCs w:val="19"/>
              </w:rPr>
              <w:t xml:space="preserve">Ends your session on this device.</w:t>
            </w:r>
          </w:p>
        </w:tc>
        <w:tc>
          <w:tcPr>
            <w:tcW w:type="dxa" w:w="2447"/>
            <w:tcMar>
              <w:top w:type="dxa" w:w="70"/>
              <w:left w:type="dxa" w:w="110"/>
              <w:bottom w:type="dxa" w:w="70"/>
              <w:right w:type="dxa" w:w="110"/>
            </w:tcMar>
            <w:vAlign w:val="top"/>
          </w:tcPr>
          <w:p>
            <w:pPr>
              <w:spacing w:after="40"/>
            </w:pPr>
            <w:r>
              <w:rPr>
                <w:b w:val="false"/>
                <w:bCs w:val="false"/>
                <w:sz w:val="19"/>
                <w:szCs w:val="19"/>
              </w:rPr>
              <w:t xml:space="preserve">Protects the data if the device is shared or lost. Always sign out on a shared device.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Your session on this device ends and you return to the Sign in screen.</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 Back to … (top left)</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Returns to the parent screen (for example from a case to the register).</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 consistent way back that does not lose your place in the menu.</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parent screen opens.</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Go to my start screen</w:t>
            </w:r>
          </w:p>
        </w:tc>
        <w:tc>
          <w:tcPr>
            <w:tcW w:type="dxa" w:w="3012"/>
            <w:tcMar>
              <w:top w:type="dxa" w:w="70"/>
              <w:left w:type="dxa" w:w="110"/>
              <w:bottom w:type="dxa" w:w="70"/>
              <w:right w:type="dxa" w:w="110"/>
            </w:tcMar>
            <w:vAlign w:val="top"/>
          </w:tcPr>
          <w:p>
            <w:pPr>
              <w:spacing w:after="40"/>
            </w:pPr>
            <w:r>
              <w:rPr>
                <w:b w:val="false"/>
                <w:bCs w:val="false"/>
                <w:sz w:val="19"/>
                <w:szCs w:val="19"/>
              </w:rPr>
              <w:t xml:space="preserve">Appears on the “This screen isn't part of your role” page and takes you to your own start screen.</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An old bookmark or shared link may point at a screen that belongs to another role; this gets you out safely.</w:t>
            </w:r>
          </w:p>
        </w:tc>
        <w:tc>
          <w:tcPr>
            <w:tcW w:type="dxa" w:w="2071"/>
            <w:tcMar>
              <w:top w:type="dxa" w:w="70"/>
              <w:left w:type="dxa" w:w="110"/>
              <w:bottom w:type="dxa" w:w="70"/>
              <w:right w:type="dxa" w:w="110"/>
            </w:tcMar>
            <w:vAlign w:val="top"/>
          </w:tcPr>
          <w:p>
            <w:pPr>
              <w:spacing w:after="40"/>
            </w:pPr>
            <w:r>
              <w:rPr>
                <w:b w:val="false"/>
                <w:bCs w:val="false"/>
                <w:sz w:val="19"/>
                <w:szCs w:val="19"/>
              </w:rPr>
              <w:t xml:space="preserve">Your start screen opens.</w:t>
            </w:r>
          </w:p>
        </w:tc>
      </w:tr>
    </w:tbl>
    <w:p>
      <w:pPr>
        <w:spacing w:after="120"/>
      </w:pPr>
    </w:p>
    <w:p>
      <w:pPr>
        <w:pStyle w:val="Heading2"/>
      </w:pPr>
      <w:r>
        <w:t xml:space="preserve">8.3 Change Password</w:t>
      </w:r>
    </w:p>
    <w:p>
      <w:pPr>
        <w:spacing w:after="120" w:line="288"/>
      </w:pPr>
      <w:r>
        <w:rPr>
          <w:b/>
          <w:bCs/>
        </w:rPr>
        <w:t xml:space="preserve">Who can open it:</w:t>
      </w:r>
      <w:r>
        <w:t xml:space="preserve"> every role.  </w:t>
      </w:r>
      <w:r>
        <w:rPr>
          <w:b/>
          <w:bCs/>
        </w:rPr>
        <w:t xml:space="preserve">Where:</w:t>
      </w:r>
      <w:r>
        <w:t xml:space="preserve"> </w:t>
      </w:r>
      <w:r>
        <w:rPr>
          <w:rFonts w:ascii="Consolas" w:cs="Consolas" w:eastAsia="Consolas" w:hAnsi="Consolas"/>
          <w:b w:val="false"/>
          <w:bCs w:val="false"/>
          <w:color w:val="122238"/>
          <w:sz w:val="19"/>
          <w:szCs w:val="19"/>
        </w:rPr>
        <w:t xml:space="preserve">/admin/account</w:t>
      </w:r>
    </w:p>
    <w:p>
      <w:pPr>
        <w:spacing w:after="120" w:line="288"/>
      </w:pPr>
      <w:r>
        <w:t xml:space="preserve">Change your own password.</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Current password</w:t>
            </w:r>
          </w:p>
        </w:tc>
        <w:tc>
          <w:tcPr>
            <w:tcW w:type="dxa" w:w="3012"/>
            <w:tcMar>
              <w:top w:type="dxa" w:w="70"/>
              <w:left w:type="dxa" w:w="110"/>
              <w:bottom w:type="dxa" w:w="70"/>
              <w:right w:type="dxa" w:w="110"/>
            </w:tcMar>
            <w:vAlign w:val="top"/>
          </w:tcPr>
          <w:p>
            <w:pPr>
              <w:spacing w:after="40"/>
            </w:pPr>
            <w:r>
              <w:rPr>
                <w:b w:val="false"/>
                <w:bCs w:val="false"/>
                <w:sz w:val="19"/>
                <w:szCs w:val="19"/>
              </w:rPr>
              <w:t xml:space="preserve">Type the password you use now.</w:t>
            </w:r>
          </w:p>
        </w:tc>
        <w:tc>
          <w:tcPr>
            <w:tcW w:type="dxa" w:w="2447"/>
            <w:tcMar>
              <w:top w:type="dxa" w:w="70"/>
              <w:left w:type="dxa" w:w="110"/>
              <w:bottom w:type="dxa" w:w="70"/>
              <w:right w:type="dxa" w:w="110"/>
            </w:tcMar>
            <w:vAlign w:val="top"/>
          </w:tcPr>
          <w:p>
            <w:pPr>
              <w:spacing w:after="40"/>
            </w:pPr>
            <w:r>
              <w:rPr>
                <w:b w:val="false"/>
                <w:bCs w:val="false"/>
                <w:sz w:val="19"/>
                <w:szCs w:val="19"/>
              </w:rPr>
              <w:t xml:space="preserve">Proves it is really you before a change, in case a signed-in device was left open.</w:t>
            </w:r>
          </w:p>
        </w:tc>
        <w:tc>
          <w:tcPr>
            <w:tcW w:type="dxa" w:w="2071"/>
            <w:tcMar>
              <w:top w:type="dxa" w:w="70"/>
              <w:left w:type="dxa" w:w="110"/>
              <w:bottom w:type="dxa" w:w="70"/>
              <w:right w:type="dxa" w:w="110"/>
            </w:tcMar>
            <w:vAlign w:val="top"/>
          </w:tcPr>
          <w:p>
            <w:pPr>
              <w:spacing w:after="40"/>
            </w:pPr>
            <w:r>
              <w:rPr>
                <w:b w:val="false"/>
                <w:bCs w:val="false"/>
                <w:sz w:val="19"/>
                <w:szCs w:val="19"/>
              </w:rPr>
              <w:t xml:space="preserve">Nothing yet.</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New password</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Type the new password.</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It must be long enough, not a common password, not all digits and not similar to your username or name; the screen says which rule failed.</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Nothing yet.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Confirm new password</w:t>
            </w:r>
          </w:p>
        </w:tc>
        <w:tc>
          <w:tcPr>
            <w:tcW w:type="dxa" w:w="3012"/>
            <w:tcMar>
              <w:top w:type="dxa" w:w="70"/>
              <w:left w:type="dxa" w:w="110"/>
              <w:bottom w:type="dxa" w:w="70"/>
              <w:right w:type="dxa" w:w="110"/>
            </w:tcMar>
            <w:vAlign w:val="top"/>
          </w:tcPr>
          <w:p>
            <w:pPr>
              <w:spacing w:after="40"/>
            </w:pPr>
            <w:r>
              <w:rPr>
                <w:b w:val="false"/>
                <w:bCs w:val="false"/>
                <w:sz w:val="19"/>
                <w:szCs w:val="19"/>
              </w:rPr>
              <w:t xml:space="preserve">Type the new password again.</w:t>
            </w:r>
          </w:p>
        </w:tc>
        <w:tc>
          <w:tcPr>
            <w:tcW w:type="dxa" w:w="2447"/>
            <w:tcMar>
              <w:top w:type="dxa" w:w="70"/>
              <w:left w:type="dxa" w:w="110"/>
              <w:bottom w:type="dxa" w:w="70"/>
              <w:right w:type="dxa" w:w="110"/>
            </w:tcMar>
            <w:vAlign w:val="top"/>
          </w:tcPr>
          <w:p>
            <w:pPr>
              <w:spacing w:after="40"/>
            </w:pPr>
            <w:r>
              <w:rPr>
                <w:b w:val="false"/>
                <w:bCs w:val="false"/>
                <w:sz w:val="19"/>
                <w:szCs w:val="19"/>
              </w:rPr>
              <w:t xml:space="preserve">Catches a typing slip that would lock you out.</w:t>
            </w:r>
          </w:p>
        </w:tc>
        <w:tc>
          <w:tcPr>
            <w:tcW w:type="dxa" w:w="2071"/>
            <w:tcMar>
              <w:top w:type="dxa" w:w="70"/>
              <w:left w:type="dxa" w:w="110"/>
              <w:bottom w:type="dxa" w:w="70"/>
              <w:right w:type="dxa" w:w="110"/>
            </w:tcMar>
            <w:vAlign w:val="top"/>
          </w:tcPr>
          <w:p>
            <w:pPr>
              <w:spacing w:after="40"/>
            </w:pPr>
            <w:r>
              <w:rPr>
                <w:b w:val="false"/>
                <w:bCs w:val="false"/>
                <w:sz w:val="19"/>
                <w:szCs w:val="19"/>
              </w:rPr>
              <w:t xml:space="preserve">Nothing yet.</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Change password</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Saves the new password.</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Your old password stops working straight away, and other people (including the PI) never see your new one.</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A confirmation appears. Use the new password next time.</w:t>
            </w:r>
          </w:p>
        </w:tc>
      </w:tr>
    </w:tbl>
    <w:p>
      <w:pPr>
        <w:spacing w:after="120"/>
      </w:pPr>
    </w:p>
    <w:p>
      <w:pPr>
        <w:pStyle w:val="Heading2"/>
      </w:pPr>
      <w:r>
        <w:t xml:space="preserve">8.4 Executive Dashboard</w:t>
      </w:r>
    </w:p>
    <w:p>
      <w:pPr>
        <w:spacing w:after="120" w:line="288"/>
      </w:pPr>
      <w:r>
        <w:rPr>
          <w:b/>
          <w:bCs/>
        </w:rPr>
        <w:t xml:space="preserve">Who can open it:</w:t>
      </w:r>
      <w:r>
        <w:t xml:space="preserve"> PI / System Admin, Field / Digital Coordinator, Data Analyst, Supervisor.  </w:t>
      </w:r>
      <w:r>
        <w:rPr>
          <w:b/>
          <w:bCs/>
        </w:rPr>
        <w:t xml:space="preserve">Where:</w:t>
      </w:r>
      <w:r>
        <w:t xml:space="preserve"> </w:t>
      </w:r>
      <w:r>
        <w:rPr>
          <w:rFonts w:ascii="Consolas" w:cs="Consolas" w:eastAsia="Consolas" w:hAnsi="Consolas"/>
          <w:b w:val="false"/>
          <w:bCs w:val="false"/>
          <w:color w:val="122238"/>
          <w:sz w:val="19"/>
          <w:szCs w:val="19"/>
        </w:rPr>
        <w:t xml:space="preserve">/admin/dashboard</w:t>
      </w:r>
    </w:p>
    <w:p>
      <w:pPr>
        <w:spacing w:after="120" w:line="288"/>
      </w:pPr>
      <w:r>
        <w:t xml:space="preserve">The one-page picture of the study: how many cases are where in the funnel, response and quality headlines, and the weakest parts of the sample. Counts and rates only; never a name.</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Tiles: QUAN completed, KII completed, Documents coded, Days to data lock, Fieldwork expenditure to date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Show the headline counts against their targets, the days left to the data lock (30 November 2026) and the spend so far. Read them; there is nothing to press.</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Aggregates only, so the dashboards are safe to show to people who must not see respondent identities.</w:t>
            </w:r>
          </w:p>
        </w:tc>
        <w:tc>
          <w:tcPr>
            <w:tcW w:type="dxa" w:w="2071"/>
            <w:tcMar>
              <w:top w:type="dxa" w:w="70"/>
              <w:left w:type="dxa" w:w="110"/>
              <w:bottom w:type="dxa" w:w="70"/>
              <w:right w:type="dxa" w:w="110"/>
            </w:tcMar>
            <w:vAlign w:val="top"/>
          </w:tcPr>
          <w:p>
            <w:pPr>
              <w:spacing w:after="40"/>
            </w:pPr>
            <w:r>
              <w:rPr>
                <w:b w:val="false"/>
                <w:bCs w:val="false"/>
                <w:sz w:val="19"/>
                <w:szCs w:val="19"/>
              </w:rPr>
              <w:t xml:space="preserve">Numbers update whenever the screen is opened or refreshed.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Highest-risk coverage gaps</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Lists the strata (province × organisation type × size) with the lowest fill so far.</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Tells the coordinator where fieldwork effort is most needed to meet the sample design.</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Use it to decide where to send Contact RAs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Links: Sampling, Contact, QA, KII / Documents, Cost</w:t>
            </w:r>
          </w:p>
        </w:tc>
        <w:tc>
          <w:tcPr>
            <w:tcW w:type="dxa" w:w="3012"/>
            <w:tcMar>
              <w:top w:type="dxa" w:w="70"/>
              <w:left w:type="dxa" w:w="110"/>
              <w:bottom w:type="dxa" w:w="70"/>
              <w:right w:type="dxa" w:w="110"/>
            </w:tcMar>
            <w:vAlign w:val="top"/>
          </w:tcPr>
          <w:p>
            <w:pPr>
              <w:spacing w:after="40"/>
            </w:pPr>
            <w:r>
              <w:rPr>
                <w:b w:val="false"/>
                <w:bCs w:val="false"/>
                <w:sz w:val="19"/>
                <w:szCs w:val="19"/>
              </w:rPr>
              <w:t xml:space="preserve">Open the related dashboards.</w:t>
            </w:r>
          </w:p>
        </w:tc>
        <w:tc>
          <w:tcPr>
            <w:tcW w:type="dxa" w:w="2447"/>
            <w:tcMar>
              <w:top w:type="dxa" w:w="70"/>
              <w:left w:type="dxa" w:w="110"/>
              <w:bottom w:type="dxa" w:w="70"/>
              <w:right w:type="dxa" w:w="110"/>
            </w:tcMar>
            <w:vAlign w:val="top"/>
          </w:tcPr>
          <w:p>
            <w:pPr>
              <w:spacing w:after="40"/>
            </w:pPr>
            <w:r>
              <w:rPr>
                <w:b w:val="false"/>
                <w:bCs w:val="false"/>
                <w:sz w:val="19"/>
                <w:szCs w:val="19"/>
              </w:rPr>
              <w:t xml:space="preserve">Saves hunting through the menu.</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linked screen opens.</w:t>
            </w:r>
          </w:p>
        </w:tc>
      </w:tr>
    </w:tbl>
    <w:p>
      <w:pPr>
        <w:spacing w:after="120"/>
      </w:pPr>
    </w:p>
    <w:p>
      <w:pPr>
        <w:pStyle w:val="Heading2"/>
      </w:pPr>
      <w:r>
        <w:t xml:space="preserve">8.5 Sampling Dashboard</w:t>
      </w:r>
    </w:p>
    <w:p>
      <w:pPr>
        <w:spacing w:after="120" w:line="288"/>
      </w:pPr>
      <w:r>
        <w:rPr>
          <w:b/>
          <w:bCs/>
        </w:rPr>
        <w:t xml:space="preserve">Who can open it:</w:t>
      </w:r>
      <w:r>
        <w:t xml:space="preserve"> PI / System Admin, Field / Digital Coordinator, Data Analyst, Supervisor.  </w:t>
      </w:r>
      <w:r>
        <w:rPr>
          <w:b/>
          <w:bCs/>
        </w:rPr>
        <w:t xml:space="preserve">Where:</w:t>
      </w:r>
      <w:r>
        <w:t xml:space="preserve"> </w:t>
      </w:r>
      <w:r>
        <w:rPr>
          <w:rFonts w:ascii="Consolas" w:cs="Consolas" w:eastAsia="Consolas" w:hAnsi="Consolas"/>
          <w:b w:val="false"/>
          <w:bCs w:val="false"/>
          <w:color w:val="122238"/>
          <w:sz w:val="19"/>
          <w:szCs w:val="19"/>
        </w:rPr>
        <w:t xml:space="preserve">/admin/dashboard/sampling</w:t>
      </w:r>
    </w:p>
    <w:p>
      <w:pPr>
        <w:spacing w:after="120" w:line="288"/>
      </w:pPr>
      <w:r>
        <w:t xml:space="preserve">How the Main-400 and Reserve-400 samples stand.</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Main-400 by province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Shows how many Main cases each province holds and how many are verified.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design fixes how many organisations each province must contribute.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Read only.</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Verified / total by stratum</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Shows verification progress in each stratum.</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 stratum that cannot be verified may need a Reserve replacement.</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Read only.</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Reserve activations by reason</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Counts Reserve cases activated, by the authorised reason.</w:t>
            </w:r>
          </w:p>
        </w:tc>
        <w:tc>
          <w:tcPr>
            <w:tcW w:type="dxa" w:w="2447"/>
            <w:tcMar>
              <w:top w:type="dxa" w:w="70"/>
              <w:left w:type="dxa" w:w="110"/>
              <w:bottom w:type="dxa" w:w="70"/>
              <w:right w:type="dxa" w:w="110"/>
            </w:tcMar>
            <w:vAlign w:val="top"/>
          </w:tcPr>
          <w:p>
            <w:pPr>
              <w:spacing w:after="40"/>
            </w:pPr>
            <w:r>
              <w:rPr>
                <w:b w:val="false"/>
                <w:bCs w:val="false"/>
                <w:sz w:val="19"/>
                <w:szCs w:val="19"/>
              </w:rPr>
              <w:t xml:space="preserve">Reserve replacement is controlled and audited; this shows how often and why it happens.</w:t>
            </w:r>
          </w:p>
        </w:tc>
        <w:tc>
          <w:tcPr>
            <w:tcW w:type="dxa" w:w="2071"/>
            <w:tcMar>
              <w:top w:type="dxa" w:w="70"/>
              <w:left w:type="dxa" w:w="110"/>
              <w:bottom w:type="dxa" w:w="70"/>
              <w:right w:type="dxa" w:w="110"/>
            </w:tcMar>
            <w:vAlign w:val="top"/>
          </w:tcPr>
          <w:p>
            <w:pPr>
              <w:spacing w:after="40"/>
            </w:pPr>
            <w:r>
              <w:rPr>
                <w:b w:val="false"/>
                <w:bCs w:val="false"/>
                <w:sz w:val="19"/>
                <w:szCs w:val="19"/>
              </w:rPr>
              <w:t xml:space="preserve">Read only. “No reserve activations yet” until one is made.</w:t>
            </w:r>
          </w:p>
        </w:tc>
      </w:tr>
    </w:tbl>
    <w:p>
      <w:pPr>
        <w:spacing w:after="120"/>
      </w:pPr>
    </w:p>
    <w:p>
      <w:pPr>
        <w:pStyle w:val="Heading2"/>
      </w:pPr>
      <w:r>
        <w:t xml:space="preserve">8.6 Contact Dashboard</w:t>
      </w:r>
    </w:p>
    <w:p>
      <w:pPr>
        <w:spacing w:after="120" w:line="288"/>
      </w:pPr>
      <w:r>
        <w:rPr>
          <w:b/>
          <w:bCs/>
        </w:rPr>
        <w:t xml:space="preserve">Who can open it:</w:t>
      </w:r>
      <w:r>
        <w:t xml:space="preserve"> PI / System Admin, Field / Digital Coordinator, Data Analyst, Supervisor.  </w:t>
      </w:r>
      <w:r>
        <w:rPr>
          <w:b/>
          <w:bCs/>
        </w:rPr>
        <w:t xml:space="preserve">Where:</w:t>
      </w:r>
      <w:r>
        <w:t xml:space="preserve"> </w:t>
      </w:r>
      <w:r>
        <w:rPr>
          <w:rFonts w:ascii="Consolas" w:cs="Consolas" w:eastAsia="Consolas" w:hAnsi="Consolas"/>
          <w:b w:val="false"/>
          <w:bCs w:val="false"/>
          <w:color w:val="122238"/>
          <w:sz w:val="19"/>
          <w:szCs w:val="19"/>
        </w:rPr>
        <w:t xml:space="preserve">/admin/dashboard/contact</w:t>
      </w:r>
    </w:p>
    <w:p>
      <w:pPr>
        <w:spacing w:after="120" w:line="288"/>
      </w:pPr>
      <w:r>
        <w:t xml:space="preserve">Contact activity: how many are invited, reminded, reached, and how appointments stand.</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Contact figures</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Show counts of contacts, reminders and appointments by status.</w:t>
            </w:r>
          </w:p>
        </w:tc>
        <w:tc>
          <w:tcPr>
            <w:tcW w:type="dxa" w:w="2447"/>
            <w:tcMar>
              <w:top w:type="dxa" w:w="70"/>
              <w:left w:type="dxa" w:w="110"/>
              <w:bottom w:type="dxa" w:w="70"/>
              <w:right w:type="dxa" w:w="110"/>
            </w:tcMar>
            <w:vAlign w:val="top"/>
          </w:tcPr>
          <w:p>
            <w:pPr>
              <w:spacing w:after="40"/>
            </w:pPr>
            <w:r>
              <w:rPr>
                <w:b w:val="false"/>
                <w:bCs w:val="false"/>
                <w:sz w:val="19"/>
                <w:szCs w:val="19"/>
              </w:rPr>
              <w:t xml:space="preserve">Lets the coordinator see whether contact is on schedule without opening cases.</w:t>
            </w:r>
          </w:p>
        </w:tc>
        <w:tc>
          <w:tcPr>
            <w:tcW w:type="dxa" w:w="2071"/>
            <w:tcMar>
              <w:top w:type="dxa" w:w="70"/>
              <w:left w:type="dxa" w:w="110"/>
              <w:bottom w:type="dxa" w:w="70"/>
              <w:right w:type="dxa" w:w="110"/>
            </w:tcMar>
            <w:vAlign w:val="top"/>
          </w:tcPr>
          <w:p>
            <w:pPr>
              <w:spacing w:after="40"/>
            </w:pPr>
            <w:r>
              <w:rPr>
                <w:b w:val="false"/>
                <w:bCs w:val="false"/>
                <w:sz w:val="19"/>
                <w:szCs w:val="19"/>
              </w:rPr>
              <w:t xml:space="preserve">Read only.</w:t>
            </w:r>
          </w:p>
        </w:tc>
      </w:tr>
    </w:tbl>
    <w:p>
      <w:pPr>
        <w:spacing w:after="120"/>
      </w:pPr>
    </w:p>
    <w:p>
      <w:pPr>
        <w:pStyle w:val="Heading2"/>
      </w:pPr>
      <w:r>
        <w:t xml:space="preserve">8.7 QA Dashboard</w:t>
      </w:r>
    </w:p>
    <w:p>
      <w:pPr>
        <w:spacing w:after="120" w:line="288"/>
      </w:pPr>
      <w:r>
        <w:rPr>
          <w:b/>
          <w:bCs/>
        </w:rPr>
        <w:t xml:space="preserve">Who can open it:</w:t>
      </w:r>
      <w:r>
        <w:t xml:space="preserve"> PI / System Admin, Field / Digital Coordinator, QUAN/Kobo QA RA, Supervisor.  </w:t>
      </w:r>
      <w:r>
        <w:rPr>
          <w:b/>
          <w:bCs/>
        </w:rPr>
        <w:t xml:space="preserve">Where:</w:t>
      </w:r>
      <w:r>
        <w:t xml:space="preserve"> </w:t>
      </w:r>
      <w:r>
        <w:rPr>
          <w:rFonts w:ascii="Consolas" w:cs="Consolas" w:eastAsia="Consolas" w:hAnsi="Consolas"/>
          <w:b w:val="false"/>
          <w:bCs w:val="false"/>
          <w:color w:val="122238"/>
          <w:sz w:val="19"/>
          <w:szCs w:val="19"/>
        </w:rPr>
        <w:t xml:space="preserve">/admin/dashboard/qa</w:t>
      </w:r>
    </w:p>
    <w:p>
      <w:pPr>
        <w:spacing w:after="120" w:line="288"/>
      </w:pPr>
      <w:r>
        <w:t xml:space="preserve">Quality checking at a glance: how many questionnaires wait for a decision and how the completed ones were done.</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Refresh</w:t>
            </w:r>
          </w:p>
        </w:tc>
        <w:tc>
          <w:tcPr>
            <w:tcW w:type="dxa" w:w="3012"/>
            <w:tcMar>
              <w:top w:type="dxa" w:w="70"/>
              <w:left w:type="dxa" w:w="110"/>
              <w:bottom w:type="dxa" w:w="70"/>
              <w:right w:type="dxa" w:w="110"/>
            </w:tcMar>
            <w:vAlign w:val="top"/>
          </w:tcPr>
          <w:p>
            <w:pPr>
              <w:spacing w:after="40"/>
            </w:pPr>
            <w:r>
              <w:rPr>
                <w:b w:val="false"/>
                <w:bCs w:val="false"/>
                <w:sz w:val="19"/>
                <w:szCs w:val="19"/>
              </w:rPr>
              <w:t xml:space="preserve">Re-reads the figures now.</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page does not update by itself while you watch it.</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numbers reload; the button says Refreshing… briefly.</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Administration mode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Shows how many questionnaires were completed by each mode (web, telephone, WhatsApp-assisted, face to face).</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Mode balance is a quality and method question for the study.</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Read only.</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Open QA queue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Goes to the QA Queue.</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Takes you from the overview to the work.</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QA Queue opens.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Try again</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Appears if the figures could not load; tries once more.</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 dropped connection should not leave a blank page.</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figures load, or the message stays.</w:t>
            </w:r>
          </w:p>
        </w:tc>
      </w:tr>
    </w:tbl>
    <w:p>
      <w:pPr>
        <w:spacing w:after="120"/>
      </w:pPr>
    </w:p>
    <w:p>
      <w:pPr>
        <w:pStyle w:val="Heading2"/>
      </w:pPr>
      <w:r>
        <w:t xml:space="preserve">8.8 KII / Document Dashboard</w:t>
      </w:r>
    </w:p>
    <w:p>
      <w:pPr>
        <w:spacing w:after="120" w:line="288"/>
      </w:pPr>
      <w:r>
        <w:rPr>
          <w:b/>
          <w:bCs/>
        </w:rPr>
        <w:t xml:space="preserve">Who can open it:</w:t>
      </w:r>
      <w:r>
        <w:t xml:space="preserve"> PI / System Admin, Field / Digital Coordinator, Data Analyst, Supervisor, KII RA, Documentary RA.  </w:t>
      </w:r>
      <w:r>
        <w:rPr>
          <w:b/>
          <w:bCs/>
        </w:rPr>
        <w:t xml:space="preserve">Where:</w:t>
      </w:r>
      <w:r>
        <w:t xml:space="preserve"> </w:t>
      </w:r>
      <w:r>
        <w:rPr>
          <w:rFonts w:ascii="Consolas" w:cs="Consolas" w:eastAsia="Consolas" w:hAnsi="Consolas"/>
          <w:b w:val="false"/>
          <w:bCs w:val="false"/>
          <w:color w:val="122238"/>
          <w:sz w:val="19"/>
          <w:szCs w:val="19"/>
        </w:rPr>
        <w:t xml:space="preserve">/admin/dashboard/kii-documents</w:t>
      </w:r>
    </w:p>
    <w:p>
      <w:pPr>
        <w:spacing w:after="120" w:line="288"/>
      </w:pPr>
      <w:r>
        <w:t xml:space="preserve">Progress of the two qualitative strands against their targets (about 60 KIIs, 50–75 documents).</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KII by status</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Counts KII records at each stage (prospect, invited, scheduled, completed, declined, no-show).</w:t>
            </w:r>
          </w:p>
        </w:tc>
        <w:tc>
          <w:tcPr>
            <w:tcW w:type="dxa" w:w="2447"/>
            <w:tcMar>
              <w:top w:type="dxa" w:w="70"/>
              <w:left w:type="dxa" w:w="110"/>
              <w:bottom w:type="dxa" w:w="70"/>
              <w:right w:type="dxa" w:w="110"/>
            </w:tcMar>
            <w:vAlign w:val="top"/>
          </w:tcPr>
          <w:p>
            <w:pPr>
              <w:spacing w:after="40"/>
            </w:pPr>
            <w:r>
              <w:rPr>
                <w:b w:val="false"/>
                <w:bCs w:val="false"/>
                <w:sz w:val="19"/>
                <w:szCs w:val="19"/>
              </w:rPr>
              <w:t xml:space="preserve">Shows how far the interview target has come.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Read only.</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Documents by type / by QA status</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Counts documents by type (official, secondary, platform) and by decision (pending, included, excluded).</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Only included documents count towards the corpus target.</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Read only.</w:t>
            </w:r>
          </w:p>
        </w:tc>
      </w:tr>
    </w:tbl>
    <w:p>
      <w:pPr>
        <w:spacing w:after="120"/>
      </w:pPr>
    </w:p>
    <w:p>
      <w:pPr>
        <w:pStyle w:val="Heading2"/>
      </w:pPr>
      <w:r>
        <w:t xml:space="preserve">8.9 Reports</w:t>
      </w:r>
    </w:p>
    <w:p>
      <w:pPr>
        <w:spacing w:after="120" w:line="288"/>
      </w:pPr>
      <w:r>
        <w:rPr>
          <w:b/>
          <w:bCs/>
        </w:rPr>
        <w:t xml:space="preserve">Who can open it:</w:t>
      </w:r>
      <w:r>
        <w:t xml:space="preserve"> PI / System Admin, Field / Digital Coordinator, Data Analyst, Supervisor.  </w:t>
      </w:r>
      <w:r>
        <w:rPr>
          <w:b/>
          <w:bCs/>
        </w:rPr>
        <w:t xml:space="preserve">Where:</w:t>
      </w:r>
      <w:r>
        <w:t xml:space="preserve"> </w:t>
      </w:r>
      <w:r>
        <w:rPr>
          <w:rFonts w:ascii="Consolas" w:cs="Consolas" w:eastAsia="Consolas" w:hAnsi="Consolas"/>
          <w:b w:val="false"/>
          <w:bCs w:val="false"/>
          <w:color w:val="122238"/>
          <w:sz w:val="19"/>
          <w:szCs w:val="19"/>
        </w:rPr>
        <w:t xml:space="preserve">/admin/reports</w:t>
      </w:r>
    </w:p>
    <w:p>
      <w:pPr>
        <w:spacing w:after="120" w:line="288"/>
      </w:pPr>
      <w:r>
        <w:t xml:space="preserve">Charts for supervision meetings and progress reports: funnel, submissions per day, coverage, time to complete, QA outcomes, modes and workflow. Counts and rates only.</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Last 7 days / Last 30 days / Last 90 days / All time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Sets the period the time-based charts cover.</w:t>
            </w:r>
          </w:p>
        </w:tc>
        <w:tc>
          <w:tcPr>
            <w:tcW w:type="dxa" w:w="2447"/>
            <w:tcMar>
              <w:top w:type="dxa" w:w="70"/>
              <w:left w:type="dxa" w:w="110"/>
              <w:bottom w:type="dxa" w:w="70"/>
              <w:right w:type="dxa" w:w="110"/>
            </w:tcMar>
            <w:vAlign w:val="top"/>
          </w:tcPr>
          <w:p>
            <w:pPr>
              <w:spacing w:after="40"/>
            </w:pPr>
            <w:r>
              <w:rPr>
                <w:b w:val="false"/>
                <w:bCs w:val="false"/>
                <w:sz w:val="19"/>
                <w:szCs w:val="19"/>
              </w:rPr>
              <w:t xml:space="preserve">Meetings usually ask “what happened this week or month”. Case progress is always cumulative.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Every time-based chart redraws for that period.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Province / Organisation type / Size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Changes what the coverage chart is broken down by.</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Coverage matters along all three design dimensions.</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coverage chart redraws.</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Show table / Show chart</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Switches one chart between its picture and the numbers behind it.</w:t>
            </w:r>
          </w:p>
        </w:tc>
        <w:tc>
          <w:tcPr>
            <w:tcW w:type="dxa" w:w="2447"/>
            <w:tcMar>
              <w:top w:type="dxa" w:w="70"/>
              <w:left w:type="dxa" w:w="110"/>
              <w:bottom w:type="dxa" w:w="70"/>
              <w:right w:type="dxa" w:w="110"/>
            </w:tcMar>
            <w:vAlign w:val="top"/>
          </w:tcPr>
          <w:p>
            <w:pPr>
              <w:spacing w:after="40"/>
            </w:pPr>
            <w:r>
              <w:rPr>
                <w:b w:val="false"/>
                <w:bCs w:val="false"/>
                <w:sz w:val="19"/>
                <w:szCs w:val="19"/>
              </w:rPr>
              <w:t xml:space="preserve">Every chart is available as a table so numbers can be read out, copied or checked.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chart is replaced by a table (and back).</w:t>
            </w:r>
          </w:p>
        </w:tc>
      </w:tr>
    </w:tbl>
    <w:p>
      <w:pPr>
        <w:spacing w:after="120"/>
      </w:pPr>
    </w:p>
    <w:p>
      <w:pPr>
        <w:pStyle w:val="Heading2"/>
      </w:pPr>
      <w:r>
        <w:t xml:space="preserve">8.10 Main-400 Register (and Reserve)</w:t>
      </w:r>
    </w:p>
    <w:p>
      <w:pPr>
        <w:spacing w:after="120" w:line="288"/>
      </w:pPr>
      <w:r>
        <w:rPr>
          <w:b/>
          <w:bCs/>
        </w:rPr>
        <w:t xml:space="preserve">Who can open it:</w:t>
      </w:r>
      <w:r>
        <w:t xml:space="preserve"> PI / System Admin, Field / Digital Coordinator, Contact RA, Supervisor.  </w:t>
      </w:r>
      <w:r>
        <w:rPr>
          <w:b/>
          <w:bCs/>
        </w:rPr>
        <w:t xml:space="preserve">Where:</w:t>
      </w:r>
      <w:r>
        <w:t xml:space="preserve"> </w:t>
      </w:r>
      <w:r>
        <w:rPr>
          <w:rFonts w:ascii="Consolas" w:cs="Consolas" w:eastAsia="Consolas" w:hAnsi="Consolas"/>
          <w:b w:val="false"/>
          <w:bCs w:val="false"/>
          <w:color w:val="122238"/>
          <w:sz w:val="19"/>
          <w:szCs w:val="19"/>
        </w:rPr>
        <w:t xml:space="preserve">/admin/sample</w:t>
      </w:r>
    </w:p>
    <w:p>
      <w:pPr>
        <w:spacing w:after="120" w:line="288"/>
      </w:pPr>
      <w:r>
        <w:t xml:space="preserve">The list of sample cases. A Contact RA sees only the cases assigned to them. From here you open a case, and the coordinator moves or reassigns cases in bulk.</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Main / Reserve (sample type)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Switches the list between the 400 Main cases and the 400 locked Reserve cases.</w:t>
            </w:r>
          </w:p>
        </w:tc>
        <w:tc>
          <w:tcPr>
            <w:tcW w:type="dxa" w:w="2447"/>
            <w:tcMar>
              <w:top w:type="dxa" w:w="70"/>
              <w:left w:type="dxa" w:w="110"/>
              <w:bottom w:type="dxa" w:w="70"/>
              <w:right w:type="dxa" w:w="110"/>
            </w:tcMar>
            <w:vAlign w:val="top"/>
          </w:tcPr>
          <w:p>
            <w:pPr>
              <w:spacing w:after="40"/>
            </w:pPr>
            <w:r>
              <w:rPr>
                <w:b w:val="false"/>
                <w:bCs w:val="false"/>
                <w:sz w:val="19"/>
                <w:szCs w:val="19"/>
              </w:rPr>
              <w:t xml:space="preserve">Reserve cases are locked replacements and are handled differently from Main cases.</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list changes and returns to page 1.</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Search ID, organisation or phone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Filters the list as you type: by Sample ID, organisation, Master ID, or a respondent's phone or WhatsApp number. A phone number can be typed any way (0772 123 456, +263772123456 or 772123456): it finds the record whose number on file has those digits.</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Finding one case among hundreds should not need paging, and a caller who rings back can be found by their number.</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Only matching cases are listed.</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Register organisation</w:t>
            </w:r>
          </w:p>
        </w:tc>
        <w:tc>
          <w:tcPr>
            <w:tcW w:type="dxa" w:w="3012"/>
            <w:tcMar>
              <w:top w:type="dxa" w:w="70"/>
              <w:left w:type="dxa" w:w="110"/>
              <w:bottom w:type="dxa" w:w="70"/>
              <w:right w:type="dxa" w:w="110"/>
            </w:tcMar>
            <w:vAlign w:val="top"/>
          </w:tcPr>
          <w:p>
            <w:pPr>
              <w:spacing w:after="40"/>
            </w:pPr>
            <w:r>
              <w:rPr>
                <w:b w:val="false"/>
                <w:bCs w:val="false"/>
                <w:sz w:val="19"/>
                <w:szCs w:val="19"/>
              </w:rPr>
              <w:t xml:space="preserve">Opens Register Organisation to add an organisation that is not yet in the sample.</w:t>
            </w:r>
          </w:p>
        </w:tc>
        <w:tc>
          <w:tcPr>
            <w:tcW w:type="dxa" w:w="2447"/>
            <w:tcMar>
              <w:top w:type="dxa" w:w="70"/>
              <w:left w:type="dxa" w:w="110"/>
              <w:bottom w:type="dxa" w:w="70"/>
              <w:right w:type="dxa" w:w="110"/>
            </w:tcMar>
            <w:vAlign w:val="top"/>
          </w:tcPr>
          <w:p>
            <w:pPr>
              <w:spacing w:after="40"/>
            </w:pPr>
            <w:r>
              <w:rPr>
                <w:b w:val="false"/>
                <w:bCs w:val="false"/>
                <w:sz w:val="19"/>
                <w:szCs w:val="19"/>
              </w:rPr>
              <w:t xml:space="preserve">Late additions must get a proper Master ID and a sample case.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Register Organisation screen opens.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View</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Opens the case page for that row.</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All work on a case happens on its own page.</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case page opens.</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Move through verification: step, How many, Move all N</w:t>
            </w:r>
          </w:p>
        </w:tc>
        <w:tc>
          <w:tcPr>
            <w:tcW w:type="dxa" w:w="3012"/>
            <w:tcMar>
              <w:top w:type="dxa" w:w="70"/>
              <w:left w:type="dxa" w:w="110"/>
              <w:bottom w:type="dxa" w:w="70"/>
              <w:right w:type="dxa" w:w="110"/>
            </w:tcMar>
            <w:vAlign w:val="top"/>
          </w:tcPr>
          <w:p>
            <w:pPr>
              <w:spacing w:after="40"/>
            </w:pPr>
            <w:r>
              <w:rPr>
                <w:b w:val="false"/>
                <w:bCs w:val="false"/>
                <w:sz w:val="19"/>
                <w:szCs w:val="19"/>
              </w:rPr>
              <w:t xml:space="preserve">Moves every Main case at one verification step (S00→S01, S01→S02, S02→S03) to the next after you confirm.</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All 400 cases start at S00; verifying them one by one would take days, and a status should only advance when the checks behind it are done.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A confirmation asks first. Then “Moved N cases”, and the register updates.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Reassign cases: From, Province, How many, To, Move cases</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Moves a chosen number of cases (in Sample ID order) from one Contact RA, or from Unassigned, to another RA (or to nobody).</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Workload has to be balanced; moving in ID order lets you split a large province between RAs in two steps.</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A confirmation asks first, then the cases appear in the new RA's register.</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Import background research (ChatGPT workbook): Check file, Import N records</w:t>
            </w:r>
          </w:p>
        </w:tc>
        <w:tc>
          <w:tcPr>
            <w:tcW w:type="dxa" w:w="3012"/>
            <w:tcMar>
              <w:top w:type="dxa" w:w="70"/>
              <w:left w:type="dxa" w:w="110"/>
              <w:bottom w:type="dxa" w:w="70"/>
              <w:right w:type="dxa" w:w="110"/>
            </w:tcMar>
            <w:vAlign w:val="top"/>
          </w:tcPr>
          <w:p>
            <w:pPr>
              <w:spacing w:after="40"/>
            </w:pPr>
            <w:r>
              <w:rPr>
                <w:b w:val="false"/>
                <w:bCs w:val="false"/>
                <w:sz w:val="19"/>
                <w:szCs w:val="19"/>
              </w:rPr>
              <w:t xml:space="preserve">Reads the Excel file ChatGPT returned from the Main-400 research pack and adds its contacts and PROIT facts as suggestions for review on each case. Check file shows what would be added and keeps nothing.</w:t>
            </w:r>
          </w:p>
        </w:tc>
        <w:tc>
          <w:tcPr>
            <w:tcW w:type="dxa" w:w="2447"/>
            <w:tcMar>
              <w:top w:type="dxa" w:w="70"/>
              <w:left w:type="dxa" w:w="110"/>
              <w:bottom w:type="dxa" w:w="70"/>
              <w:right w:type="dxa" w:w="110"/>
            </w:tcMar>
            <w:vAlign w:val="top"/>
          </w:tcPr>
          <w:p>
            <w:pPr>
              <w:spacing w:after="40"/>
            </w:pPr>
            <w:r>
              <w:rPr>
                <w:b w:val="false"/>
                <w:bCs w:val="false"/>
                <w:sz w:val="19"/>
                <w:szCs w:val="19"/>
              </w:rPr>
              <w:t xml:space="preserve">Researching hundreds of small businesses and typing the results in by hand is slow; review stays one click per item.</w:t>
            </w:r>
          </w:p>
        </w:tc>
        <w:tc>
          <w:tcPr>
            <w:tcW w:type="dxa" w:w="2071"/>
            <w:tcMar>
              <w:top w:type="dxa" w:w="70"/>
              <w:left w:type="dxa" w:w="110"/>
              <w:bottom w:type="dxa" w:w="70"/>
              <w:right w:type="dxa" w:w="110"/>
            </w:tcMar>
            <w:vAlign w:val="top"/>
          </w:tcPr>
          <w:p>
            <w:pPr>
              <w:spacing w:after="40"/>
            </w:pPr>
            <w:r>
              <w:rPr>
                <w:b w:val="false"/>
                <w:bCs w:val="false"/>
                <w:sz w:val="19"/>
                <w:szCs w:val="19"/>
              </w:rPr>
              <w:t xml:space="preserve">A table per Sample ID with links to each case. Nothing reaches a case until someone accepts it; locked Reserves and locked profiles are never touched.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Find contact details with AI: How many cases, Find contacts</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Starts an AI contact search for that many cases (up to 25, in Sample ID order) that are not yet invited and have no phone, WhatsApp or email. A case searched in the last 30 days is skipped.</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 case with no contact details cannot be invited, and searching hundreds of organisations by hand would take weeks.</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“Queued N searches” with the estimated cost, then a progress line (done, searching now, waiting) while the searches run one at a time. The button stays locked until the batch has finished. Nothing is saved by the batch.</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Findings to review → Review them all on one page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Opens the review page: every waiting finding, grouped by case, with filters for kind (Phones and Emails chosen at first), confidence and source site, and Accept / Reject beside each. Accept all N shown and Reject all shown act on what is on screen for one case.</w:t>
            </w:r>
          </w:p>
        </w:tc>
        <w:tc>
          <w:tcPr>
            <w:tcW w:type="dxa" w:w="2447"/>
            <w:tcMar>
              <w:top w:type="dxa" w:w="70"/>
              <w:left w:type="dxa" w:w="110"/>
              <w:bottom w:type="dxa" w:w="70"/>
              <w:right w:type="dxa" w:w="110"/>
            </w:tcMar>
            <w:vAlign w:val="top"/>
          </w:tcPr>
          <w:p>
            <w:pPr>
              <w:spacing w:after="40"/>
            </w:pPr>
            <w:r>
              <w:rPr>
                <w:b w:val="false"/>
                <w:bCs w:val="false"/>
                <w:sz w:val="19"/>
                <w:szCs w:val="19"/>
              </w:rPr>
              <w:t xml:space="preserve">Hundreds of findings are quicker to judge side by side, with the quote in view, than one case page at a time.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Each decision is saved and audited as on the case page, and the finding leaves the list. Accept all is withheld when a case shows two phones, two emails or a named person.</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Find contact details with AI → Findings to review → Review N findings</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Lists every case whose findings are waiting for a decision, and opens the chosen case.</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 batch finishes a case at a time over half an hour; this is where to pick up what has come in.</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case page opens at its findings, to accept or reject.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Send invitations: Send by (Email, SMS, WhatsApp), Next in line, How many, Review and send, Send N invitations</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Sends one invitation, with its own link and code, to that many verified cases (S03 or S04) with no open invitation, on every chosen way each case has a contact for. SMS and WhatsApp go through Twilio, to mobiles only. Up to 100 a batch; daily limits of 300 emails, 150 SMS and 250 WhatsApp.</w:t>
            </w:r>
          </w:p>
        </w:tc>
        <w:tc>
          <w:tcPr>
            <w:tcW w:type="dxa" w:w="2447"/>
            <w:tcMar>
              <w:top w:type="dxa" w:w="70"/>
              <w:left w:type="dxa" w:w="110"/>
              <w:bottom w:type="dxa" w:w="70"/>
              <w:right w:type="dxa" w:w="110"/>
            </w:tcMar>
            <w:vAlign w:val="top"/>
          </w:tcPr>
          <w:p>
            <w:pPr>
              <w:spacing w:after="40"/>
            </w:pPr>
            <w:r>
              <w:rPr>
                <w:b w:val="false"/>
                <w:bCs w:val="false"/>
                <w:sz w:val="19"/>
                <w:szCs w:val="19"/>
              </w:rPr>
              <w:t xml:space="preserve">Inviting cases one at a time is slow; only verified cases are included so no one is invited before the right person is confirmed. One invitation on every channel means every message carries the same working link.</w:t>
            </w:r>
          </w:p>
        </w:tc>
        <w:tc>
          <w:tcPr>
            <w:tcW w:type="dxa" w:w="2071"/>
            <w:tcMar>
              <w:top w:type="dxa" w:w="70"/>
              <w:left w:type="dxa" w:w="110"/>
              <w:bottom w:type="dxa" w:w="70"/>
              <w:right w:type="dxa" w:w="110"/>
            </w:tcMar>
            <w:vAlign w:val="top"/>
          </w:tcPr>
          <w:p>
            <w:pPr>
              <w:spacing w:after="40"/>
            </w:pPr>
            <w:r>
              <w:rPr>
                <w:b w:val="false"/>
                <w:bCs w:val="false"/>
                <w:sz w:val="19"/>
                <w:szCs w:val="19"/>
              </w:rPr>
              <w:t xml:space="preserve">A confirmation step appears in the panel first, with the SMS cost. Then progress, and the result: sent, failed and skipped, case by case. Each sent case moves to S05. A case where nothing got through is left as it was.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WhatsApp invitations (the queue)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Lists the verified cases (S03 or S04) with a WhatsApp or phone number and no open invitation. A Contact RA sees only their own cases.</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Without a WhatsApp Business account the portal cannot send WhatsApp messages; the queue makes each one a single tap.</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Read only. The list shows masked numbers.</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WhatsApp invitations → Prepare, Open WhatsApp, Copy message, Email the same link</w:t>
            </w:r>
          </w:p>
        </w:tc>
        <w:tc>
          <w:tcPr>
            <w:tcW w:type="dxa" w:w="3012"/>
            <w:tcMar>
              <w:top w:type="dxa" w:w="70"/>
              <w:left w:type="dxa" w:w="110"/>
              <w:bottom w:type="dxa" w:w="70"/>
              <w:right w:type="dxa" w:w="110"/>
            </w:tcMar>
            <w:vAlign w:val="top"/>
          </w:tcPr>
          <w:p>
            <w:pPr>
              <w:spacing w:after="40"/>
            </w:pPr>
            <w:r>
              <w:rPr>
                <w:b w:val="false"/>
                <w:bCs w:val="false"/>
                <w:sz w:val="19"/>
                <w:szCs w:val="19"/>
              </w:rPr>
              <w:t xml:space="preserve">Prepare creates the case's personal link and code and the approved message. Open WhatsApp opens that person's chat with the message ready; Copy message copies it. Email the same link (shown when the case has an email address) emails the same invitation from the study address.</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RA sends from the study phone so replies come back to the team.</w:t>
            </w:r>
          </w:p>
        </w:tc>
        <w:tc>
          <w:tcPr>
            <w:tcW w:type="dxa" w:w="2071"/>
            <w:tcMar>
              <w:top w:type="dxa" w:w="70"/>
              <w:left w:type="dxa" w:w="110"/>
              <w:bottom w:type="dxa" w:w="70"/>
              <w:right w:type="dxa" w:w="110"/>
            </w:tcMar>
            <w:vAlign w:val="top"/>
          </w:tcPr>
          <w:p>
            <w:pPr>
              <w:spacing w:after="40"/>
            </w:pPr>
            <w:r>
              <w:rPr>
                <w:b w:val="false"/>
                <w:bCs w:val="false"/>
                <w:sz w:val="19"/>
                <w:szCs w:val="19"/>
              </w:rPr>
              <w:t xml:space="preserve">Prepare moves the case to S05 at once, so send straight away. If you cannot, revoke the invitation on the case page.</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Show / page numbers / Previous / Next</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Chooses how many rows to see (10, 20, 50, 100 or 200) and moves between pages.</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Different jobs need different views; your choice is remembered.</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list redraws at the chosen size.</w:t>
            </w:r>
          </w:p>
        </w:tc>
      </w:tr>
    </w:tbl>
    <w:p>
      <w:pPr>
        <w:spacing w:after="120"/>
      </w:pPr>
    </w:p>
    <w:p>
      <w:pPr>
        <w:pStyle w:val="Heading2"/>
      </w:pPr>
      <w:r>
        <w:t xml:space="preserve">8.11 Case page</w:t>
      </w:r>
    </w:p>
    <w:p>
      <w:pPr>
        <w:spacing w:after="120" w:line="288"/>
      </w:pPr>
      <w:r>
        <w:rPr>
          <w:b/>
          <w:bCs/>
        </w:rPr>
        <w:t xml:space="preserve">Who can open it:</w:t>
      </w:r>
      <w:r>
        <w:t xml:space="preserve"> PI / System Admin, Field / Digital Coordinator, Contact RA, Supervisor.  </w:t>
      </w:r>
      <w:r>
        <w:rPr>
          <w:b/>
          <w:bCs/>
        </w:rPr>
        <w:t xml:space="preserve">Where:</w:t>
      </w:r>
      <w:r>
        <w:t xml:space="preserve"> </w:t>
      </w:r>
      <w:r>
        <w:rPr>
          <w:rFonts w:ascii="Consolas" w:cs="Consolas" w:eastAsia="Consolas" w:hAnsi="Consolas"/>
          <w:b w:val="false"/>
          <w:bCs w:val="false"/>
          <w:color w:val="122238"/>
          <w:sz w:val="19"/>
          <w:szCs w:val="19"/>
        </w:rPr>
        <w:t xml:space="preserve">/admin/sample/{Sample ID}</w:t>
      </w:r>
    </w:p>
    <w:p>
      <w:pPr>
        <w:spacing w:after="120" w:line="288"/>
      </w:pPr>
      <w:r>
        <w:t xml:space="preserve">Everything about one organisation's place in the sample: who to contact, the invitation, the questionnaire, the timeline and the case's status.</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Advance workflow status (→ S0x buttons)</w:t>
            </w:r>
          </w:p>
        </w:tc>
        <w:tc>
          <w:tcPr>
            <w:tcW w:type="dxa" w:w="3012"/>
            <w:tcMar>
              <w:top w:type="dxa" w:w="70"/>
              <w:left w:type="dxa" w:w="110"/>
              <w:bottom w:type="dxa" w:w="70"/>
              <w:right w:type="dxa" w:w="110"/>
            </w:tcMar>
            <w:vAlign w:val="top"/>
          </w:tcPr>
          <w:p>
            <w:pPr>
              <w:spacing w:after="40"/>
            </w:pPr>
            <w:r>
              <w:rPr>
                <w:b w:val="false"/>
                <w:bCs w:val="false"/>
                <w:sz w:val="19"/>
                <w:szCs w:val="19"/>
              </w:rPr>
              <w:t xml:space="preserve">Moves the case to the next valid status, for example from Eligible respondent identified to Invitation prepared.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workflow is a fixed sequence (S00–S16): a case cannot skip steps, and each move is recorded. Only statuses that are allowed next are shown.</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status changes and the change is added to the audit log. “No further transitions” appears at a final status.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Respondents and contact details → Add a person</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Records a person at the organisation: name, role, phone, WhatsApp, email, gatekeeper, and whether they are eligible.</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Invitations, reminders and phone-assisted interviews all need to know who to contact and whether they are the right (senior, knowledgeable) person.</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A form opens. After Save, the person is listed on the case.</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Respondents panel → Edit / Save / Cancel</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Corrects a person's details. Save keeps the change; Cancel discards it.</w:t>
            </w:r>
          </w:p>
        </w:tc>
        <w:tc>
          <w:tcPr>
            <w:tcW w:type="dxa" w:w="2447"/>
            <w:tcMar>
              <w:top w:type="dxa" w:w="70"/>
              <w:left w:type="dxa" w:w="110"/>
              <w:bottom w:type="dxa" w:w="70"/>
              <w:right w:type="dxa" w:w="110"/>
            </w:tcMar>
            <w:vAlign w:val="top"/>
          </w:tcPr>
          <w:p>
            <w:pPr>
              <w:spacing w:after="40"/>
            </w:pPr>
            <w:r>
              <w:rPr>
                <w:b w:val="false"/>
                <w:bCs w:val="false"/>
                <w:sz w:val="19"/>
                <w:szCs w:val="19"/>
              </w:rPr>
              <w:t xml:space="preserve">Contact details go stale, and a wrong number wastes a whole reminder sequence.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person's details update; Cancel leaves them unchanged.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Eligibility (Not yet screened / Eligible / Not eligible)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Records the outcome of your eligibility screening of that person.</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Someone not eligible must never receive the questionnaire: the system will not hand out the questionnaire link without a passed eligibility check and the person's consent.</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Eligible lets the questionnaire link work once consent is given. Not eligible sends the respondent to a referral instead.</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Assigned Contact RA</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Chooses which Contact RA works this case (or Unassigned).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 Contact RA sees only their assigned cases.</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RA's register now shows (or no longer shows) the case.</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Matched Reserve case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Pairs this Main case with a locked Reserve case from the same stratum.</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If the Main organisation drops out, its matched Reserve is the replacement, keeping the sample balanced.</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pair is saved. Activating the Reserve later still needs an authorised reason and an evidence note.</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Ask first → Send introduction</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Sends the study introduction (WhatsApp, or SMS with a WhatsApp reply link) asking whether the organisation will take part. Shown once Twilio's WhatsApp number is set up.</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 gentler first contact: the link only goes to those who agree, which is also what WhatsApp's rules expect.</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status and any replies show under Ask first. YES sends the invitation link automatically; NO moves the case to S12 Refused.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Invitations → Issue invitation (Channel, Wave)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Creates a personal invitation link (valid 14 days) and an 8-character manual code, for the chosen channel and wave.</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Respondents are invited by a private, expiring link. The link is shown once and only a scrambled form is stored, so a stolen database cannot reveal live links. A new invitation replaces the old one, so while the current link still works the portal asks first (Replace it / Keep the current one).</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link and code appear once, with a send button for every channel: send it on all the channels the organisation has. If the case cannot be invited (for example a locked Reserve case) you are told why.</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Send via WhatsApp / Send by SMS / Open in email app</w:t>
            </w:r>
          </w:p>
        </w:tc>
        <w:tc>
          <w:tcPr>
            <w:tcW w:type="dxa" w:w="3012"/>
            <w:tcMar>
              <w:top w:type="dxa" w:w="70"/>
              <w:left w:type="dxa" w:w="110"/>
              <w:bottom w:type="dxa" w:w="70"/>
              <w:right w:type="dxa" w:w="110"/>
            </w:tcMar>
            <w:vAlign w:val="top"/>
          </w:tcPr>
          <w:p>
            <w:pPr>
              <w:spacing w:after="40"/>
            </w:pPr>
            <w:r>
              <w:rPr>
                <w:b w:val="false"/>
                <w:bCs w:val="false"/>
                <w:sz w:val="19"/>
                <w:szCs w:val="19"/>
              </w:rPr>
              <w:t xml:space="preserve">Opens WhatsApp, your SMS app or your email program with the invitation message already written.</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portal does not send messages itself: you send from the study's own account so replies come to you.</w:t>
            </w:r>
          </w:p>
        </w:tc>
        <w:tc>
          <w:tcPr>
            <w:tcW w:type="dxa" w:w="2071"/>
            <w:tcMar>
              <w:top w:type="dxa" w:w="70"/>
              <w:left w:type="dxa" w:w="110"/>
              <w:bottom w:type="dxa" w:w="70"/>
              <w:right w:type="dxa" w:w="110"/>
            </w:tcMar>
            <w:vAlign w:val="top"/>
          </w:tcPr>
          <w:p>
            <w:pPr>
              <w:spacing w:after="40"/>
            </w:pPr>
            <w:r>
              <w:rPr>
                <w:b w:val="false"/>
                <w:bCs w:val="false"/>
                <w:sz w:val="19"/>
                <w:szCs w:val="19"/>
              </w:rPr>
              <w:t xml:space="preserve">Your messaging app opens with the text. Send it, then log it on the Contact timeline.</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Send email (from the portal) / Copy message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Sends the invitation email from the portal (if email is set up), or copies the text so you can paste it anywhere.</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Some respondents prefer email; copying is the fallback for any other channel.</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“Sent to …” or “Copied”.</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Revoke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Cancels an invitation so its link stops working.</w:t>
            </w:r>
          </w:p>
        </w:tc>
        <w:tc>
          <w:tcPr>
            <w:tcW w:type="dxa" w:w="2447"/>
            <w:tcMar>
              <w:top w:type="dxa" w:w="70"/>
              <w:left w:type="dxa" w:w="110"/>
              <w:bottom w:type="dxa" w:w="70"/>
              <w:right w:type="dxa" w:w="110"/>
            </w:tcMar>
            <w:vAlign w:val="top"/>
          </w:tcPr>
          <w:p>
            <w:pPr>
              <w:spacing w:after="40"/>
            </w:pPr>
            <w:r>
              <w:rPr>
                <w:b w:val="false"/>
                <w:bCs w:val="false"/>
                <w:sz w:val="19"/>
                <w:szCs w:val="19"/>
              </w:rPr>
              <w:t xml:space="preserve">Use if it went to the wrong person or the wrong address; it is also how a wrong send is undone.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link stops working at once and the invitation is shown as revoked.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Log a contact attempt (Channel, Outcome, Notes, Log contact attempt)</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Adds an entry to the Contact timeline: how you tried, what happened (Reached, No answer, Wrong number, Refused, Rescheduled, Completed) and a note.</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The timeline is the study's record of effort. It shows why a case is nonresponsive and protects respondents from being contacted twice by mistake.</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entry appears at the top of the timeline with your name and the time.</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Record a withdrawal (Reason, How they told us, Record withdrawal)</w:t>
            </w:r>
          </w:p>
        </w:tc>
        <w:tc>
          <w:tcPr>
            <w:tcW w:type="dxa" w:w="3012"/>
            <w:tcMar>
              <w:top w:type="dxa" w:w="70"/>
              <w:left w:type="dxa" w:w="110"/>
              <w:bottom w:type="dxa" w:w="70"/>
              <w:right w:type="dxa" w:w="110"/>
            </w:tcMar>
            <w:vAlign w:val="top"/>
          </w:tcPr>
          <w:p>
            <w:pPr>
              <w:spacing w:after="40"/>
            </w:pPr>
            <w:r>
              <w:rPr>
                <w:b w:val="false"/>
                <w:bCs w:val="false"/>
                <w:sz w:val="19"/>
                <w:szCs w:val="19"/>
              </w:rPr>
              <w:t xml:space="preserve">Records that the participant wants to withdraw. You give the reason and whether they told you by phone or in person, or in writing.</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 participant's right to withdraw must take effect at once and completely: their consent is recorded as withdrawn, every open invitation is revoked, reminders stop, and their phone, WhatsApp, email and gatekeeper contact are erased.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A confirmation warns that it cannot be undone. The case moves to Refused (a case already submitted keeps its status). Any answers already submitted are kept but left out of the analysis export and flagged.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Completed questionnaire → Download PDF</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Downloads the participant's completed questionnaire as a readable PDF.</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 readable copy is needed for QA notes and for the participant if they ask.</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A PDF downloads. The download is recorded in the audit log.</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Find contact details with AI → Find contact details / Search again</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Searches public sources for this organisation's published phone, email, website and office location, and senior staff it names. Runs in the background for a minute or two.</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 case cannot be invited without a way to reach it; the organisation's own published details are the proper starting point.</w:t>
            </w:r>
          </w:p>
        </w:tc>
        <w:tc>
          <w:tcPr>
            <w:tcW w:type="dxa" w:w="2071"/>
            <w:tcMar>
              <w:top w:type="dxa" w:w="70"/>
              <w:left w:type="dxa" w:w="110"/>
              <w:bottom w:type="dxa" w:w="70"/>
              <w:right w:type="dxa" w:w="110"/>
            </w:tcMar>
            <w:vAlign w:val="top"/>
          </w:tcPr>
          <w:p>
            <w:pPr>
              <w:spacing w:after="40"/>
            </w:pPr>
            <w:r>
              <w:rPr>
                <w:b w:val="false"/>
                <w:bCs w:val="false"/>
                <w:sz w:val="19"/>
                <w:szCs w:val="19"/>
              </w:rPr>
              <w:t xml:space="preserve">Findings appear under “To review”, each with the page it came from and the passage that shows it. Only the organisation's name, province, district and value chain are sent to the AI provider.</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Find contact details with AI → To review / Already decided</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Lists each finding with its confidence, the page it came from and the quoted passage, and the findings already accepted or rejected.</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Anyone overseeing the case can see where every contact detail came from.</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Read only. Select a page title to open it.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Find contact details with AI → Accept / Reject (Role for a named person)</w:t>
            </w:r>
          </w:p>
        </w:tc>
        <w:tc>
          <w:tcPr>
            <w:tcW w:type="dxa" w:w="3012"/>
            <w:tcMar>
              <w:top w:type="dxa" w:w="70"/>
              <w:left w:type="dxa" w:w="110"/>
              <w:bottom w:type="dxa" w:w="70"/>
              <w:right w:type="dxa" w:w="110"/>
            </w:tcMar>
            <w:vAlign w:val="top"/>
          </w:tcPr>
          <w:p>
            <w:pPr>
              <w:spacing w:after="40"/>
            </w:pPr>
            <w:r>
              <w:rPr>
                <w:b w:val="false"/>
                <w:bCs w:val="false"/>
                <w:sz w:val="19"/>
                <w:szCs w:val="19"/>
              </w:rPr>
              <w:t xml:space="preserve">Accept saves a finding: an organisation phone or email goes on “Organisation contact (to be identified)”, a named person becomes a new respondent (not yet screened), a website or office location is kept with the organisation. Reject discards it.</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AI only proposes; a person checks the page and decides, so a similar-named organisation's details never slip in.</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finding moves to “Already decided”. An accept never overwrites a different phone or email already recorded.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Pre-Interview Profile (PROIT) panel</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Coordinator's tool for background research on the organisation before an interview. See the PROIT screen entry.</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Public facts are found before contact so the respondent is asked to confirm them, not to repeat them.</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See the PROIT entry.</w:t>
            </w:r>
          </w:p>
        </w:tc>
      </w:tr>
    </w:tbl>
    <w:p>
      <w:pPr>
        <w:spacing w:after="120"/>
      </w:pPr>
    </w:p>
    <w:p>
      <w:pPr>
        <w:pStyle w:val="Heading2"/>
      </w:pPr>
      <w:r>
        <w:t xml:space="preserve">8.12 Pre-Interview Profile (PROIT) and its review screen</w:t>
      </w:r>
    </w:p>
    <w:p>
      <w:pPr>
        <w:spacing w:after="120" w:line="288"/>
      </w:pPr>
      <w:r>
        <w:rPr>
          <w:b/>
          <w:bCs/>
        </w:rPr>
        <w:t xml:space="preserve">Who can open it:</w:t>
      </w:r>
      <w:r>
        <w:t xml:space="preserve"> PI / System Admin, Field / Digital Coordinator, Supervisor.  </w:t>
      </w:r>
      <w:r>
        <w:rPr>
          <w:b/>
          <w:bCs/>
        </w:rPr>
        <w:t xml:space="preserve">Where:</w:t>
      </w:r>
      <w:r>
        <w:t xml:space="preserve"> </w:t>
      </w:r>
      <w:r>
        <w:rPr>
          <w:rFonts w:ascii="Consolas" w:cs="Consolas" w:eastAsia="Consolas" w:hAnsi="Consolas"/>
          <w:b w:val="false"/>
          <w:bCs w:val="false"/>
          <w:color w:val="122238"/>
          <w:sz w:val="19"/>
          <w:szCs w:val="19"/>
        </w:rPr>
        <w:t xml:space="preserve">(panel on the case page) · /admin/proit/{id}</w:t>
      </w:r>
    </w:p>
    <w:p>
      <w:pPr>
        <w:spacing w:after="120" w:line="288"/>
      </w:pPr>
      <w:r>
        <w:t xml:space="preserve">Records what is publicly known about an organisation and its respondent, each fact with a source, so the interview confirms facts instead of asking for them again. Never a private or inferred fact.</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Start background research</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Creates the pre-profile for this case.</w:t>
            </w:r>
          </w:p>
        </w:tc>
        <w:tc>
          <w:tcPr>
            <w:tcW w:type="dxa" w:w="2447"/>
            <w:tcMar>
              <w:top w:type="dxa" w:w="70"/>
              <w:left w:type="dxa" w:w="110"/>
              <w:bottom w:type="dxa" w:w="70"/>
              <w:right w:type="dxa" w:w="110"/>
            </w:tcMar>
            <w:vAlign w:val="top"/>
          </w:tcPr>
          <w:p>
            <w:pPr>
              <w:spacing w:after="40"/>
            </w:pPr>
            <w:r>
              <w:rPr>
                <w:b w:val="false"/>
                <w:bCs w:val="false"/>
                <w:sz w:val="19"/>
                <w:szCs w:val="19"/>
              </w:rPr>
              <w:t xml:space="preserve">Research is recorded only when someone deliberately starts it for a case.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panel opens with an empty list of background fields.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Research with AI / Research again</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The AI searches public sources for the organisation and the respondent's published professional role, and proposes background facts. It works in the background for a few minutes; you can leave the page.</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Finding what is already public is slow desk work; the AI does the searching so the interview can confirm facts instead of asking for them. It only proposes, never records.</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A list of proposals appears under “To review”, and a list of what was not found publicly. The organisation name, and the respondent's name and role, are sent to the AI provider's search; never contact details.</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Proposed value (editable)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The fact the AI found, in plain words. Edit it if the wording needs correcting.</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researcher is responsible for what enters the profile, so the wording is theirs to fix.</w:t>
            </w:r>
          </w:p>
        </w:tc>
        <w:tc>
          <w:tcPr>
            <w:tcW w:type="dxa" w:w="2071"/>
            <w:tcMar>
              <w:top w:type="dxa" w:w="70"/>
              <w:left w:type="dxa" w:w="110"/>
              <w:bottom w:type="dxa" w:w="70"/>
              <w:right w:type="dxa" w:w="110"/>
            </w:tcMar>
            <w:vAlign w:val="top"/>
          </w:tcPr>
          <w:p>
            <w:pPr>
              <w:spacing w:after="40"/>
            </w:pPr>
            <w:r>
              <w:rPr>
                <w:b w:val="false"/>
                <w:bCs w:val="false"/>
                <w:sz w:val="19"/>
                <w:szCs w:val="19"/>
              </w:rPr>
              <w:t xml:space="preserve">Nothing changes until you select Accept.</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Proposal sources (title, publisher, date, tier, quote)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Every source the AI used, each with a short exact quote. Select the title to open the page and check it.</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Only pages the search actually returned can be cited, so there are no invented references. Checking the page is how you confirm it is the right organisation. An organisation's own social-media page may appear, always as Tier 4; personal profiles never do.</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page opens in a new tab.</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Accept (a proposal)</w:t>
            </w:r>
          </w:p>
        </w:tc>
        <w:tc>
          <w:tcPr>
            <w:tcW w:type="dxa" w:w="3012"/>
            <w:tcMar>
              <w:top w:type="dxa" w:w="70"/>
              <w:left w:type="dxa" w:w="110"/>
              <w:bottom w:type="dxa" w:w="70"/>
              <w:right w:type="dxa" w:w="110"/>
            </w:tcMar>
            <w:vAlign w:val="top"/>
          </w:tcPr>
          <w:p>
            <w:pPr>
              <w:spacing w:after="40"/>
            </w:pPr>
            <w:r>
              <w:rPr>
                <w:b w:val="false"/>
                <w:bCs w:val="false"/>
                <w:sz w:val="19"/>
                <w:szCs w:val="19"/>
              </w:rPr>
              <w:t xml:space="preserve">Puts the fact into the profile as a background field, with all its sources and your name as the person who accepted it.</w:t>
            </w:r>
          </w:p>
        </w:tc>
        <w:tc>
          <w:tcPr>
            <w:tcW w:type="dxa" w:w="2447"/>
            <w:tcMar>
              <w:top w:type="dxa" w:w="70"/>
              <w:left w:type="dxa" w:w="110"/>
              <w:bottom w:type="dxa" w:w="70"/>
              <w:right w:type="dxa" w:w="110"/>
            </w:tcMar>
            <w:vAlign w:val="top"/>
          </w:tcPr>
          <w:p>
            <w:pPr>
              <w:spacing w:after="40"/>
            </w:pPr>
            <w:r>
              <w:rPr>
                <w:b w:val="false"/>
                <w:bCs w:val="false"/>
                <w:sz w:val="19"/>
                <w:szCs w:val="19"/>
              </w:rPr>
              <w:t xml:space="preserve">Every fact needs a source and a person's decision before it can reach a respondent. If you edited the wording it is recorded as “accepted with edits”.</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field appears in the profile with its sources; the proposal moves to “Already decided”. It still needs the lock.</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Reject (a proposal)</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Discards the proposal, for example when it is a different organisation with a similar name.</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 wrong fact put to a respondent damages trust and the data.</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proposal is marked rejected; nothing enters the profile.</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Not found publicly: ask the respondent</w:t>
            </w:r>
          </w:p>
        </w:tc>
        <w:tc>
          <w:tcPr>
            <w:tcW w:type="dxa" w:w="3012"/>
            <w:tcMar>
              <w:top w:type="dxa" w:w="70"/>
              <w:left w:type="dxa" w:w="110"/>
              <w:bottom w:type="dxa" w:w="70"/>
              <w:right w:type="dxa" w:w="110"/>
            </w:tcMar>
            <w:vAlign w:val="top"/>
          </w:tcPr>
          <w:p>
            <w:pPr>
              <w:spacing w:after="40"/>
            </w:pPr>
            <w:r>
              <w:rPr>
                <w:b w:val="false"/>
                <w:bCs w:val="false"/>
                <w:sz w:val="19"/>
                <w:szCs w:val="19"/>
              </w:rPr>
              <w:t xml:space="preserve">Lists the fields the AI could not find in any public source.</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These are the questions to ask in full at the interview, so the respondent is not asked what is already public.</w:t>
            </w:r>
          </w:p>
        </w:tc>
        <w:tc>
          <w:tcPr>
            <w:tcW w:type="dxa" w:w="2071"/>
            <w:tcMar>
              <w:top w:type="dxa" w:w="70"/>
              <w:left w:type="dxa" w:w="110"/>
              <w:bottom w:type="dxa" w:w="70"/>
              <w:right w:type="dxa" w:w="110"/>
            </w:tcMar>
            <w:vAlign w:val="top"/>
          </w:tcPr>
          <w:p>
            <w:pPr>
              <w:spacing w:after="40"/>
            </w:pPr>
            <w:r>
              <w:rPr>
                <w:b w:val="false"/>
                <w:bCs w:val="false"/>
                <w:sz w:val="19"/>
                <w:szCs w:val="19"/>
              </w:rPr>
              <w:t xml:space="preserve">Read only. Add any you find yourself with “Add a background field”.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Add a background field (Select a field, What was found, Add field)</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Adds one fact, for example a working capital facility, from a fixed catalogue of allowed fields.</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Only listed, documented kinds of fact can be recorded; health, religion, ethnicity, politics and inferred finances are never collected.</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field appears in the list, waiting for a source.</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Add source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Attaches the source that shows the fact (for example a registry entry).</w:t>
            </w:r>
          </w:p>
        </w:tc>
        <w:tc>
          <w:tcPr>
            <w:tcW w:type="dxa" w:w="2447"/>
            <w:tcMar>
              <w:top w:type="dxa" w:w="70"/>
              <w:left w:type="dxa" w:w="110"/>
              <w:bottom w:type="dxa" w:w="70"/>
              <w:right w:type="dxa" w:w="110"/>
            </w:tcMar>
            <w:vAlign w:val="top"/>
          </w:tcPr>
          <w:p>
            <w:pPr>
              <w:spacing w:after="40"/>
            </w:pPr>
            <w:r>
              <w:rPr>
                <w:b w:val="false"/>
                <w:bCs w:val="false"/>
                <w:sz w:val="19"/>
                <w:szCs w:val="19"/>
              </w:rPr>
              <w:t xml:space="preserve">Every fact with a documentary value needs at least one source so it can be checked.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source is listed under the field.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Insert suggestion</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Inserts a suggested probe question for the chosen role, using your evidence.</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Saves writing role-specific questions from scratch and keeps interviews consistent.</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suggestion is added above for you to keep, edit or delete.</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Gap-engine notes: Known, Unknown, Contradictions, Priority probe questions, Role-specific module, short form → Save gap-engine notes</w:t>
            </w:r>
          </w:p>
        </w:tc>
        <w:tc>
          <w:tcPr>
            <w:tcW w:type="dxa" w:w="3012"/>
            <w:tcMar>
              <w:top w:type="dxa" w:w="70"/>
              <w:left w:type="dxa" w:w="110"/>
              <w:bottom w:type="dxa" w:w="70"/>
              <w:right w:type="dxa" w:w="110"/>
            </w:tcMar>
            <w:vAlign w:val="top"/>
          </w:tcPr>
          <w:p>
            <w:pPr>
              <w:spacing w:after="40"/>
            </w:pPr>
            <w:r>
              <w:rPr>
                <w:b w:val="false"/>
                <w:bCs w:val="false"/>
                <w:sz w:val="19"/>
                <w:szCs w:val="19"/>
              </w:rPr>
              <w:t xml:space="preserve">Records what is already established, what is missing, where sources disagree, and what to ask first.</w:t>
            </w:r>
          </w:p>
        </w:tc>
        <w:tc>
          <w:tcPr>
            <w:tcW w:type="dxa" w:w="2447"/>
            <w:tcMar>
              <w:top w:type="dxa" w:w="70"/>
              <w:left w:type="dxa" w:w="110"/>
              <w:bottom w:type="dxa" w:w="70"/>
              <w:right w:type="dxa" w:w="110"/>
            </w:tcMar>
            <w:vAlign w:val="top"/>
          </w:tcPr>
          <w:p>
            <w:pPr>
              <w:spacing w:after="40"/>
            </w:pPr>
            <w:r>
              <w:rPr>
                <w:b w:val="false"/>
                <w:bCs w:val="false"/>
                <w:sz w:val="19"/>
                <w:szCs w:val="19"/>
              </w:rPr>
              <w:t xml:space="preserve">Focuses the interview on real gaps and reduces the burden on the respondent.</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notes are saved; the panel shows how many background questions became verifications.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Lock pre-profile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Finalises the profile.</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 locked profile is the version the interview is planned from; it cannot be quietly changed afterwards. It cannot be locked while a fact still has no source.</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profile becomes read-only.</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Researcher review screen (link)</w:t>
            </w:r>
          </w:p>
        </w:tc>
        <w:tc>
          <w:tcPr>
            <w:tcW w:type="dxa" w:w="3012"/>
            <w:tcMar>
              <w:top w:type="dxa" w:w="70"/>
              <w:left w:type="dxa" w:w="110"/>
              <w:bottom w:type="dxa" w:w="70"/>
              <w:right w:type="dxa" w:w="110"/>
            </w:tcMar>
            <w:vAlign w:val="top"/>
          </w:tcPr>
          <w:p>
            <w:pPr>
              <w:spacing w:after="40"/>
            </w:pPr>
            <w:r>
              <w:rPr>
                <w:b w:val="false"/>
                <w:bCs w:val="false"/>
                <w:sz w:val="19"/>
                <w:szCs w:val="19"/>
              </w:rPr>
              <w:t xml:space="preserve">Opens a one-page summary: case, organisation, evidence, bankability context, gap summary and interview plan.</w:t>
            </w:r>
          </w:p>
        </w:tc>
        <w:tc>
          <w:tcPr>
            <w:tcW w:type="dxa" w:w="2447"/>
            <w:tcMar>
              <w:top w:type="dxa" w:w="70"/>
              <w:left w:type="dxa" w:w="110"/>
              <w:bottom w:type="dxa" w:w="70"/>
              <w:right w:type="dxa" w:w="110"/>
            </w:tcMar>
            <w:vAlign w:val="top"/>
          </w:tcPr>
          <w:p>
            <w:pPr>
              <w:spacing w:after="40"/>
            </w:pPr>
            <w:r>
              <w:rPr>
                <w:b w:val="false"/>
                <w:bCs w:val="false"/>
                <w:sz w:val="19"/>
                <w:szCs w:val="19"/>
              </w:rPr>
              <w:t xml:space="preserve">One readable page for the researcher to read before the interview.</w:t>
            </w:r>
          </w:p>
        </w:tc>
        <w:tc>
          <w:tcPr>
            <w:tcW w:type="dxa" w:w="2071"/>
            <w:tcMar>
              <w:top w:type="dxa" w:w="70"/>
              <w:left w:type="dxa" w:w="110"/>
              <w:bottom w:type="dxa" w:w="70"/>
              <w:right w:type="dxa" w:w="110"/>
            </w:tcMar>
            <w:vAlign w:val="top"/>
          </w:tcPr>
          <w:p>
            <w:pPr>
              <w:spacing w:after="40"/>
            </w:pPr>
            <w:r>
              <w:rPr>
                <w:b w:val="false"/>
                <w:bCs w:val="false"/>
                <w:sz w:val="19"/>
                <w:szCs w:val="19"/>
              </w:rPr>
              <w:t xml:space="preserve">Read only; sensitive items to avoid are listed at the bottom.</w:t>
            </w:r>
          </w:p>
        </w:tc>
      </w:tr>
    </w:tbl>
    <w:p>
      <w:pPr>
        <w:spacing w:after="120"/>
      </w:pPr>
    </w:p>
    <w:p>
      <w:pPr>
        <w:pStyle w:val="Heading2"/>
      </w:pPr>
      <w:r>
        <w:t xml:space="preserve">8.13 Interview sheet (verifying a locked profile)</w:t>
      </w:r>
    </w:p>
    <w:p>
      <w:pPr>
        <w:spacing w:after="120" w:line="288"/>
      </w:pPr>
      <w:r>
        <w:rPr>
          <w:b/>
          <w:bCs/>
        </w:rPr>
        <w:t xml:space="preserve">Who can open it:</w:t>
      </w:r>
      <w:r>
        <w:t xml:space="preserve"> PI / System Admin, Field / Digital Coordinator, Contact RA, KII RA, Supervisor.  </w:t>
      </w:r>
      <w:r>
        <w:rPr>
          <w:b/>
          <w:bCs/>
        </w:rPr>
        <w:t xml:space="preserve">Where:</w:t>
      </w:r>
      <w:r>
        <w:t xml:space="preserve"> </w:t>
      </w:r>
      <w:r>
        <w:rPr>
          <w:rFonts w:ascii="Consolas" w:cs="Consolas" w:eastAsia="Consolas" w:hAnsi="Consolas"/>
          <w:b w:val="false"/>
          <w:bCs w:val="false"/>
          <w:color w:val="122238"/>
          <w:sz w:val="19"/>
          <w:szCs w:val="19"/>
        </w:rPr>
        <w:t xml:space="preserve">(on the case page, and on the KII record)</w:t>
      </w:r>
    </w:p>
    <w:p>
      <w:pPr>
        <w:spacing w:after="120" w:line="288"/>
      </w:pPr>
      <w:r>
        <w:t xml:space="preserve">The locked pre-interview profile as the interviewer uses it: confirm what is public, ask what is not, record what the respondent says, and after the interview reconcile it. The coordinator and PI see it inside the PROIT panel; a Contact RA sees it on a case assigned to them; a KII RA on a KII record.</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Status (Verified x of y · settled x of y / Reconciled)</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Counts how many facts have been verified with the respondent and how many are settled. It reads Reconciled when all are.</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 case is not complete until every fact is verified and, where corrected, reconciled.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Read only. It updates as answers are saved.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Confirm / Confirm, then probe / Ask (label on each row)</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Tells you what to do with that row: confirm a public fact, confirm it and probe (sources disagree), or ask the question in full because nothing reliable is public.</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Asking only what is not public reduces the burden on the respondent.</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Read only.</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Public source says (with source links)</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Shows the public fact and where it came from. A weak source's value is hidden and the row says to ask in full.</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 weak or uncorroborated fact must never be put to a respondent as if it were established.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Read only. Select a source to open it.</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What the respondent said</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Record the answer: confirmed, corrected, partly correct or out of date, does not know, prefers not to say, or does not apply. For a gap, “They told us”.</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The respondent's answer is kept separately from the public value and never replaces it; that separation is what lets the analysis compare the two.</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Nothing is saved until Save answer.</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Their answer / Comment</w:t>
            </w:r>
          </w:p>
        </w:tc>
        <w:tc>
          <w:tcPr>
            <w:tcW w:type="dxa" w:w="3012"/>
            <w:tcMar>
              <w:top w:type="dxa" w:w="70"/>
              <w:left w:type="dxa" w:w="110"/>
              <w:bottom w:type="dxa" w:w="70"/>
              <w:right w:type="dxa" w:w="110"/>
            </w:tcMar>
            <w:vAlign w:val="top"/>
          </w:tcPr>
          <w:p>
            <w:pPr>
              <w:spacing w:after="40"/>
            </w:pPr>
            <w:r>
              <w:rPr>
                <w:b w:val="false"/>
                <w:bCs w:val="false"/>
                <w:sz w:val="19"/>
                <w:szCs w:val="19"/>
              </w:rPr>
              <w:t xml:space="preserve">Type what the respondent said when they corrected or supplied a value, and any comment.</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exact answer is the research data; the comment explains it.</w:t>
            </w:r>
          </w:p>
        </w:tc>
        <w:tc>
          <w:tcPr>
            <w:tcW w:type="dxa" w:w="2071"/>
            <w:tcMar>
              <w:top w:type="dxa" w:w="70"/>
              <w:left w:type="dxa" w:w="110"/>
              <w:bottom w:type="dxa" w:w="70"/>
              <w:right w:type="dxa" w:w="110"/>
            </w:tcMar>
            <w:vAlign w:val="top"/>
          </w:tcPr>
          <w:p>
            <w:pPr>
              <w:spacing w:after="40"/>
            </w:pPr>
            <w:r>
              <w:rPr>
                <w:b w:val="false"/>
                <w:bCs w:val="false"/>
                <w:sz w:val="19"/>
                <w:szCs w:val="19"/>
              </w:rPr>
              <w:t xml:space="preserve">Kept with the row.</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Save answer</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Saves the answer for that fact.</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Each answer is recorded as it is given, so nothing depends on memory after the interview.</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status updates; “Recorded: …” appears under the row. A correction shows “Differs from the public source”.</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Differs from the public source (label)</w:t>
            </w:r>
          </w:p>
        </w:tc>
        <w:tc>
          <w:tcPr>
            <w:tcW w:type="dxa" w:w="3012"/>
            <w:tcMar>
              <w:top w:type="dxa" w:w="70"/>
              <w:left w:type="dxa" w:w="110"/>
              <w:bottom w:type="dxa" w:w="70"/>
              <w:right w:type="dxa" w:w="110"/>
            </w:tcMar>
            <w:vAlign w:val="top"/>
          </w:tcPr>
          <w:p>
            <w:pPr>
              <w:spacing w:after="40"/>
            </w:pPr>
            <w:r>
              <w:rPr>
                <w:b w:val="false"/>
                <w:bCs w:val="false"/>
                <w:sz w:val="19"/>
                <w:szCs w:val="19"/>
              </w:rPr>
              <w:t xml:space="preserve">Marks a fact the respondent corrected or qualified.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Contradictions between public sources and respondents are findings, not errors to hide.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Read only. The coordinator reconciles it.</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Interview finished</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Records that the interview and its verification are over, so reconciliation can begin.</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Separates what was said in the interview from the researcher's later coding.</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It shows the time it was recorded.</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Reconciled value (required) → Save reconciled value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The coordinator or PI types the value that is coded for analysis, where the respondent corrected, qualified, did not know or declined. Not needed for a plain confirmation.</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reconciled value is the researcher's coded position; it never overwrites the public value or the respondent's answer.</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fact becomes settled. When all are, the status reads Reconciled.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Record a protocol deviation</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Releases the case when reconciliation truly cannot be finished, after you give the reason.</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 lost respondent must not block a completed interview forever, but the exception has to be visible and explained.</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case is released and stays flagged, with the reason kept.</w:t>
            </w:r>
          </w:p>
        </w:tc>
      </w:tr>
    </w:tbl>
    <w:p>
      <w:pPr>
        <w:spacing w:after="120"/>
      </w:pPr>
    </w:p>
    <w:p>
      <w:pPr>
        <w:pStyle w:val="Heading2"/>
      </w:pPr>
      <w:r>
        <w:t xml:space="preserve">8.14 Register Organisation</w:t>
      </w:r>
    </w:p>
    <w:p>
      <w:pPr>
        <w:spacing w:after="120" w:line="288"/>
      </w:pPr>
      <w:r>
        <w:rPr>
          <w:b/>
          <w:bCs/>
        </w:rPr>
        <w:t xml:space="preserve">Who can open it:</w:t>
      </w:r>
      <w:r>
        <w:t xml:space="preserve"> PI / System Admin, Field / Digital Coordinator, Supervisor.  </w:t>
      </w:r>
      <w:r>
        <w:rPr>
          <w:b/>
          <w:bCs/>
        </w:rPr>
        <w:t xml:space="preserve">Where:</w:t>
      </w:r>
      <w:r>
        <w:t xml:space="preserve"> </w:t>
      </w:r>
      <w:r>
        <w:rPr>
          <w:rFonts w:ascii="Consolas" w:cs="Consolas" w:eastAsia="Consolas" w:hAnsi="Consolas"/>
          <w:b w:val="false"/>
          <w:bCs w:val="false"/>
          <w:color w:val="122238"/>
          <w:sz w:val="19"/>
          <w:szCs w:val="19"/>
        </w:rPr>
        <w:t xml:space="preserve">/admin/organisations</w:t>
      </w:r>
    </w:p>
    <w:p>
      <w:pPr>
        <w:spacing w:after="120" w:line="288"/>
      </w:pPr>
      <w:r>
        <w:t xml:space="preserve">Adds an organisation that is not already in the sample and gives it a Master ID and, if wanted, a sample case.</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Name, District, Province, Entity type, Actor family, Value chain, Size class</w:t>
            </w:r>
          </w:p>
        </w:tc>
        <w:tc>
          <w:tcPr>
            <w:tcW w:type="dxa" w:w="3012"/>
            <w:tcMar>
              <w:top w:type="dxa" w:w="70"/>
              <w:left w:type="dxa" w:w="110"/>
              <w:bottom w:type="dxa" w:w="70"/>
              <w:right w:type="dxa" w:w="110"/>
            </w:tcMar>
            <w:vAlign w:val="top"/>
          </w:tcPr>
          <w:p>
            <w:pPr>
              <w:spacing w:after="40"/>
            </w:pPr>
            <w:r>
              <w:rPr>
                <w:b w:val="false"/>
                <w:bCs w:val="false"/>
                <w:sz w:val="19"/>
                <w:szCs w:val="19"/>
              </w:rPr>
              <w:t xml:space="preserve">Describe the organisation. Name is required.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These are the sample's design dimensions (province × organisation type × size) so the new organisation lands in the right stratum.</w:t>
            </w:r>
          </w:p>
        </w:tc>
        <w:tc>
          <w:tcPr>
            <w:tcW w:type="dxa" w:w="2071"/>
            <w:tcMar>
              <w:top w:type="dxa" w:w="70"/>
              <w:left w:type="dxa" w:w="110"/>
              <w:bottom w:type="dxa" w:w="70"/>
              <w:right w:type="dxa" w:w="110"/>
            </w:tcMar>
            <w:vAlign w:val="top"/>
          </w:tcPr>
          <w:p>
            <w:pPr>
              <w:spacing w:after="40"/>
            </w:pPr>
            <w:r>
              <w:rPr>
                <w:b w:val="false"/>
                <w:bCs w:val="false"/>
                <w:sz w:val="19"/>
                <w:szCs w:val="19"/>
              </w:rPr>
              <w:t xml:space="preserve">Nothing is saved until you select Register organisation.</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Register organisation</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Saves the organisation.</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The Master ID is generated automatically from the province, so IDs are never typed or reused.</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“{name} registered — {Master ID}” appears with the option to create its case.</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Sample type (Main / Reserve) and Create sample case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Creates the organisation's case as a Main or a Reserve case.</w:t>
            </w:r>
          </w:p>
        </w:tc>
        <w:tc>
          <w:tcPr>
            <w:tcW w:type="dxa" w:w="2447"/>
            <w:tcMar>
              <w:top w:type="dxa" w:w="70"/>
              <w:left w:type="dxa" w:w="110"/>
              <w:bottom w:type="dxa" w:w="70"/>
              <w:right w:type="dxa" w:w="110"/>
            </w:tcMar>
            <w:vAlign w:val="top"/>
          </w:tcPr>
          <w:p>
            <w:pPr>
              <w:spacing w:after="40"/>
            </w:pPr>
            <w:r>
              <w:rPr>
                <w:b w:val="false"/>
                <w:bCs w:val="false"/>
                <w:sz w:val="19"/>
                <w:szCs w:val="19"/>
              </w:rPr>
              <w:t xml:space="preserve">Only an organisation with a case can be worked; Reserve cases start locked.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case is created with a Sample ID; a link to the Main-400 Register appears.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Search name, Master ID, district or phone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Filters the list of registered organisations, also by a phone or WhatsApp number on any of their cases. A phone number can be typed any way (0772 123 456, +263772123456 or 772123456): it finds the record whose number on file has those digits.</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Avoids registering the same organisation twice.</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Only matching organisations are listed.</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Create sample case (per row)</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Creates a case later for an organisation registered without one.</w:t>
            </w:r>
          </w:p>
        </w:tc>
        <w:tc>
          <w:tcPr>
            <w:tcW w:type="dxa" w:w="2447"/>
            <w:tcMar>
              <w:top w:type="dxa" w:w="70"/>
              <w:left w:type="dxa" w:w="110"/>
              <w:bottom w:type="dxa" w:w="70"/>
              <w:right w:type="dxa" w:w="110"/>
            </w:tcMar>
            <w:vAlign w:val="top"/>
          </w:tcPr>
          <w:p>
            <w:pPr>
              <w:spacing w:after="40"/>
            </w:pPr>
            <w:r>
              <w:rPr>
                <w:b w:val="false"/>
                <w:bCs w:val="false"/>
                <w:sz w:val="19"/>
                <w:szCs w:val="19"/>
              </w:rPr>
              <w:t xml:space="preserve">Registering and creating the case are separate steps so neither is forced.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case is created.</w:t>
            </w:r>
          </w:p>
        </w:tc>
      </w:tr>
    </w:tbl>
    <w:p>
      <w:pPr>
        <w:spacing w:after="120"/>
      </w:pPr>
    </w:p>
    <w:p>
      <w:pPr>
        <w:pStyle w:val="Heading2"/>
      </w:pPr>
      <w:r>
        <w:t xml:space="preserve">8.15 Appointment Queue</w:t>
      </w:r>
    </w:p>
    <w:p>
      <w:pPr>
        <w:spacing w:after="120" w:line="288"/>
      </w:pPr>
      <w:r>
        <w:rPr>
          <w:b/>
          <w:bCs/>
        </w:rPr>
        <w:t xml:space="preserve">Who can open it:</w:t>
      </w:r>
      <w:r>
        <w:t xml:space="preserve"> PI / System Admin, Field / Digital Coordinator, Contact RA, Supervisor.  </w:t>
      </w:r>
      <w:r>
        <w:rPr>
          <w:b/>
          <w:bCs/>
        </w:rPr>
        <w:t xml:space="preserve">Where:</w:t>
      </w:r>
      <w:r>
        <w:t xml:space="preserve"> </w:t>
      </w:r>
      <w:r>
        <w:rPr>
          <w:rFonts w:ascii="Consolas" w:cs="Consolas" w:eastAsia="Consolas" w:hAnsi="Consolas"/>
          <w:b w:val="false"/>
          <w:bCs w:val="false"/>
          <w:color w:val="122238"/>
          <w:sz w:val="19"/>
          <w:szCs w:val="19"/>
        </w:rPr>
        <w:t xml:space="preserve">/admin/appointments</w:t>
      </w:r>
    </w:p>
    <w:p>
      <w:pPr>
        <w:spacing w:after="120" w:line="288"/>
      </w:pPr>
      <w:r>
        <w:t xml:space="preserve">Calls that respondents have asked for, and their progress.</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Filter by status</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Shows all appointments, or only Requested, Confirmed, Completed, Missed or Cancelled.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Coordinators mostly need the ones still to be acted on.</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list changes and returns to page 1.</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CONFIRMED / CANCELLED (on a Requested appointment)</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Confirm the time with the respondent and select CONFIRMED, or CANCELLED if it will not happen.</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 respondent's request is only a request until a person confirms it.</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appointment's status changes.</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COMPLETED / MISSED / CANCELLED (on a Confirmed appointment)</w:t>
            </w:r>
          </w:p>
        </w:tc>
        <w:tc>
          <w:tcPr>
            <w:tcW w:type="dxa" w:w="3012"/>
            <w:tcMar>
              <w:top w:type="dxa" w:w="70"/>
              <w:left w:type="dxa" w:w="110"/>
              <w:bottom w:type="dxa" w:w="70"/>
              <w:right w:type="dxa" w:w="110"/>
            </w:tcMar>
            <w:vAlign w:val="top"/>
          </w:tcPr>
          <w:p>
            <w:pPr>
              <w:spacing w:after="40"/>
            </w:pPr>
            <w:r>
              <w:rPr>
                <w:b w:val="false"/>
                <w:bCs w:val="false"/>
                <w:sz w:val="19"/>
                <w:szCs w:val="19"/>
              </w:rPr>
              <w:t xml:space="preserve">Record what happened at the appointment time.</w:t>
            </w:r>
          </w:p>
        </w:tc>
        <w:tc>
          <w:tcPr>
            <w:tcW w:type="dxa" w:w="2447"/>
            <w:tcMar>
              <w:top w:type="dxa" w:w="70"/>
              <w:left w:type="dxa" w:w="110"/>
              <w:bottom w:type="dxa" w:w="70"/>
              <w:right w:type="dxa" w:w="110"/>
            </w:tcMar>
            <w:vAlign w:val="top"/>
          </w:tcPr>
          <w:p>
            <w:pPr>
              <w:spacing w:after="40"/>
            </w:pPr>
            <w:r>
              <w:rPr>
                <w:b w:val="false"/>
                <w:bCs w:val="false"/>
                <w:sz w:val="19"/>
                <w:szCs w:val="19"/>
              </w:rPr>
              <w:t xml:space="preserve">Missed calls need to be rescheduled and counted; completed ones move the case forward.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status changes; finished appointments show no more buttons.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Show / page numbers</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Choose rows per page and move between pages.</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As on every register.</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list redraws.</w:t>
            </w:r>
          </w:p>
        </w:tc>
      </w:tr>
    </w:tbl>
    <w:p>
      <w:pPr>
        <w:spacing w:after="120"/>
      </w:pPr>
    </w:p>
    <w:p>
      <w:pPr>
        <w:pStyle w:val="Heading2"/>
      </w:pPr>
      <w:r>
        <w:t xml:space="preserve">8.16 Follow-ups due</w:t>
      </w:r>
    </w:p>
    <w:p>
      <w:pPr>
        <w:spacing w:after="120" w:line="288"/>
      </w:pPr>
      <w:r>
        <w:rPr>
          <w:b/>
          <w:bCs/>
        </w:rPr>
        <w:t xml:space="preserve">Who can open it:</w:t>
      </w:r>
      <w:r>
        <w:t xml:space="preserve"> PI / System Admin, Field / Digital Coordinator, Contact RA, Supervisor.  </w:t>
      </w:r>
      <w:r>
        <w:rPr>
          <w:b/>
          <w:bCs/>
        </w:rPr>
        <w:t xml:space="preserve">Where:</w:t>
      </w:r>
      <w:r>
        <w:t xml:space="preserve"> </w:t>
      </w:r>
      <w:r>
        <w:rPr>
          <w:rFonts w:ascii="Consolas" w:cs="Consolas" w:eastAsia="Consolas" w:hAnsi="Consolas"/>
          <w:b w:val="false"/>
          <w:bCs w:val="false"/>
          <w:color w:val="122238"/>
          <w:sz w:val="19"/>
          <w:szCs w:val="19"/>
        </w:rPr>
        <w:t xml:space="preserve">/admin/follow-ups</w:t>
      </w:r>
    </w:p>
    <w:p>
      <w:pPr>
        <w:spacing w:after="120" w:line="288"/>
      </w:pPr>
      <w:r>
        <w:t xml:space="preserve">Approved reminders (on day 2 and day 7 after an invitation) for invited cases that have not responded, and below them the invitations that have run out and need a new one.</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Case link (Sample ID)</w:t>
            </w:r>
          </w:p>
        </w:tc>
        <w:tc>
          <w:tcPr>
            <w:tcW w:type="dxa" w:w="3012"/>
            <w:tcMar>
              <w:top w:type="dxa" w:w="70"/>
              <w:left w:type="dxa" w:w="110"/>
              <w:bottom w:type="dxa" w:w="70"/>
              <w:right w:type="dxa" w:w="110"/>
            </w:tcMar>
            <w:vAlign w:val="top"/>
          </w:tcPr>
          <w:p>
            <w:pPr>
              <w:spacing w:after="40"/>
            </w:pPr>
            <w:r>
              <w:rPr>
                <w:b w:val="false"/>
                <w:bCs w:val="false"/>
                <w:sz w:val="19"/>
                <w:szCs w:val="19"/>
              </w:rPr>
              <w:t xml:space="preserve">Opens the case the reminder is for.</w:t>
            </w:r>
          </w:p>
        </w:tc>
        <w:tc>
          <w:tcPr>
            <w:tcW w:type="dxa" w:w="2447"/>
            <w:tcMar>
              <w:top w:type="dxa" w:w="70"/>
              <w:left w:type="dxa" w:w="110"/>
              <w:bottom w:type="dxa" w:w="70"/>
              <w:right w:type="dxa" w:w="110"/>
            </w:tcMar>
            <w:vAlign w:val="top"/>
          </w:tcPr>
          <w:p>
            <w:pPr>
              <w:spacing w:after="40"/>
            </w:pPr>
            <w:r>
              <w:rPr>
                <w:b w:val="false"/>
                <w:bCs w:val="false"/>
                <w:sz w:val="19"/>
                <w:szCs w:val="19"/>
              </w:rPr>
              <w:t xml:space="preserve">Lets you check the case before you send.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case page opens.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Open in WhatsApp</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Opens WhatsApp with the reminder text already written for that respondent.</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Reminders are sent by a person from the study's WhatsApp account: nothing is sent automatically, so a person always decides.</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WhatsApp opens with the message. If the button says “Open WhatsApp (choose contact)”, there is no mobile number on file (WhatsApp can't reach a landline): phone them, or pick the contact in WhatsApp and add the mobile on the case afterwards.</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Invitations that have run out</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Cases still waiting whose link has expired, or whose last invitation was revoked or replaced.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 reminder would point at a link that no longer works.</w:t>
            </w:r>
          </w:p>
        </w:tc>
        <w:tc>
          <w:tcPr>
            <w:tcW w:type="dxa" w:w="2071"/>
            <w:tcMar>
              <w:top w:type="dxa" w:w="70"/>
              <w:left w:type="dxa" w:w="110"/>
              <w:bottom w:type="dxa" w:w="70"/>
              <w:right w:type="dxa" w:w="110"/>
            </w:tcMar>
            <w:vAlign w:val="top"/>
          </w:tcPr>
          <w:p>
            <w:pPr>
              <w:spacing w:after="40"/>
            </w:pPr>
            <w:r>
              <w:rPr>
                <w:b w:val="false"/>
                <w:bCs w:val="false"/>
                <w:sz w:val="19"/>
                <w:szCs w:val="19"/>
              </w:rPr>
              <w:t xml:space="preserve">Select the Sample ID and send a new invitation from the case page; the case leaves the list and the reminders start again.</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Mark as sent</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Tells the portal you sent the reminder.</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Otherwise the same reminder stays due and could be sent twice.</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It is recorded as sent by you and leaves the list.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Asked, no reply yet: phone them</w:t>
            </w:r>
          </w:p>
        </w:tc>
        <w:tc>
          <w:tcPr>
            <w:tcW w:type="dxa" w:w="3012"/>
            <w:tcMar>
              <w:top w:type="dxa" w:w="70"/>
              <w:left w:type="dxa" w:w="110"/>
              <w:bottom w:type="dxa" w:w="70"/>
              <w:right w:type="dxa" w:w="110"/>
            </w:tcMar>
            <w:vAlign w:val="top"/>
          </w:tcPr>
          <w:p>
            <w:pPr>
              <w:spacing w:after="40"/>
            </w:pPr>
            <w:r>
              <w:rPr>
                <w:b w:val="false"/>
                <w:bCs w:val="false"/>
                <w:sz w:val="19"/>
                <w:szCs w:val="19"/>
              </w:rPr>
              <w:t xml:space="preserve">Organisations sent the introduction and its reminder with no answer, or whose introduction could not be delivered.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Automatic messages have done all they can; a call is next.</w:t>
            </w:r>
          </w:p>
        </w:tc>
        <w:tc>
          <w:tcPr>
            <w:tcW w:type="dxa" w:w="2071"/>
            <w:tcMar>
              <w:top w:type="dxa" w:w="70"/>
              <w:left w:type="dxa" w:w="110"/>
              <w:bottom w:type="dxa" w:w="70"/>
              <w:right w:type="dxa" w:w="110"/>
            </w:tcMar>
            <w:vAlign w:val="top"/>
          </w:tcPr>
          <w:p>
            <w:pPr>
              <w:spacing w:after="40"/>
            </w:pPr>
            <w:r>
              <w:rPr>
                <w:b w:val="false"/>
                <w:bCs w:val="false"/>
                <w:sz w:val="19"/>
                <w:szCs w:val="19"/>
              </w:rPr>
              <w:t xml:space="preserve">Select the Sample ID; if they agree on the phone, send the invitation from the case page.</w:t>
            </w:r>
          </w:p>
        </w:tc>
      </w:tr>
    </w:tbl>
    <w:p>
      <w:pPr>
        <w:spacing w:after="120"/>
      </w:pPr>
    </w:p>
    <w:p>
      <w:pPr>
        <w:pStyle w:val="Heading2"/>
      </w:pPr>
      <w:r>
        <w:t xml:space="preserve">8.17 Communications</w:t>
      </w:r>
    </w:p>
    <w:p>
      <w:pPr>
        <w:spacing w:after="120" w:line="288"/>
      </w:pPr>
      <w:r>
        <w:rPr>
          <w:b/>
          <w:bCs/>
        </w:rPr>
        <w:t xml:space="preserve">Who can open it:</w:t>
      </w:r>
      <w:r>
        <w:t xml:space="preserve"> PI / System Admin, Field / Digital Coordinator, Contact RA, KII RA, Supervisor.  </w:t>
      </w:r>
      <w:r>
        <w:rPr>
          <w:b/>
          <w:bCs/>
        </w:rPr>
        <w:t xml:space="preserve">Where:</w:t>
      </w:r>
      <w:r>
        <w:t xml:space="preserve"> </w:t>
      </w:r>
      <w:r>
        <w:rPr>
          <w:rFonts w:ascii="Consolas" w:cs="Consolas" w:eastAsia="Consolas" w:hAnsi="Consolas"/>
          <w:b w:val="false"/>
          <w:bCs w:val="false"/>
          <w:color w:val="122238"/>
          <w:sz w:val="19"/>
          <w:szCs w:val="19"/>
        </w:rPr>
        <w:t xml:space="preserve">/admin/communications</w:t>
      </w:r>
    </w:p>
    <w:p>
      <w:pPr>
        <w:spacing w:after="120" w:line="288"/>
      </w:pPr>
      <w:r>
        <w:t xml:space="preserve">Every message to and from participants in one place: WhatsApp, SMS and email the portal sent, with what happened to each one; WhatsApp messages and email replies received; and the events around them (invitations, the link opened, consent, the questionnaire submitted, follow-ups and calls). A Contact RA sees their own cases, a KII RA the KII records. It replaced Conversations.</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Channel cards (WhatsApp, SMS, Email)</w:t>
            </w:r>
          </w:p>
        </w:tc>
        <w:tc>
          <w:tcPr>
            <w:tcW w:type="dxa" w:w="3012"/>
            <w:tcMar>
              <w:top w:type="dxa" w:w="70"/>
              <w:left w:type="dxa" w:w="110"/>
              <w:bottom w:type="dxa" w:w="70"/>
              <w:right w:type="dxa" w:w="110"/>
            </w:tcMar>
            <w:vAlign w:val="top"/>
          </w:tcPr>
          <w:p>
            <w:pPr>
              <w:spacing w:after="40"/>
            </w:pPr>
            <w:r>
              <w:rPr>
                <w:b w:val="false"/>
                <w:bCs w:val="false"/>
                <w:sz w:val="19"/>
                <w:szCs w:val="19"/>
              </w:rPr>
              <w:t xml:space="preserve">Whether each channel is switched on, what is holding it back, and the last seven days' messages.</w:t>
            </w:r>
          </w:p>
        </w:tc>
        <w:tc>
          <w:tcPr>
            <w:tcW w:type="dxa" w:w="2447"/>
            <w:tcMar>
              <w:top w:type="dxa" w:w="70"/>
              <w:left w:type="dxa" w:w="110"/>
              <w:bottom w:type="dxa" w:w="70"/>
              <w:right w:type="dxa" w:w="110"/>
            </w:tcMar>
            <w:vAlign w:val="top"/>
          </w:tcPr>
          <w:p>
            <w:pPr>
              <w:spacing w:after="40"/>
            </w:pPr>
            <w:r>
              <w:rPr>
                <w:b w:val="false"/>
                <w:bCs w:val="false"/>
                <w:sz w:val="19"/>
                <w:szCs w:val="19"/>
              </w:rPr>
              <w:t xml:space="preserve">WhatsApp shows how many templates Meta has approved: until they are, WhatsApp messages the study sends first are refused.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Select “N of 6 templates approved” for each template's status; select Not delivered to list the conversations whose last message failed.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Waiting / Not delivered / All</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Filters the conversation list.</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Waiting lists people who wrote and need an answer; Not delivered lists conversations whose last message did not arrive.</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list changes. Search, register and channel narrow it further.</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Delivery ticks</w:t>
            </w:r>
          </w:p>
        </w:tc>
        <w:tc>
          <w:tcPr>
            <w:tcW w:type="dxa" w:w="3012"/>
            <w:tcMar>
              <w:top w:type="dxa" w:w="70"/>
              <w:left w:type="dxa" w:w="110"/>
              <w:bottom w:type="dxa" w:w="70"/>
              <w:right w:type="dxa" w:w="110"/>
            </w:tcMar>
            <w:vAlign w:val="top"/>
          </w:tcPr>
          <w:p>
            <w:pPr>
              <w:spacing w:after="40"/>
            </w:pPr>
            <w:r>
              <w:rPr>
                <w:b w:val="false"/>
                <w:bCs w:val="false"/>
                <w:sz w:val="19"/>
                <w:szCs w:val="19"/>
              </w:rPr>
              <w:t xml:space="preserve">One grey tick: sent. Two grey ticks: delivered to the phone. Two blue ticks: read. Red “!”: not delivered, with the reason underneath.</w:t>
            </w:r>
          </w:p>
        </w:tc>
        <w:tc>
          <w:tcPr>
            <w:tcW w:type="dxa" w:w="2447"/>
            <w:tcMar>
              <w:top w:type="dxa" w:w="70"/>
              <w:left w:type="dxa" w:w="110"/>
              <w:bottom w:type="dxa" w:w="70"/>
              <w:right w:type="dxa" w:w="110"/>
            </w:tcMar>
            <w:vAlign w:val="top"/>
          </w:tcPr>
          <w:p>
            <w:pPr>
              <w:spacing w:after="40"/>
            </w:pPr>
            <w:r>
              <w:rPr>
                <w:b w:val="false"/>
                <w:bCs w:val="false"/>
                <w:sz w:val="19"/>
                <w:szCs w:val="19"/>
              </w:rPr>
              <w:t xml:space="preserve">So you know whether a message actually reached them before you chase.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Email only shows sent, or not delivered when it bounces.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Sent by hand from the study phone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Invitations and reminders sent with Open in WhatsApp.</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The portal can't see those reach the phone, so they say “no delivery report”.</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Nothing to do: it is a record.</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WhatsApp / Email / SMS (writing)</w:t>
            </w:r>
          </w:p>
        </w:tc>
        <w:tc>
          <w:tcPr>
            <w:tcW w:type="dxa" w:w="3012"/>
            <w:tcMar>
              <w:top w:type="dxa" w:w="70"/>
              <w:left w:type="dxa" w:w="110"/>
              <w:bottom w:type="dxa" w:w="70"/>
              <w:right w:type="dxa" w:w="110"/>
            </w:tcMar>
            <w:vAlign w:val="top"/>
          </w:tcPr>
          <w:p>
            <w:pPr>
              <w:spacing w:after="40"/>
            </w:pPr>
            <w:r>
              <w:rPr>
                <w:b w:val="false"/>
                <w:bCs w:val="false"/>
                <w:sz w:val="19"/>
                <w:szCs w:val="19"/>
              </w:rPr>
              <w:t xml:space="preserve">Write to them on a channel and select Send.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Answer from the screen itself; the study's WhatsApp number is on no phone.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Sent and recorded under your name. WhatsApp only within 24 hours of their own last WhatsApp message (otherwise send the introduction or an invitation); SMS once a sender is registered; email to an address on the record. Words like “approved” or “guarantee” are refused.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Mark handled</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Records that what they wrote has been dealt with.</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So colleagues don't answer it twice. Replying does this for you.</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It leaves Waiting, with your name and the time.</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Numbers not on any record</w:t>
            </w:r>
          </w:p>
        </w:tc>
        <w:tc>
          <w:tcPr>
            <w:tcW w:type="dxa" w:w="3012"/>
            <w:tcMar>
              <w:top w:type="dxa" w:w="70"/>
              <w:left w:type="dxa" w:w="110"/>
              <w:bottom w:type="dxa" w:w="70"/>
              <w:right w:type="dxa" w:w="110"/>
            </w:tcMar>
            <w:vAlign w:val="top"/>
          </w:tcPr>
          <w:p>
            <w:pPr>
              <w:spacing w:after="40"/>
            </w:pPr>
            <w:r>
              <w:rPr>
                <w:b w:val="false"/>
                <w:bCs w:val="false"/>
                <w:sz w:val="19"/>
                <w:szCs w:val="19"/>
              </w:rPr>
              <w:t xml:space="preserve">WhatsApp messages from numbers on no case or KII record (PI, Field Coordinator, Supervisor).</w:t>
            </w:r>
          </w:p>
        </w:tc>
        <w:tc>
          <w:tcPr>
            <w:tcW w:type="dxa" w:w="2447"/>
            <w:tcMar>
              <w:top w:type="dxa" w:w="70"/>
              <w:left w:type="dxa" w:w="110"/>
              <w:bottom w:type="dxa" w:w="70"/>
              <w:right w:type="dxa" w:w="110"/>
            </w:tcMar>
            <w:vAlign w:val="top"/>
          </w:tcPr>
          <w:p>
            <w:pPr>
              <w:spacing w:after="40"/>
            </w:pPr>
            <w:r>
              <w:rPr>
                <w:b w:val="false"/>
                <w:bCs w:val="false"/>
                <w:sz w:val="19"/>
                <w:szCs w:val="19"/>
              </w:rPr>
              <w:t xml:space="preserve">Someone may have a new phone; add the number to their case and later messages join their conversation.</w:t>
            </w:r>
          </w:p>
        </w:tc>
        <w:tc>
          <w:tcPr>
            <w:tcW w:type="dxa" w:w="2071"/>
            <w:tcMar>
              <w:top w:type="dxa" w:w="70"/>
              <w:left w:type="dxa" w:w="110"/>
              <w:bottom w:type="dxa" w:w="70"/>
              <w:right w:type="dxa" w:w="110"/>
            </w:tcMar>
            <w:vAlign w:val="top"/>
          </w:tcPr>
          <w:p>
            <w:pPr>
              <w:spacing w:after="40"/>
            </w:pPr>
            <w:r>
              <w:rPr>
                <w:b w:val="false"/>
                <w:bCs w:val="false"/>
                <w:sz w:val="19"/>
                <w:szCs w:val="19"/>
              </w:rPr>
              <w:t xml:space="preserve">Reply within 24 hours, or mark handled.</w:t>
            </w:r>
          </w:p>
        </w:tc>
      </w:tr>
    </w:tbl>
    <w:p>
      <w:pPr>
        <w:spacing w:after="120"/>
      </w:pPr>
    </w:p>
    <w:p>
      <w:pPr>
        <w:pStyle w:val="Heading2"/>
      </w:pPr>
      <w:r>
        <w:t xml:space="preserve">8.18 Reserve Activation</w:t>
      </w:r>
    </w:p>
    <w:p>
      <w:pPr>
        <w:spacing w:after="120" w:line="288"/>
      </w:pPr>
      <w:r>
        <w:rPr>
          <w:b/>
          <w:bCs/>
        </w:rPr>
        <w:t xml:space="preserve">Who can open it:</w:t>
      </w:r>
      <w:r>
        <w:t xml:space="preserve"> PI / System Admin, Field / Digital Coordinator, Supervisor.  </w:t>
      </w:r>
      <w:r>
        <w:rPr>
          <w:b/>
          <w:bCs/>
        </w:rPr>
        <w:t xml:space="preserve">Where:</w:t>
      </w:r>
      <w:r>
        <w:t xml:space="preserve"> </w:t>
      </w:r>
      <w:r>
        <w:rPr>
          <w:rFonts w:ascii="Consolas" w:cs="Consolas" w:eastAsia="Consolas" w:hAnsi="Consolas"/>
          <w:b w:val="false"/>
          <w:bCs w:val="false"/>
          <w:color w:val="122238"/>
          <w:sz w:val="19"/>
          <w:szCs w:val="19"/>
        </w:rPr>
        <w:t xml:space="preserve">/admin/reserve</w:t>
      </w:r>
    </w:p>
    <w:p>
      <w:pPr>
        <w:spacing w:after="120" w:line="288"/>
      </w:pPr>
      <w:r>
        <w:t xml:space="preserve">Where a locked Reserve case is activated to replace a Main case that has dropped out: automatically every morning once the PI switches it on, or by hand.</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Automatic replacement: outcomes</w:t>
            </w:r>
          </w:p>
        </w:tc>
        <w:tc>
          <w:tcPr>
            <w:tcW w:type="dxa" w:w="3012"/>
            <w:tcMar>
              <w:top w:type="dxa" w:w="70"/>
              <w:left w:type="dxa" w:w="110"/>
              <w:bottom w:type="dxa" w:w="70"/>
              <w:right w:type="dxa" w:w="110"/>
            </w:tcMar>
            <w:vAlign w:val="top"/>
          </w:tcPr>
          <w:p>
            <w:pPr>
              <w:spacing w:after="40"/>
            </w:pPr>
            <w:r>
              <w:rPr>
                <w:b w:val="false"/>
                <w:bCs w:val="false"/>
                <w:sz w:val="19"/>
                <w:szCs w:val="19"/>
              </w:rPr>
              <w:t xml:space="preserve">Tick which outcomes replace a Main case: Refused, Nonresponse exhausted, No reply to the introduction, Ineligible, Duplicate/inactive.</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These are the authorised reasons; nothing else ever activates a Reserve.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Shows how many Main cases those outcomes would replace at the next 08:00 run. Only the PI can change it.</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Switch on automatic replacement (PI)</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Every morning at 08:00 each such Main case has its own paired Reserve activated and introduced on WhatsApp; a YES sends the invitation link.</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Replaces drop-outs without waiting for someone to do it by hand, while every activation is still recorded under the PI's standing authorisation, with its reason and what happened.</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panel shows On and who switched it on. At most the daily limit (20 unless changed) are activated a day. Switch off stops it at once.</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Replaced automatically</w:t>
            </w:r>
          </w:p>
        </w:tc>
        <w:tc>
          <w:tcPr>
            <w:tcW w:type="dxa" w:w="3012"/>
            <w:tcMar>
              <w:top w:type="dxa" w:w="70"/>
              <w:left w:type="dxa" w:w="110"/>
              <w:bottom w:type="dxa" w:w="70"/>
              <w:right w:type="dxa" w:w="110"/>
            </w:tcMar>
            <w:vAlign w:val="top"/>
          </w:tcPr>
          <w:p>
            <w:pPr>
              <w:spacing w:after="40"/>
            </w:pPr>
            <w:r>
              <w:rPr>
                <w:b w:val="false"/>
                <w:bCs w:val="false"/>
                <w:sz w:val="19"/>
                <w:szCs w:val="19"/>
              </w:rPr>
              <w:t xml:space="preserve">Each replacement: when, the Main case, the reason, the Reserve, and how contact stands.</w:t>
            </w:r>
          </w:p>
        </w:tc>
        <w:tc>
          <w:tcPr>
            <w:tcW w:type="dxa" w:w="2447"/>
            <w:tcMar>
              <w:top w:type="dxa" w:w="70"/>
              <w:left w:type="dxa" w:w="110"/>
              <w:bottom w:type="dxa" w:w="70"/>
              <w:right w:type="dxa" w:w="110"/>
            </w:tcMar>
            <w:vAlign w:val="top"/>
          </w:tcPr>
          <w:p>
            <w:pPr>
              <w:spacing w:after="40"/>
            </w:pPr>
            <w:r>
              <w:rPr>
                <w:b w:val="false"/>
                <w:bCs w:val="false"/>
                <w:sz w:val="19"/>
                <w:szCs w:val="19"/>
              </w:rPr>
              <w:t xml:space="preserve">So you can see which Reserves said yes, said no, did not reply, or need contact details found.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Select a Sample ID to open the case. “Needs contact details” means no mobile was on record: add one, then send the introduction or an invitation.</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Search ID, organisation or phone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Finds a locked Reserve case, also by a phone number on file.</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There are 400 locked cases.</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Only matching cases are listed.</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Select authorised reason</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Chooses why: Ineligible, Inactive, Duplicate, Refusal or Nonresponse exhausted.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 Reserve case is a scarce, matched replacement. Only these reasons are allowed so replacement cannot be used to swap in a friendlier organisation.</w:t>
            </w:r>
          </w:p>
        </w:tc>
        <w:tc>
          <w:tcPr>
            <w:tcW w:type="dxa" w:w="2071"/>
            <w:tcMar>
              <w:top w:type="dxa" w:w="70"/>
              <w:left w:type="dxa" w:w="110"/>
              <w:bottom w:type="dxa" w:w="70"/>
              <w:right w:type="dxa" w:w="110"/>
            </w:tcMar>
            <w:vAlign w:val="top"/>
          </w:tcPr>
          <w:p>
            <w:pPr>
              <w:spacing w:after="40"/>
            </w:pPr>
            <w:r>
              <w:rPr>
                <w:b w:val="false"/>
                <w:bCs w:val="false"/>
                <w:sz w:val="19"/>
                <w:szCs w:val="19"/>
              </w:rPr>
              <w:t xml:space="preserve">Nothing yet; you also need an evidence note.</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Evidence note (required)</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Write what shows the reason is true.</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Every activation must be defensible later, in the dissertation or an audit.</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Nothing yet; select Activate.</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Activate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Unlocks the Reserve case so it can be invited.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one controlled way a Reserve case becomes usable. The reason, note and your name are kept.</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case leaves the locked list and can be invited; the activation is audited.</w:t>
            </w:r>
          </w:p>
        </w:tc>
      </w:tr>
    </w:tbl>
    <w:p>
      <w:pPr>
        <w:spacing w:after="120"/>
      </w:pPr>
    </w:p>
    <w:p>
      <w:pPr>
        <w:pStyle w:val="Heading2"/>
      </w:pPr>
      <w:r>
        <w:t xml:space="preserve">8.19 QA Queue (with the KoboToolbox sync panel)</w:t>
      </w:r>
    </w:p>
    <w:p>
      <w:pPr>
        <w:spacing w:after="120" w:line="288"/>
      </w:pPr>
      <w:r>
        <w:rPr>
          <w:b/>
          <w:bCs/>
        </w:rPr>
        <w:t xml:space="preserve">Who can open it:</w:t>
      </w:r>
      <w:r>
        <w:t xml:space="preserve"> PI / System Admin, Field / Digital Coordinator, QUAN/Kobo QA RA, Supervisor.  </w:t>
      </w:r>
      <w:r>
        <w:rPr>
          <w:b/>
          <w:bCs/>
        </w:rPr>
        <w:t xml:space="preserve">Where:</w:t>
      </w:r>
      <w:r>
        <w:t xml:space="preserve"> </w:t>
      </w:r>
      <w:r>
        <w:rPr>
          <w:rFonts w:ascii="Consolas" w:cs="Consolas" w:eastAsia="Consolas" w:hAnsi="Consolas"/>
          <w:b w:val="false"/>
          <w:bCs w:val="false"/>
          <w:color w:val="122238"/>
          <w:sz w:val="19"/>
          <w:szCs w:val="19"/>
        </w:rPr>
        <w:t xml:space="preserve">/admin/qa</w:t>
      </w:r>
    </w:p>
    <w:p>
      <w:pPr>
        <w:spacing w:after="120" w:line="288"/>
      </w:pPr>
      <w:r>
        <w:t xml:space="preserve">Every completed questionnaire waits here for a human quality decision. Nothing is ever passed automatically.</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KoboToolbox sync → Sync now</w:t>
            </w:r>
          </w:p>
        </w:tc>
        <w:tc>
          <w:tcPr>
            <w:tcW w:type="dxa" w:w="3012"/>
            <w:tcMar>
              <w:top w:type="dxa" w:w="70"/>
              <w:left w:type="dxa" w:w="110"/>
              <w:bottom w:type="dxa" w:w="70"/>
              <w:right w:type="dxa" w:w="110"/>
            </w:tcMar>
            <w:vAlign w:val="top"/>
          </w:tcPr>
          <w:p>
            <w:pPr>
              <w:spacing w:after="40"/>
            </w:pPr>
            <w:r>
              <w:rPr>
                <w:b w:val="false"/>
                <w:bCs w:val="false"/>
                <w:sz w:val="19"/>
                <w:szCs w:val="19"/>
              </w:rPr>
              <w:t xml:space="preserve">Pulls completed questionnaires from KoboToolbox right now, instead of waiting for the automatic check (every 15 minutes).</w:t>
            </w:r>
          </w:p>
        </w:tc>
        <w:tc>
          <w:tcPr>
            <w:tcW w:type="dxa" w:w="2447"/>
            <w:tcMar>
              <w:top w:type="dxa" w:w="70"/>
              <w:left w:type="dxa" w:w="110"/>
              <w:bottom w:type="dxa" w:w="70"/>
              <w:right w:type="dxa" w:w="110"/>
            </w:tcMar>
            <w:vAlign w:val="top"/>
          </w:tcPr>
          <w:p>
            <w:pPr>
              <w:spacing w:after="40"/>
            </w:pPr>
            <w:r>
              <w:rPr>
                <w:b w:val="false"/>
                <w:bCs w:val="false"/>
                <w:sz w:val="19"/>
                <w:szCs w:val="19"/>
              </w:rPr>
              <w:t xml:space="preserve">KoboToolbox is where the questionnaire is answered; the portal has to fetch what was submitted. A new or edited submission enters the queue when it is fetched.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A summary shows how many were new or changed. “Not connected” or “Last sync failed” explains a problem; the automatic check keeps trying.</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Note (required)</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Write what you checked and found (for example “duration 28 min plausible, no duplicate”).</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 decision nobody explained looks the same as one nobody made; the note is what a later reviewer relies on.</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decision buttons stay off until there is a note.</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Accept</w:t>
            </w:r>
          </w:p>
        </w:tc>
        <w:tc>
          <w:tcPr>
            <w:tcW w:type="dxa" w:w="3012"/>
            <w:tcMar>
              <w:top w:type="dxa" w:w="70"/>
              <w:left w:type="dxa" w:w="110"/>
              <w:bottom w:type="dxa" w:w="70"/>
              <w:right w:type="dxa" w:w="110"/>
            </w:tcMar>
            <w:vAlign w:val="top"/>
          </w:tcPr>
          <w:p>
            <w:pPr>
              <w:spacing w:after="40"/>
            </w:pPr>
            <w:r>
              <w:rPr>
                <w:b w:val="false"/>
                <w:bCs w:val="false"/>
                <w:sz w:val="19"/>
                <w:szCs w:val="19"/>
              </w:rPr>
              <w:t xml:space="preserve">Records that the submission passed quality checking.</w:t>
            </w:r>
          </w:p>
        </w:tc>
        <w:tc>
          <w:tcPr>
            <w:tcW w:type="dxa" w:w="2447"/>
            <w:tcMar>
              <w:top w:type="dxa" w:w="70"/>
              <w:left w:type="dxa" w:w="110"/>
              <w:bottom w:type="dxa" w:w="70"/>
              <w:right w:type="dxa" w:w="110"/>
            </w:tcMar>
            <w:vAlign w:val="top"/>
          </w:tcPr>
          <w:p>
            <w:pPr>
              <w:spacing w:after="40"/>
            </w:pPr>
            <w:r>
              <w:rPr>
                <w:b w:val="false"/>
                <w:bCs w:val="false"/>
                <w:sz w:val="19"/>
                <w:szCs w:val="19"/>
              </w:rPr>
              <w:t xml:space="preserve">Only a person can pass a questionnaire; even one that triggered no rule is not passed until someone accepts it. If the case has a locked pre-interview profile, every fact on it must first be verified with the respondent and reconciled (or a deviation recorded).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submission is marked QA passed, the case moves on, and the decision is audited. If the profile is not reconciled you are told how many facts are outstanding, and nothing changes.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Re-query</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Sends the submission back with a question about what needs confirming or fixing.</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Some problems (an odd answer, a very short time) need the respondent or interviewer to clarify before a decision.</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submission is marked as queried and the case moves to “QA query”. If the answers are edited in KoboToolbox, the next sync puts it back in the queue.</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Reject</w:t>
            </w:r>
          </w:p>
        </w:tc>
        <w:tc>
          <w:tcPr>
            <w:tcW w:type="dxa" w:w="3012"/>
            <w:tcMar>
              <w:top w:type="dxa" w:w="70"/>
              <w:left w:type="dxa" w:w="110"/>
              <w:bottom w:type="dxa" w:w="70"/>
              <w:right w:type="dxa" w:w="110"/>
            </w:tcMar>
            <w:vAlign w:val="top"/>
          </w:tcPr>
          <w:p>
            <w:pPr>
              <w:spacing w:after="40"/>
            </w:pPr>
            <w:r>
              <w:rPr>
                <w:b w:val="false"/>
                <w:bCs w:val="false"/>
                <w:sz w:val="19"/>
                <w:szCs w:val="19"/>
              </w:rPr>
              <w:t xml:space="preserve">Records that the submission fails and will not be used.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Fabricated, duplicate or unusable data must be kept out of the analysis, but never silently deleted.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submission is marked rejected. It is kept and the decision and your note are audited.</w:t>
            </w:r>
          </w:p>
        </w:tc>
      </w:tr>
    </w:tbl>
    <w:p>
      <w:pPr>
        <w:spacing w:after="120"/>
      </w:pPr>
    </w:p>
    <w:p>
      <w:pPr>
        <w:pStyle w:val="Heading2"/>
      </w:pPr>
      <w:r>
        <w:t xml:space="preserve">8.20 QA Exceptions</w:t>
      </w:r>
    </w:p>
    <w:p>
      <w:pPr>
        <w:spacing w:after="120" w:line="288"/>
      </w:pPr>
      <w:r>
        <w:rPr>
          <w:b/>
          <w:bCs/>
        </w:rPr>
        <w:t xml:space="preserve">Who can open it:</w:t>
      </w:r>
      <w:r>
        <w:t xml:space="preserve"> PI / System Admin, Field / Digital Coordinator, QUAN/Kobo QA RA, Supervisor.  </w:t>
      </w:r>
      <w:r>
        <w:rPr>
          <w:b/>
          <w:bCs/>
        </w:rPr>
        <w:t xml:space="preserve">Where:</w:t>
      </w:r>
      <w:r>
        <w:t xml:space="preserve"> </w:t>
      </w:r>
      <w:r>
        <w:rPr>
          <w:rFonts w:ascii="Consolas" w:cs="Consolas" w:eastAsia="Consolas" w:hAnsi="Consolas"/>
          <w:b w:val="false"/>
          <w:bCs w:val="false"/>
          <w:color w:val="122238"/>
          <w:sz w:val="19"/>
          <w:szCs w:val="19"/>
        </w:rPr>
        <w:t xml:space="preserve">/admin/qa/exceptions</w:t>
      </w:r>
    </w:p>
    <w:p>
      <w:pPr>
        <w:spacing w:after="120" w:line="288"/>
      </w:pPr>
      <w:r>
        <w:t xml:space="preserve">Flags the automatic quality rules raised (for example a very short completion time). Each waits for someone to deal with it and explain what was done.</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Only mine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Shows just the exceptions assigned to you.</w:t>
            </w:r>
          </w:p>
        </w:tc>
        <w:tc>
          <w:tcPr>
            <w:tcW w:type="dxa" w:w="2447"/>
            <w:tcMar>
              <w:top w:type="dxa" w:w="70"/>
              <w:left w:type="dxa" w:w="110"/>
              <w:bottom w:type="dxa" w:w="70"/>
              <w:right w:type="dxa" w:w="110"/>
            </w:tcMar>
            <w:vAlign w:val="top"/>
          </w:tcPr>
          <w:p>
            <w:pPr>
              <w:spacing w:after="40"/>
            </w:pPr>
            <w:r>
              <w:rPr>
                <w:b w:val="false"/>
                <w:bCs w:val="false"/>
                <w:sz w:val="19"/>
                <w:szCs w:val="19"/>
              </w:rPr>
              <w:t xml:space="preserve">Lets each QA person work their own list.</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list narrows and returns to page 1.</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Include resolved</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Also shows exceptions that were already closed.</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Useful for checking what was done before, or how similar flags were handled.</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Closed exceptions appear with who closed them, when and why.</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Assign to</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Chooses who deals with the exception, or Unassigned.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So each flag has an owner and none is left for “someone”.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exception appears in that person's “Only mine” list.</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What was done about it? (required to close)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Write what you did (what you checked, who you contacted).</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 closure nobody explained looks the same as one nobody looked at.</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two closing buttons stay off until there is a note.</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Resolved</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Closes the exception because you dealt with a real problem.</w:t>
            </w:r>
          </w:p>
        </w:tc>
        <w:tc>
          <w:tcPr>
            <w:tcW w:type="dxa" w:w="2447"/>
            <w:tcMar>
              <w:top w:type="dxa" w:w="70"/>
              <w:left w:type="dxa" w:w="110"/>
              <w:bottom w:type="dxa" w:w="70"/>
              <w:right w:type="dxa" w:w="110"/>
            </w:tcMar>
            <w:vAlign w:val="top"/>
          </w:tcPr>
          <w:p>
            <w:pPr>
              <w:spacing w:after="40"/>
            </w:pPr>
            <w:r>
              <w:rPr>
                <w:b w:val="false"/>
                <w:bCs w:val="false"/>
                <w:sz w:val="19"/>
                <w:szCs w:val="19"/>
              </w:rPr>
              <w:t xml:space="preserve">Distinguishes “there was a problem and it was fixed” from a false alarm, so rules can be tuned.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exception is closed with your name, the time and your note.</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Not a real problem</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Closes the exception because the flag was a false alarm.</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False alarms are information too: many of them means a rule threshold may be wrong.</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exception is closed as dismissed, with your note.</w:t>
            </w:r>
          </w:p>
        </w:tc>
      </w:tr>
    </w:tbl>
    <w:p>
      <w:pPr>
        <w:spacing w:after="120"/>
      </w:pPr>
    </w:p>
    <w:p>
      <w:pPr>
        <w:pStyle w:val="Heading2"/>
      </w:pPr>
      <w:r>
        <w:t xml:space="preserve">8.21 KII Register</w:t>
      </w:r>
    </w:p>
    <w:p>
      <w:pPr>
        <w:spacing w:after="120" w:line="288"/>
      </w:pPr>
      <w:r>
        <w:rPr>
          <w:b/>
          <w:bCs/>
        </w:rPr>
        <w:t xml:space="preserve">Who can open it:</w:t>
      </w:r>
      <w:r>
        <w:t xml:space="preserve"> PI / System Admin, Field / Digital Coordinator, KII RA, Supervisor.  </w:t>
      </w:r>
      <w:r>
        <w:rPr>
          <w:b/>
          <w:bCs/>
        </w:rPr>
        <w:t xml:space="preserve">Where:</w:t>
      </w:r>
      <w:r>
        <w:t xml:space="preserve"> </w:t>
      </w:r>
      <w:r>
        <w:rPr>
          <w:rFonts w:ascii="Consolas" w:cs="Consolas" w:eastAsia="Consolas" w:hAnsi="Consolas"/>
          <w:b w:val="false"/>
          <w:bCs w:val="false"/>
          <w:color w:val="122238"/>
          <w:sz w:val="19"/>
          <w:szCs w:val="19"/>
        </w:rPr>
        <w:t xml:space="preserve">/admin/kii</w:t>
      </w:r>
    </w:p>
    <w:p>
      <w:pPr>
        <w:spacing w:after="120" w:line="288"/>
      </w:pPr>
      <w:r>
        <w:t xml:space="preserve">All Key Informant Interview records. Each record identifies a real person, so nothing here leaves the study team.</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New KII record</w:t>
            </w:r>
          </w:p>
        </w:tc>
        <w:tc>
          <w:tcPr>
            <w:tcW w:type="dxa" w:w="3012"/>
            <w:tcMar>
              <w:top w:type="dxa" w:w="70"/>
              <w:left w:type="dxa" w:w="110"/>
              <w:bottom w:type="dxa" w:w="70"/>
              <w:right w:type="dxa" w:w="110"/>
            </w:tcMar>
            <w:vAlign w:val="top"/>
          </w:tcPr>
          <w:p>
            <w:pPr>
              <w:spacing w:after="40"/>
            </w:pPr>
            <w:r>
              <w:rPr>
                <w:b w:val="false"/>
                <w:bCs w:val="false"/>
                <w:sz w:val="19"/>
                <w:szCs w:val="19"/>
              </w:rPr>
              <w:t xml:space="preserve">Opens the form to create a KII record.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Each interview gets its own record and KII ID from the start of contact.</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New KII Record screen opens.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Search KII ID, name, role or phone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Filters the list as you type, also by the record's phone or WhatsApp number, including additional numbers. A phone number can be typed any way (0772 123 456, +263772123456 or 772123456): it finds the record whose number on file has those digits.</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Finding one participant among dozens, or an informant who rings or messages back.</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Only matching records are listed.</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Send KII invitations: From (Core-60, Reserve-30, Additional organisations, Named informants only), Send by (Email, SMS, WhatsApp), Next in line, How many, Review and send, Send N invitations</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Sends one self-service link, with its own code, to that many KII records never invited (PROSPECT) with a contact and no open link, Core-60 first, on every chosen way each has a contact for. Up to 100 a batch, inside the same daily limits as Main-400 invitations.</w:t>
            </w:r>
          </w:p>
        </w:tc>
        <w:tc>
          <w:tcPr>
            <w:tcW w:type="dxa" w:w="2447"/>
            <w:tcMar>
              <w:top w:type="dxa" w:w="70"/>
              <w:left w:type="dxa" w:w="110"/>
              <w:bottom w:type="dxa" w:w="70"/>
              <w:right w:type="dxa" w:w="110"/>
            </w:tcMar>
            <w:vAlign w:val="top"/>
          </w:tcPr>
          <w:p>
            <w:pPr>
              <w:spacing w:after="40"/>
            </w:pPr>
            <w:r>
              <w:rPr>
                <w:b w:val="false"/>
                <w:bCs w:val="false"/>
                <w:sz w:val="19"/>
                <w:szCs w:val="19"/>
              </w:rPr>
              <w:t xml:space="preserve">Sending links record by record is slow, and an organisation can be missed. Every link goes through the same sending path as the record's own buttons, so the wording and audit trail are the same.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A confirmation step first. Then progress and the result, record by record. Each sent record moves to INVITED; one where nothing got through is left as it was. WhatsApp is refused while Meta has not approved the KII template.</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Send KII invitations → How: Ask first (introduction) / Send the invitation now</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Ask first sends the KII introduction to that many records never invited with a mobile and no introduction yet, Core-60 first; a YES sends each link by itself. Send the invitation now sends the links straight away.</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 batch of introductions reaches many informants at once while only those who say yes get a link.</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A confirmation step first, then progress and the result, record by record.</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Asked, no reply: phone them</w:t>
            </w:r>
          </w:p>
        </w:tc>
        <w:tc>
          <w:tcPr>
            <w:tcW w:type="dxa" w:w="3012"/>
            <w:tcMar>
              <w:top w:type="dxa" w:w="70"/>
              <w:left w:type="dxa" w:w="110"/>
              <w:bottom w:type="dxa" w:w="70"/>
              <w:right w:type="dxa" w:w="110"/>
            </w:tcMar>
            <w:vAlign w:val="top"/>
          </w:tcPr>
          <w:p>
            <w:pPr>
              <w:spacing w:after="40"/>
            </w:pPr>
            <w:r>
              <w:rPr>
                <w:b w:val="false"/>
                <w:bCs w:val="false"/>
                <w:sz w:val="19"/>
                <w:szCs w:val="19"/>
              </w:rPr>
              <w:t xml:space="preserve">KII informants who got the introduction and a reminder but never answered, or whose introduction could not be delivered. Shown only when there are some.</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These are the people to phone; nobody else needs chasing.</w:t>
            </w:r>
          </w:p>
        </w:tc>
        <w:tc>
          <w:tcPr>
            <w:tcW w:type="dxa" w:w="2071"/>
            <w:tcMar>
              <w:top w:type="dxa" w:w="70"/>
              <w:left w:type="dxa" w:w="110"/>
              <w:bottom w:type="dxa" w:w="70"/>
              <w:right w:type="dxa" w:w="110"/>
            </w:tcMar>
            <w:vAlign w:val="top"/>
          </w:tcPr>
          <w:p>
            <w:pPr>
              <w:spacing w:after="40"/>
            </w:pPr>
            <w:r>
              <w:rPr>
                <w:b w:val="false"/>
                <w:bCs w:val="false"/>
                <w:sz w:val="19"/>
                <w:szCs w:val="19"/>
              </w:rPr>
              <w:t xml:space="preserve">Open the record from the list; if they agree on the phone, send their link from the record.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Needs reconciling</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KII informants who finished the KII Guide but corrected a background fact, answered an open question, or skipped the fact check. Shown only when there are some.</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Everything else an informant does with their own link is recorded by itself (invited, consent, declined, completed, coding); this list is the only place a person is needed.</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Open the record's Interview sheet and record the final value for each, or a protocol deviation if it can't be settled. Coding completes by itself once they are all done.</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Find contact details with AI: How many records, Find contacts</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Starts an AI contact search for that many KII records (up to 25, in KII ID order) that are not yet interviewed or declined and have no phone, WhatsApp or email. A record searched in the last 30 days is skipped.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Most KII records start with no contact details; searching each organisation by hand is slow.</w:t>
            </w:r>
          </w:p>
        </w:tc>
        <w:tc>
          <w:tcPr>
            <w:tcW w:type="dxa" w:w="2071"/>
            <w:tcMar>
              <w:top w:type="dxa" w:w="70"/>
              <w:left w:type="dxa" w:w="110"/>
              <w:bottom w:type="dxa" w:w="70"/>
              <w:right w:type="dxa" w:w="110"/>
            </w:tcMar>
            <w:vAlign w:val="top"/>
          </w:tcPr>
          <w:p>
            <w:pPr>
              <w:spacing w:after="40"/>
            </w:pPr>
            <w:r>
              <w:rPr>
                <w:b w:val="false"/>
                <w:bCs w:val="false"/>
                <w:sz w:val="19"/>
                <w:szCs w:val="19"/>
              </w:rPr>
              <w:t xml:space="preserve">“Queued N searches”, then a progress line while they run one at a time. The button stays locked until the batch has finished. Nothing is saved by the batch.</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Find contact details with AI → Findings to review → Review N findings</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Lists every KII record whose findings are waiting for a decision, and opens the chosen record.</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 batch finishes one record at a time; this is where to pick up what has come in.</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KII record opens at its findings.</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Import background research (ChatGPT workbook): Check file, Import N records</w:t>
            </w:r>
          </w:p>
        </w:tc>
        <w:tc>
          <w:tcPr>
            <w:tcW w:type="dxa" w:w="3012"/>
            <w:tcMar>
              <w:top w:type="dxa" w:w="70"/>
              <w:left w:type="dxa" w:w="110"/>
              <w:bottom w:type="dxa" w:w="70"/>
              <w:right w:type="dxa" w:w="110"/>
            </w:tcMar>
            <w:vAlign w:val="top"/>
          </w:tcPr>
          <w:p>
            <w:pPr>
              <w:spacing w:after="40"/>
            </w:pPr>
            <w:r>
              <w:rPr>
                <w:b w:val="false"/>
                <w:bCs w:val="false"/>
                <w:sz w:val="19"/>
                <w:szCs w:val="19"/>
              </w:rPr>
              <w:t xml:space="preserve">Reads the Excel file ChatGPT returned from the KII research pack and adds its contacts and PROIT facts as suggestions for review on each record, and its interview notes to the PROIT gap engine. Check file shows what would be added and keeps nothing.</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Typing about 30 researched facts per organisation for 90 organisations by hand is slow and error-prone; review stays one click per fact.</w:t>
            </w:r>
          </w:p>
        </w:tc>
        <w:tc>
          <w:tcPr>
            <w:tcW w:type="dxa" w:w="2071"/>
            <w:tcMar>
              <w:top w:type="dxa" w:w="70"/>
              <w:left w:type="dxa" w:w="110"/>
              <w:bottom w:type="dxa" w:w="70"/>
              <w:right w:type="dxa" w:w="110"/>
            </w:tcMar>
            <w:vAlign w:val="top"/>
          </w:tcPr>
          <w:p>
            <w:pPr>
              <w:spacing w:after="40"/>
            </w:pPr>
            <w:r>
              <w:rPr>
                <w:b w:val="false"/>
                <w:bCs w:val="false"/>
                <w:sz w:val="19"/>
                <w:szCs w:val="19"/>
              </w:rPr>
              <w:t xml:space="preserve">A table per KII ID with links to each record. Nothing reaches a record until someone accepts it; locked profiles are never changed.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Manage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Opens the KII record.</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All work on an interview happens on its own record.</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KII record opens.</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Show / page numbers</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Choose rows per page and move between pages.</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As on every register.</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list redraws.</w:t>
            </w:r>
          </w:p>
        </w:tc>
      </w:tr>
    </w:tbl>
    <w:p>
      <w:pPr>
        <w:spacing w:after="120"/>
      </w:pPr>
    </w:p>
    <w:p>
      <w:pPr>
        <w:pStyle w:val="Heading2"/>
      </w:pPr>
      <w:r>
        <w:t xml:space="preserve">8.22 New KII Record</w:t>
      </w:r>
    </w:p>
    <w:p>
      <w:pPr>
        <w:spacing w:after="120" w:line="288"/>
      </w:pPr>
      <w:r>
        <w:rPr>
          <w:b/>
          <w:bCs/>
        </w:rPr>
        <w:t xml:space="preserve">Who can open it:</w:t>
      </w:r>
      <w:r>
        <w:t xml:space="preserve"> PI / System Admin, Field / Digital Coordinator, KII RA.  </w:t>
      </w:r>
      <w:r>
        <w:rPr>
          <w:b/>
          <w:bCs/>
        </w:rPr>
        <w:t xml:space="preserve">Where:</w:t>
      </w:r>
      <w:r>
        <w:t xml:space="preserve"> </w:t>
      </w:r>
      <w:r>
        <w:rPr>
          <w:rFonts w:ascii="Consolas" w:cs="Consolas" w:eastAsia="Consolas" w:hAnsi="Consolas"/>
          <w:b w:val="false"/>
          <w:bCs w:val="false"/>
          <w:color w:val="122238"/>
          <w:sz w:val="19"/>
          <w:szCs w:val="19"/>
        </w:rPr>
        <w:t xml:space="preserve">/admin/kii/new</w:t>
      </w:r>
    </w:p>
    <w:p>
      <w:pPr>
        <w:spacing w:after="120" w:line="288"/>
      </w:pPr>
      <w:r>
        <w:t xml:space="preserve">Starts the record for one interview.</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Stakeholder category, Participant name, Participant role, Preferred mode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Say who the participant is and how they prefer to be interviewed.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category places the interview in the KII design; the name and role are needed to arrange it. They stay in the portal and are never put into web addresses.</w:t>
            </w:r>
          </w:p>
        </w:tc>
        <w:tc>
          <w:tcPr>
            <w:tcW w:type="dxa" w:w="2071"/>
            <w:tcMar>
              <w:top w:type="dxa" w:w="70"/>
              <w:left w:type="dxa" w:w="110"/>
              <w:bottom w:type="dxa" w:w="70"/>
              <w:right w:type="dxa" w:w="110"/>
            </w:tcMar>
            <w:vAlign w:val="top"/>
          </w:tcPr>
          <w:p>
            <w:pPr>
              <w:spacing w:after="40"/>
            </w:pPr>
            <w:r>
              <w:rPr>
                <w:b w:val="false"/>
                <w:bCs w:val="false"/>
                <w:sz w:val="19"/>
                <w:szCs w:val="19"/>
              </w:rPr>
              <w:t xml:space="preserve">Nothing is saved until you select Create KII record.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Create KII record</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Saves the record.</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The KII ID (for example KII-0026) is generated by the system so it is never typed or reused.</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record opens at its starting status, with no consent recorded yet.</w:t>
            </w:r>
          </w:p>
        </w:tc>
      </w:tr>
    </w:tbl>
    <w:p>
      <w:pPr>
        <w:spacing w:after="120"/>
      </w:pPr>
    </w:p>
    <w:p>
      <w:pPr>
        <w:pStyle w:val="Heading2"/>
      </w:pPr>
      <w:r>
        <w:t xml:space="preserve">8.23 KII record</w:t>
      </w:r>
    </w:p>
    <w:p>
      <w:pPr>
        <w:spacing w:after="120" w:line="288"/>
      </w:pPr>
      <w:r>
        <w:rPr>
          <w:b/>
          <w:bCs/>
        </w:rPr>
        <w:t xml:space="preserve">Who can open it:</w:t>
      </w:r>
      <w:r>
        <w:t xml:space="preserve"> PI / System Admin, Field / Digital Coordinator, KII RA, Supervisor.  </w:t>
      </w:r>
      <w:r>
        <w:rPr>
          <w:b/>
          <w:bCs/>
        </w:rPr>
        <w:t xml:space="preserve">Where:</w:t>
      </w:r>
      <w:r>
        <w:t xml:space="preserve"> </w:t>
      </w:r>
      <w:r>
        <w:rPr>
          <w:rFonts w:ascii="Consolas" w:cs="Consolas" w:eastAsia="Consolas" w:hAnsi="Consolas"/>
          <w:b w:val="false"/>
          <w:bCs w:val="false"/>
          <w:color w:val="122238"/>
          <w:sz w:val="19"/>
          <w:szCs w:val="19"/>
        </w:rPr>
        <w:t xml:space="preserve">/admin/kii/{id}</w:t>
      </w:r>
    </w:p>
    <w:p>
      <w:pPr>
        <w:spacing w:after="120" w:line="288"/>
      </w:pPr>
      <w:r>
        <w:t xml:space="preserve">The whole life of one interview: status, consent, the interview itself, transcript and coding.</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Ask first (introduction) → Send introduction</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Sends the informant a short WhatsApp message about a confidential interview of about 30 minutes, asking whether they will take part (by SMS with a reply link until Meta approves the template). Shown only for a record not yet invited; lists the replies afterwards.</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Asking before sending a link is more courteous to senior informants, and only people who say yes get one.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Status shows Asked. YES sends the personal link automatically and the record moves to INVITED; NO moves it to DECLINED; anything else waits on Communications.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Find contact details with AI → Find contact details / Search again</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Searches public sources for the organisation's published phone, email and website and the informant's work contact where their organisation publishes it; for an unidentified record, who holds the role.</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The record needs a phone or email before the informant can be sent a link.</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Findings appear under “To review”, each with its page and quoted passage. Only the organisation's name and type and the informant's name and role are sent to the AI provider.</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Find contact details with AI → Accept / Reject</w:t>
            </w:r>
          </w:p>
        </w:tc>
        <w:tc>
          <w:tcPr>
            <w:tcW w:type="dxa" w:w="3012"/>
            <w:tcMar>
              <w:top w:type="dxa" w:w="70"/>
              <w:left w:type="dxa" w:w="110"/>
              <w:bottom w:type="dxa" w:w="70"/>
              <w:right w:type="dxa" w:w="110"/>
            </w:tcMar>
            <w:vAlign w:val="top"/>
          </w:tcPr>
          <w:p>
            <w:pPr>
              <w:spacing w:after="40"/>
            </w:pPr>
            <w:r>
              <w:rPr>
                <w:b w:val="false"/>
                <w:bCs w:val="false"/>
                <w:sz w:val="19"/>
                <w:szCs w:val="19"/>
              </w:rPr>
              <w:t xml:space="preserve">Accept puts the finding on the record: a phone or email fills Phone or Email (never over a different one); a person found for an unidentified record replaces its name and role; a website is kept with the record. Reject discards it.</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AI only proposes; a person checks the page and decides.</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finding moves to “Already decided”, and Record details shows the new values.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Status buttons (INVITED, SCHEDULED, COMPLETED, DECLINED, NO_SHOW)</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Move the interview to the next status as things happen. Only valid next statuses are shown: a prospect can be invited or decline; an invited person scheduled or decline; a scheduled interview completed, no-show or decline; a no-show can be rescheduled.</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 status should only follow what really happened, and COMPLETED, DECLINED are final.</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status changes and is audited. A final status shows no more buttons.</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Recording made (tick box, when marking COMPLETED)</w:t>
            </w:r>
          </w:p>
        </w:tc>
        <w:tc>
          <w:tcPr>
            <w:tcW w:type="dxa" w:w="3012"/>
            <w:tcMar>
              <w:top w:type="dxa" w:w="70"/>
              <w:left w:type="dxa" w:w="110"/>
              <w:bottom w:type="dxa" w:w="70"/>
              <w:right w:type="dxa" w:w="110"/>
            </w:tcMar>
            <w:vAlign w:val="top"/>
          </w:tcPr>
          <w:p>
            <w:pPr>
              <w:spacing w:after="40"/>
            </w:pPr>
            <w:r>
              <w:rPr>
                <w:b w:val="false"/>
                <w:bCs w:val="false"/>
                <w:sz w:val="19"/>
                <w:szCs w:val="19"/>
              </w:rPr>
              <w:t xml:space="preserve">Tick it only if the interview was audio-recorded.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 recorded interview needs the participant's separate recording consent; the portal refuses to complete it as recorded without that.</w:t>
            </w:r>
          </w:p>
        </w:tc>
        <w:tc>
          <w:tcPr>
            <w:tcW w:type="dxa" w:w="2071"/>
            <w:tcMar>
              <w:top w:type="dxa" w:w="70"/>
              <w:left w:type="dxa" w:w="110"/>
              <w:bottom w:type="dxa" w:w="70"/>
              <w:right w:type="dxa" w:w="110"/>
            </w:tcMar>
            <w:vAlign w:val="top"/>
          </w:tcPr>
          <w:p>
            <w:pPr>
              <w:spacing w:after="40"/>
            </w:pPr>
            <w:r>
              <w:rPr>
                <w:b w:val="false"/>
                <w:bCs w:val="false"/>
                <w:sz w:val="19"/>
                <w:szCs w:val="19"/>
              </w:rPr>
              <w:t xml:space="preserve">If recording consent is missing you are told, and the status does not change.</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Record participation consent</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Records that the participant agreed to take part, after you read or summarised the information sheet.</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Nobody is interviewed without consent. The interview link stays hidden until this is recorded.</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consent is recorded (with the information sheet version). Continue this interview appears.</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Record recording consent</w:t>
            </w:r>
          </w:p>
        </w:tc>
        <w:tc>
          <w:tcPr>
            <w:tcW w:type="dxa" w:w="3012"/>
            <w:tcMar>
              <w:top w:type="dxa" w:w="70"/>
              <w:left w:type="dxa" w:w="110"/>
              <w:bottom w:type="dxa" w:w="70"/>
              <w:right w:type="dxa" w:w="110"/>
            </w:tcMar>
            <w:vAlign w:val="top"/>
          </w:tcPr>
          <w:p>
            <w:pPr>
              <w:spacing w:after="40"/>
            </w:pPr>
            <w:r>
              <w:rPr>
                <w:b w:val="false"/>
                <w:bCs w:val="false"/>
                <w:sz w:val="19"/>
                <w:szCs w:val="19"/>
              </w:rPr>
              <w:t xml:space="preserve">Records that the participant agreed to be audio-recorded.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Recording consent is always a separate decision; it is never assumed from taking part.</w:t>
            </w:r>
          </w:p>
        </w:tc>
        <w:tc>
          <w:tcPr>
            <w:tcW w:type="dxa" w:w="2071"/>
            <w:tcMar>
              <w:top w:type="dxa" w:w="70"/>
              <w:left w:type="dxa" w:w="110"/>
              <w:bottom w:type="dxa" w:w="70"/>
              <w:right w:type="dxa" w:w="110"/>
            </w:tcMar>
            <w:vAlign w:val="top"/>
          </w:tcPr>
          <w:p>
            <w:pPr>
              <w:spacing w:after="40"/>
            </w:pPr>
            <w:r>
              <w:rPr>
                <w:b w:val="false"/>
                <w:bCs w:val="false"/>
                <w:sz w:val="19"/>
                <w:szCs w:val="19"/>
              </w:rPr>
              <w:t xml:space="preserve">Recording consent is recorded and a recorded interview can be completed.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Continue this interview</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Opens the KoboToolbox KII Guide in a new tab with this record's KII ID already filled in.</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So the completed form always matches this record and the ID can never be mistyped. Only the ID and your username are sent, never the participant's name.</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KoboToolbox form opens. When submitted, the completed form appears under Completed KII form.</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Transcript status (NOT_STARTED, IN_PROGRESS, VERIFIED, ANONYMISED)</w:t>
            </w:r>
          </w:p>
        </w:tc>
        <w:tc>
          <w:tcPr>
            <w:tcW w:type="dxa" w:w="3012"/>
            <w:tcMar>
              <w:top w:type="dxa" w:w="70"/>
              <w:left w:type="dxa" w:w="110"/>
              <w:bottom w:type="dxa" w:w="70"/>
              <w:right w:type="dxa" w:w="110"/>
            </w:tcMar>
            <w:vAlign w:val="top"/>
          </w:tcPr>
          <w:p>
            <w:pPr>
              <w:spacing w:after="40"/>
            </w:pPr>
            <w:r>
              <w:rPr>
                <w:b w:val="false"/>
                <w:bCs w:val="false"/>
                <w:sz w:val="19"/>
                <w:szCs w:val="19"/>
              </w:rPr>
              <w:t xml:space="preserve">Record how far the transcript has got.</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 transcript must be verified and anonymised before it can be analysed or quoted.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status changes and cannot go backwards.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Coding status (NOT_STARTED, IN_PROGRESS, COMPLETE)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Record how far the coding has got. It moves to COMPLETE by itself when the completed KII Guide is synced for this KII ID.</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Shows what has and has not been analysed. If the interview had a locked pre-interview profile, COMPLETE is refused until it is reconciled; a synced KII Guide then completes it at the next sync.</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status changes and cannot go backwards. If the profile is not reconciled you are told what is outstanding.</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Completed KII form → Download PDF</w:t>
            </w:r>
          </w:p>
        </w:tc>
        <w:tc>
          <w:tcPr>
            <w:tcW w:type="dxa" w:w="3012"/>
            <w:tcMar>
              <w:top w:type="dxa" w:w="70"/>
              <w:left w:type="dxa" w:w="110"/>
              <w:bottom w:type="dxa" w:w="70"/>
              <w:right w:type="dxa" w:w="110"/>
            </w:tcMar>
            <w:vAlign w:val="top"/>
          </w:tcPr>
          <w:p>
            <w:pPr>
              <w:spacing w:after="40"/>
            </w:pPr>
            <w:r>
              <w:rPr>
                <w:b w:val="false"/>
                <w:bCs w:val="false"/>
                <w:sz w:val="19"/>
                <w:szCs w:val="19"/>
              </w:rPr>
              <w:t xml:space="preserve">Downloads the completed KII Guide for this record as a readable PDF.</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 readable copy without opening KoboToolbox.</w:t>
            </w:r>
          </w:p>
        </w:tc>
        <w:tc>
          <w:tcPr>
            <w:tcW w:type="dxa" w:w="2071"/>
            <w:tcMar>
              <w:top w:type="dxa" w:w="70"/>
              <w:left w:type="dxa" w:w="110"/>
              <w:bottom w:type="dxa" w:w="70"/>
              <w:right w:type="dxa" w:w="110"/>
            </w:tcMar>
            <w:vAlign w:val="top"/>
          </w:tcPr>
          <w:p>
            <w:pPr>
              <w:spacing w:after="40"/>
            </w:pPr>
            <w:r>
              <w:rPr>
                <w:b w:val="false"/>
                <w:bCs w:val="false"/>
                <w:sz w:val="19"/>
                <w:szCs w:val="19"/>
              </w:rPr>
              <w:t xml:space="preserve">A PDF downloads; the download is audited.</w:t>
            </w:r>
          </w:p>
        </w:tc>
      </w:tr>
    </w:tbl>
    <w:p>
      <w:pPr>
        <w:spacing w:after="120"/>
      </w:pPr>
    </w:p>
    <w:p>
      <w:pPr>
        <w:pStyle w:val="Heading2"/>
      </w:pPr>
      <w:r>
        <w:t xml:space="preserve">8.24 Documents (the corpus)</w:t>
      </w:r>
    </w:p>
    <w:p>
      <w:pPr>
        <w:spacing w:after="120" w:line="288"/>
      </w:pPr>
      <w:r>
        <w:rPr>
          <w:b/>
          <w:bCs/>
        </w:rPr>
        <w:t xml:space="preserve">Who can open it:</w:t>
      </w:r>
      <w:r>
        <w:t xml:space="preserve"> PI / System Admin, Field / Digital Coordinator, Documentary RA, Supervisor.  </w:t>
      </w:r>
      <w:r>
        <w:rPr>
          <w:b/>
          <w:bCs/>
        </w:rPr>
        <w:t xml:space="preserve">Where:</w:t>
      </w:r>
      <w:r>
        <w:t xml:space="preserve"> </w:t>
      </w:r>
      <w:r>
        <w:rPr>
          <w:rFonts w:ascii="Consolas" w:cs="Consolas" w:eastAsia="Consolas" w:hAnsi="Consolas"/>
          <w:b w:val="false"/>
          <w:bCs w:val="false"/>
          <w:color w:val="122238"/>
          <w:sz w:val="19"/>
          <w:szCs w:val="19"/>
        </w:rPr>
        <w:t xml:space="preserve">/admin/documents</w:t>
      </w:r>
    </w:p>
    <w:p>
      <w:pPr>
        <w:spacing w:after="120" w:line="288"/>
      </w:pPr>
      <w:r>
        <w:t xml:space="preserve">The register of documentary evidence (target 50–75 coded, included documents).</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New document</w:t>
            </w:r>
          </w:p>
        </w:tc>
        <w:tc>
          <w:tcPr>
            <w:tcW w:type="dxa" w:w="3012"/>
            <w:tcMar>
              <w:top w:type="dxa" w:w="70"/>
              <w:left w:type="dxa" w:w="110"/>
              <w:bottom w:type="dxa" w:w="70"/>
              <w:right w:type="dxa" w:w="110"/>
            </w:tcMar>
            <w:vAlign w:val="top"/>
          </w:tcPr>
          <w:p>
            <w:pPr>
              <w:spacing w:after="40"/>
            </w:pPr>
            <w:r>
              <w:rPr>
                <w:b w:val="false"/>
                <w:bCs w:val="false"/>
                <w:sz w:val="19"/>
                <w:szCs w:val="19"/>
              </w:rPr>
              <w:t xml:space="preserve">Opens the New Documentary Evidence Record screen.</w:t>
            </w:r>
          </w:p>
        </w:tc>
        <w:tc>
          <w:tcPr>
            <w:tcW w:type="dxa" w:w="2447"/>
            <w:tcMar>
              <w:top w:type="dxa" w:w="70"/>
              <w:left w:type="dxa" w:w="110"/>
              <w:bottom w:type="dxa" w:w="70"/>
              <w:right w:type="dxa" w:w="110"/>
            </w:tcMar>
            <w:vAlign w:val="top"/>
          </w:tcPr>
          <w:p>
            <w:pPr>
              <w:spacing w:after="40"/>
            </w:pPr>
            <w:r>
              <w:rPr>
                <w:b w:val="false"/>
                <w:bCs w:val="false"/>
                <w:sz w:val="19"/>
                <w:szCs w:val="19"/>
              </w:rPr>
              <w:t xml:space="preserve">Every source needs a record with a document ID before it can be coded.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New document screen opens.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Search title, ID or author</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Filters the list as you type.</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Finding one document in 100 or more.</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Only matching documents are listed.</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Manage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Opens the document record.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All work on a document happens on its own record.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document record opens.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Show / page numbers</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Choose rows per page and move between pages.</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As on every register.</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list redraws.</w:t>
            </w:r>
          </w:p>
        </w:tc>
      </w:tr>
    </w:tbl>
    <w:p>
      <w:pPr>
        <w:spacing w:after="120"/>
      </w:pPr>
    </w:p>
    <w:p>
      <w:pPr>
        <w:pStyle w:val="Heading2"/>
      </w:pPr>
      <w:r>
        <w:t xml:space="preserve">8.25 New Documentary Evidence Record</w:t>
      </w:r>
    </w:p>
    <w:p>
      <w:pPr>
        <w:spacing w:after="120" w:line="288"/>
      </w:pPr>
      <w:r>
        <w:rPr>
          <w:b/>
          <w:bCs/>
        </w:rPr>
        <w:t xml:space="preserve">Who can open it:</w:t>
      </w:r>
      <w:r>
        <w:t xml:space="preserve"> PI / System Admin, Field / Digital Coordinator, Documentary RA.  </w:t>
      </w:r>
      <w:r>
        <w:rPr>
          <w:b/>
          <w:bCs/>
        </w:rPr>
        <w:t xml:space="preserve">Where:</w:t>
      </w:r>
      <w:r>
        <w:t xml:space="preserve"> </w:t>
      </w:r>
      <w:r>
        <w:rPr>
          <w:rFonts w:ascii="Consolas" w:cs="Consolas" w:eastAsia="Consolas" w:hAnsi="Consolas"/>
          <w:b w:val="false"/>
          <w:bCs w:val="false"/>
          <w:color w:val="122238"/>
          <w:sz w:val="19"/>
          <w:szCs w:val="19"/>
        </w:rPr>
        <w:t xml:space="preserve">/admin/documents/new</w:t>
      </w:r>
    </w:p>
    <w:p>
      <w:pPr>
        <w:spacing w:after="120" w:line="288"/>
      </w:pPr>
      <w:r>
        <w:t xml:space="preserve">Creates a document record. The fastest way is to upload the file and let the AI fill in the record and draft the coding form.</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Choose file (Fastest: upload the document)</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Choose the document: PDF, Word, Excel, text or CSV, or a JPG/PNG scan or photo (up to 20 MB).</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AI can read all of these, so you do not retype details that are already on the first page.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Nothing is sent until you select Upload and auto-fill.</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Optional: Title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Type a title of your own.</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You may want a specific name, for example for one chapter of a report.</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A typed title is kept; the AI does not replace it.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Optional: Pages to read</w:t>
            </w:r>
          </w:p>
        </w:tc>
        <w:tc>
          <w:tcPr>
            <w:tcW w:type="dxa" w:w="3012"/>
            <w:tcMar>
              <w:top w:type="dxa" w:w="70"/>
              <w:left w:type="dxa" w:w="110"/>
              <w:bottom w:type="dxa" w:w="70"/>
              <w:right w:type="dxa" w:w="110"/>
            </w:tcMar>
            <w:vAlign w:val="top"/>
          </w:tcPr>
          <w:p>
            <w:pPr>
              <w:spacing w:after="40"/>
            </w:pPr>
            <w:r>
              <w:rPr>
                <w:b w:val="false"/>
                <w:bCs w:val="false"/>
                <w:sz w:val="19"/>
                <w:szCs w:val="19"/>
              </w:rPr>
              <w:t xml:space="preserve">Enter the pages of a long PDF that make up this evidence unit, for example 290-340.</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AI reads at most 100 pages at a time, and a long report holds several evidence units.</w:t>
            </w:r>
          </w:p>
        </w:tc>
        <w:tc>
          <w:tcPr>
            <w:tcW w:type="dxa" w:w="2071"/>
            <w:tcMar>
              <w:top w:type="dxa" w:w="70"/>
              <w:left w:type="dxa" w:w="110"/>
              <w:bottom w:type="dxa" w:w="70"/>
              <w:right w:type="dxa" w:w="110"/>
            </w:tcMar>
            <w:vAlign w:val="top"/>
          </w:tcPr>
          <w:p>
            <w:pPr>
              <w:spacing w:after="40"/>
            </w:pPr>
            <w:r>
              <w:rPr>
                <w:b w:val="false"/>
                <w:bCs w:val="false"/>
                <w:sz w:val="19"/>
                <w:szCs w:val="19"/>
              </w:rPr>
              <w:t xml:space="preserve">Only those pages are read. With no title, the AI names the part.</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Optional: Read the whole document in parts</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Ticks the option to read a PDF longer than 100 pages in parts of about 80 pages, then combine them.</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For a document you want coded as one unit; slower and dearer, and the ratings need extra checking.</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screen shows how many parts and asks you to confirm before it starts.</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Upload and auto-fill</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Creates the record, uploads the file, and starts the AI: first it fills in the record's details, then it drafts the whole coding form.</w:t>
            </w:r>
          </w:p>
        </w:tc>
        <w:tc>
          <w:tcPr>
            <w:tcW w:type="dxa" w:w="2447"/>
            <w:tcMar>
              <w:top w:type="dxa" w:w="70"/>
              <w:left w:type="dxa" w:w="110"/>
              <w:bottom w:type="dxa" w:w="70"/>
              <w:right w:type="dxa" w:w="110"/>
            </w:tcMar>
            <w:vAlign w:val="top"/>
          </w:tcPr>
          <w:p>
            <w:pPr>
              <w:spacing w:after="40"/>
            </w:pPr>
            <w:r>
              <w:rPr>
                <w:b w:val="false"/>
                <w:bCs w:val="false"/>
                <w:sz w:val="19"/>
                <w:szCs w:val="19"/>
              </w:rPr>
              <w:t xml:space="preserve">Saves typing every detail and every answer; a person still reviews and submits.</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review screen opens and shows “Step 1 of 2… Step 2 of 2”. If the file cannot be used, nothing is created.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Title, Author / speaker, Source URL / reference, Document type, Geographic scope, Evidence extract → Create document record</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The manual way: type the details yourself and save.</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For a source with no file yet, or when AI drafting is switched off.</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record is created with a document ID (for example DOC-0025) and opens.</w:t>
            </w:r>
          </w:p>
        </w:tc>
      </w:tr>
    </w:tbl>
    <w:p>
      <w:pPr>
        <w:spacing w:after="120"/>
      </w:pPr>
    </w:p>
    <w:p>
      <w:pPr>
        <w:pStyle w:val="Heading2"/>
      </w:pPr>
      <w:r>
        <w:t xml:space="preserve">8.26 Document record</w:t>
      </w:r>
    </w:p>
    <w:p>
      <w:pPr>
        <w:spacing w:after="120" w:line="288"/>
      </w:pPr>
      <w:r>
        <w:rPr>
          <w:b/>
          <w:bCs/>
        </w:rPr>
        <w:t xml:space="preserve">Who can open it:</w:t>
      </w:r>
      <w:r>
        <w:t xml:space="preserve"> PI / System Admin, Field / Digital Coordinator, Documentary RA, Supervisor.  </w:t>
      </w:r>
      <w:r>
        <w:rPr>
          <w:b/>
          <w:bCs/>
        </w:rPr>
        <w:t xml:space="preserve">Where:</w:t>
      </w:r>
      <w:r>
        <w:t xml:space="preserve"> </w:t>
      </w:r>
      <w:r>
        <w:rPr>
          <w:rFonts w:ascii="Consolas" w:cs="Consolas" w:eastAsia="Consolas" w:hAnsi="Consolas"/>
          <w:b w:val="false"/>
          <w:bCs w:val="false"/>
          <w:color w:val="122238"/>
          <w:sz w:val="19"/>
          <w:szCs w:val="19"/>
        </w:rPr>
        <w:t xml:space="preserve">/admin/documents/{id}</w:t>
      </w:r>
    </w:p>
    <w:p>
      <w:pPr>
        <w:spacing w:after="120" w:line="288"/>
      </w:pPr>
      <w:r>
        <w:t xml:space="preserve">Everything about one document: authenticity, the decision to include it, its file, its details, its coding and its memo.</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Mark verified / Mark disputed</w:t>
            </w:r>
          </w:p>
        </w:tc>
        <w:tc>
          <w:tcPr>
            <w:tcW w:type="dxa" w:w="3012"/>
            <w:tcMar>
              <w:top w:type="dxa" w:w="70"/>
              <w:left w:type="dxa" w:w="110"/>
              <w:bottom w:type="dxa" w:w="70"/>
              <w:right w:type="dxa" w:w="110"/>
            </w:tcMar>
            <w:vAlign w:val="top"/>
          </w:tcPr>
          <w:p>
            <w:pPr>
              <w:spacing w:after="40"/>
            </w:pPr>
            <w:r>
              <w:rPr>
                <w:b w:val="false"/>
                <w:bCs w:val="false"/>
                <w:sz w:val="19"/>
                <w:szCs w:val="19"/>
              </w:rPr>
              <w:t xml:space="preserve">Records your judgement of whether the document is what it claims to be: the right author, date and content.</w:t>
            </w:r>
          </w:p>
        </w:tc>
        <w:tc>
          <w:tcPr>
            <w:tcW w:type="dxa" w:w="2447"/>
            <w:tcMar>
              <w:top w:type="dxa" w:w="70"/>
              <w:left w:type="dxa" w:w="110"/>
              <w:bottom w:type="dxa" w:w="70"/>
              <w:right w:type="dxa" w:w="110"/>
            </w:tcMar>
            <w:vAlign w:val="top"/>
          </w:tcPr>
          <w:p>
            <w:pPr>
              <w:spacing w:after="40"/>
            </w:pPr>
            <w:r>
              <w:rPr>
                <w:b w:val="false"/>
                <w:bCs w:val="false"/>
                <w:sz w:val="19"/>
                <w:szCs w:val="19"/>
              </w:rPr>
              <w:t xml:space="preserve">Documents are evidence; a forged or doubtful one must not enter the corpus unnoticed. Disputed documents are kept and explained, not deleted.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authenticity changes and is audited. Include becomes available once assessed.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Include / Exclude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Decides whether the document counts in the corpus.</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 document cannot be Included until authenticity has been assessed, so unassessed evidence never counts.</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QA status changes; Include stays greyed out while authenticity is Unverified.</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Source file → Choose File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Uploads or replaces the source (up to 20 MB). Replacing removes the old file and any unsubmitted draft made from it.</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record keeps one current source. A draft of the wrong document must never be submitted for the right one.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A bar shows progress, then the file name appears. With Start Auto-fill ticked, the review screen opens.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Start Auto-fill as soon as the file is uploaded (tick box)</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When ticked, uploading immediately starts the AI draft.</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Saves a step for the common case.</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After the upload, the review screen opens and the AI starts reading.</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Remove file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Deletes the source file from the server.</w:t>
            </w:r>
          </w:p>
        </w:tc>
        <w:tc>
          <w:tcPr>
            <w:tcW w:type="dxa" w:w="2447"/>
            <w:tcMar>
              <w:top w:type="dxa" w:w="70"/>
              <w:left w:type="dxa" w:w="110"/>
              <w:bottom w:type="dxa" w:w="70"/>
              <w:right w:type="dxa" w:w="110"/>
            </w:tcMar>
            <w:vAlign w:val="top"/>
          </w:tcPr>
          <w:p>
            <w:pPr>
              <w:spacing w:after="40"/>
            </w:pPr>
            <w:r>
              <w:rPr>
                <w:b w:val="false"/>
                <w:bCs w:val="false"/>
                <w:sz w:val="19"/>
                <w:szCs w:val="19"/>
              </w:rPr>
              <w:t xml:space="preserve">For a wrong upload. It also discards the unsubmitted AI draft made from it; a draft already submitted is kept as the record of what was filed.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A confirmation names what goes. The record says “No file uploaded yet”.</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Copy for another chapter (Chapter title, Pages to read, Copy and auto-fill)</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Makes another record for a different part of the same source: same author, date, source and type, and its own copy of the file.</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 long report holds several evidence units, each of which should be coded, judged and exported on its own.</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A new record is created (and, with AI on, drafted) and opens. Authenticity and inclusion are not copied.</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Record details → Save details</w:t>
            </w:r>
          </w:p>
        </w:tc>
        <w:tc>
          <w:tcPr>
            <w:tcW w:type="dxa" w:w="3012"/>
            <w:tcMar>
              <w:top w:type="dxa" w:w="70"/>
              <w:left w:type="dxa" w:w="110"/>
              <w:bottom w:type="dxa" w:w="70"/>
              <w:right w:type="dxa" w:w="110"/>
            </w:tcMar>
            <w:vAlign w:val="top"/>
          </w:tcPr>
          <w:p>
            <w:pPr>
              <w:spacing w:after="40"/>
            </w:pPr>
            <w:r>
              <w:rPr>
                <w:b w:val="false"/>
                <w:bCs w:val="false"/>
                <w:sz w:val="19"/>
                <w:szCs w:val="19"/>
              </w:rPr>
              <w:t xml:space="preserve">Edits the title, author, date, source, scope, value chain and type.</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These feed Section A of the coding form; if the AI filled them in from the document, this is where you check and correct them.</w:t>
            </w:r>
          </w:p>
        </w:tc>
        <w:tc>
          <w:tcPr>
            <w:tcW w:type="dxa" w:w="2071"/>
            <w:tcMar>
              <w:top w:type="dxa" w:w="70"/>
              <w:left w:type="dxa" w:w="110"/>
              <w:bottom w:type="dxa" w:w="70"/>
              <w:right w:type="dxa" w:w="110"/>
            </w:tcMar>
            <w:vAlign w:val="top"/>
          </w:tcPr>
          <w:p>
            <w:pPr>
              <w:spacing w:after="40"/>
            </w:pPr>
            <w:r>
              <w:rPr>
                <w:b w:val="false"/>
                <w:bCs w:val="false"/>
                <w:sz w:val="19"/>
                <w:szCs w:val="19"/>
              </w:rPr>
              <w:t xml:space="preserve">“Details saved.” The draft and the submission use the corrected values.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Code this document</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Opens the KoboToolbox Document Analysis Tool with the document ID and details filled in.</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For coding by hand, or when the AI cannot read the source.</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KoboToolbox form opens in a new tab.</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Auto-fill</w:t>
            </w:r>
          </w:p>
        </w:tc>
        <w:tc>
          <w:tcPr>
            <w:tcW w:type="dxa" w:w="3012"/>
            <w:tcMar>
              <w:top w:type="dxa" w:w="70"/>
              <w:left w:type="dxa" w:w="110"/>
              <w:bottom w:type="dxa" w:w="70"/>
              <w:right w:type="dxa" w:w="110"/>
            </w:tcMar>
            <w:vAlign w:val="top"/>
          </w:tcPr>
          <w:p>
            <w:pPr>
              <w:spacing w:after="40"/>
            </w:pPr>
            <w:r>
              <w:rPr>
                <w:b w:val="false"/>
                <w:bCs w:val="false"/>
                <w:sz w:val="19"/>
                <w:szCs w:val="19"/>
              </w:rPr>
              <w:t xml:space="preserve">Opens the review screen for the AI draft of the whole coding form.</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 fast first draft that a person then checks.</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Auto-fill review screen opens.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Interpretive memo → Save memo</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Writes down your reasoning: why authenticity was disputed, how you read the document.</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The memo is the audit trail of your judgement, needed for the dissertation.</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A “saved” message; the memo stays on the record.</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Completed coding form → Download PDF</w:t>
            </w:r>
          </w:p>
        </w:tc>
        <w:tc>
          <w:tcPr>
            <w:tcW w:type="dxa" w:w="3012"/>
            <w:tcMar>
              <w:top w:type="dxa" w:w="70"/>
              <w:left w:type="dxa" w:w="110"/>
              <w:bottom w:type="dxa" w:w="70"/>
              <w:right w:type="dxa" w:w="110"/>
            </w:tcMar>
            <w:vAlign w:val="top"/>
          </w:tcPr>
          <w:p>
            <w:pPr>
              <w:spacing w:after="40"/>
            </w:pPr>
            <w:r>
              <w:rPr>
                <w:b w:val="false"/>
                <w:bCs w:val="false"/>
                <w:sz w:val="19"/>
                <w:szCs w:val="19"/>
              </w:rPr>
              <w:t xml:space="preserve">Downloads the completed coding form for this document.</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 readable copy of what was submitted.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A PDF downloads (only if a form was submitted with this document ID).</w:t>
            </w:r>
          </w:p>
        </w:tc>
      </w:tr>
    </w:tbl>
    <w:p>
      <w:pPr>
        <w:spacing w:after="120"/>
      </w:pPr>
    </w:p>
    <w:p>
      <w:pPr>
        <w:pStyle w:val="Heading2"/>
      </w:pPr>
      <w:r>
        <w:t xml:space="preserve">8.27 Auto-fill review screen</w:t>
      </w:r>
    </w:p>
    <w:p>
      <w:pPr>
        <w:spacing w:after="120" w:line="288"/>
      </w:pPr>
      <w:r>
        <w:rPr>
          <w:b/>
          <w:bCs/>
        </w:rPr>
        <w:t xml:space="preserve">Who can open it:</w:t>
      </w:r>
      <w:r>
        <w:t xml:space="preserve"> PI / System Admin, Field / Digital Coordinator, Documentary RA, Supervisor.  </w:t>
      </w:r>
      <w:r>
        <w:rPr>
          <w:b/>
          <w:bCs/>
        </w:rPr>
        <w:t xml:space="preserve">Where:</w:t>
      </w:r>
      <w:r>
        <w:t xml:space="preserve"> </w:t>
      </w:r>
      <w:r>
        <w:rPr>
          <w:rFonts w:ascii="Consolas" w:cs="Consolas" w:eastAsia="Consolas" w:hAnsi="Consolas"/>
          <w:b w:val="false"/>
          <w:bCs w:val="false"/>
          <w:color w:val="122238"/>
          <w:sz w:val="19"/>
          <w:szCs w:val="19"/>
        </w:rPr>
        <w:t xml:space="preserve">/admin/documents/{id}/ai-draft</w:t>
      </w:r>
    </w:p>
    <w:p>
      <w:pPr>
        <w:spacing w:after="120" w:line="288"/>
      </w:pPr>
      <w:r>
        <w:t xml:space="preserve">Where you review the AI's draft of the KoboToolbox coding form, edit it and submit it. Nothing reaches KoboToolbox until you select Submit.</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Pages to read</w:t>
            </w:r>
          </w:p>
        </w:tc>
        <w:tc>
          <w:tcPr>
            <w:tcW w:type="dxa" w:w="3012"/>
            <w:tcMar>
              <w:top w:type="dxa" w:w="70"/>
              <w:left w:type="dxa" w:w="110"/>
              <w:bottom w:type="dxa" w:w="70"/>
              <w:right w:type="dxa" w:w="110"/>
            </w:tcMar>
            <w:vAlign w:val="top"/>
          </w:tcPr>
          <w:p>
            <w:pPr>
              <w:spacing w:after="40"/>
            </w:pPr>
            <w:r>
              <w:rPr>
                <w:b w:val="false"/>
                <w:bCs w:val="false"/>
                <w:sz w:val="19"/>
                <w:szCs w:val="19"/>
              </w:rPr>
              <w:t xml:space="preserve">For a PDF over 100 pages, enter the pages that make up this evidence unit.</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AI reads at most 100 pages at a time.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Only those pages are drafted; locators keep the original page numbers.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Read the whole document in parts</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Reads the whole PDF (or a long range) in parts of about 80 pages and combines them.</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For one coding of a long document; costs about the number of parts plus one times an ordinary draft.</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You are asked to confirm. Progress shows “Read part 3 of 8”, then “Combining the parts”.</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Generate AI draft / Regenerate draft</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Starts the AI reading the source. Regenerate replaces the current draft and any unsaved edits.</w:t>
            </w:r>
          </w:p>
        </w:tc>
        <w:tc>
          <w:tcPr>
            <w:tcW w:type="dxa" w:w="2447"/>
            <w:tcMar>
              <w:top w:type="dxa" w:w="70"/>
              <w:left w:type="dxa" w:w="110"/>
              <w:bottom w:type="dxa" w:w="70"/>
              <w:right w:type="dxa" w:w="110"/>
            </w:tcMar>
            <w:vAlign w:val="top"/>
          </w:tcPr>
          <w:p>
            <w:pPr>
              <w:spacing w:after="40"/>
            </w:pPr>
            <w:r>
              <w:rPr>
                <w:b w:val="false"/>
                <w:bCs w:val="false"/>
                <w:sz w:val="19"/>
                <w:szCs w:val="19"/>
              </w:rPr>
              <w:t xml:space="preserve">Each draft is a paid request, so it starts only when you ask; regenerating asks first because it discards your edits.</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AI works in the background (usually one to five minutes) and you can leave the page. The draft appears here when ready.</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The draft fields (sections A to L)</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Every question of the form, with the AI's answer. Edit any grey-free field: text, choices, tick boxes, dates.</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The AI drafts; you are responsible for the judgements (strength ratings, hypothesis codes) that are the study's documentary analysis.</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Edits are kept in the browser until you select Save changes.</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Section A grey fields (DOC ID, author, title, date, source)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Come from the record and cannot be edited here; use “edit the record details”.</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draft must agree with the record it is attached to.</w:t>
            </w:r>
          </w:p>
        </w:tc>
        <w:tc>
          <w:tcPr>
            <w:tcW w:type="dxa" w:w="2071"/>
            <w:tcMar>
              <w:top w:type="dxa" w:w="70"/>
              <w:left w:type="dxa" w:w="110"/>
              <w:bottom w:type="dxa" w:w="70"/>
              <w:right w:type="dxa" w:w="110"/>
            </w:tcMar>
            <w:vAlign w:val="top"/>
          </w:tcPr>
          <w:p>
            <w:pPr>
              <w:spacing w:after="40"/>
            </w:pPr>
            <w:r>
              <w:rPr>
                <w:b w:val="false"/>
                <w:bCs w:val="false"/>
                <w:sz w:val="19"/>
                <w:szCs w:val="19"/>
              </w:rPr>
              <w:t xml:space="preserve">Corrections on the record show here at once and are the values submitted.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Add metric / Remove this metric (Section J)</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Adds or deletes a row of the quantitative metrics table.</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Numbers in the source (percentages, amounts, targets) are recorded one per row with a locator.</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row is added or removed in the draft.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Save changes</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Saves your edits to the draft on the server.</w:t>
            </w:r>
          </w:p>
        </w:tc>
        <w:tc>
          <w:tcPr>
            <w:tcW w:type="dxa" w:w="2447"/>
            <w:tcMar>
              <w:top w:type="dxa" w:w="70"/>
              <w:left w:type="dxa" w:w="110"/>
              <w:bottom w:type="dxa" w:w="70"/>
              <w:right w:type="dxa" w:w="110"/>
            </w:tcMar>
            <w:vAlign w:val="top"/>
          </w:tcPr>
          <w:p>
            <w:pPr>
              <w:spacing w:after="40"/>
            </w:pPr>
            <w:r>
              <w:rPr>
                <w:b w:val="false"/>
                <w:bCs w:val="false"/>
                <w:sz w:val="19"/>
                <w:szCs w:val="19"/>
              </w:rPr>
              <w:t xml:space="preserve">Lets you stop and finish later without submitting.</w:t>
            </w:r>
          </w:p>
        </w:tc>
        <w:tc>
          <w:tcPr>
            <w:tcW w:type="dxa" w:w="2071"/>
            <w:tcMar>
              <w:top w:type="dxa" w:w="70"/>
              <w:left w:type="dxa" w:w="110"/>
              <w:bottom w:type="dxa" w:w="70"/>
              <w:right w:type="dxa" w:w="110"/>
            </w:tcMar>
            <w:vAlign w:val="top"/>
          </w:tcPr>
          <w:p>
            <w:pPr>
              <w:spacing w:after="40"/>
            </w:pPr>
            <w:r>
              <w:rPr>
                <w:b w:val="false"/>
                <w:bCs w:val="false"/>
                <w:sz w:val="19"/>
                <w:szCs w:val="19"/>
              </w:rPr>
              <w:t xml:space="preserve">“Changes saved.” The button is unavailable after submission.</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Submit to KoboToolbox</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Sends the reviewed draft to KoboToolbox as a completed record, after you confirm. It saves your edits first.</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The one place the portal writes to KoboToolbox, and only on this deliberate click: a person, not the AI, submits the study's documentary analysis. Once only, so no duplicate.</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“Submitted to KoboToolbox, and a copy is now held in the portal.” The answers lock and the screen says “Already submitted”. A second click is refused.</w:t>
            </w:r>
          </w:p>
        </w:tc>
      </w:tr>
    </w:tbl>
    <w:p>
      <w:pPr>
        <w:spacing w:after="120"/>
      </w:pPr>
    </w:p>
    <w:p>
      <w:pPr>
        <w:pStyle w:val="Heading2"/>
      </w:pPr>
      <w:r>
        <w:t xml:space="preserve">8.28 Completed forms (Form PDFs)</w:t>
      </w:r>
    </w:p>
    <w:p>
      <w:pPr>
        <w:spacing w:after="120" w:line="288"/>
      </w:pPr>
      <w:r>
        <w:rPr>
          <w:b/>
          <w:bCs/>
        </w:rPr>
        <w:t xml:space="preserve">Who can open it:</w:t>
      </w:r>
      <w:r>
        <w:t xml:space="preserve"> PI / System Admin, Field / Digital Coordinator, QUAN/Kobo QA RA, KII RA, Documentary RA, Supervisor.  </w:t>
      </w:r>
      <w:r>
        <w:rPr>
          <w:b/>
          <w:bCs/>
        </w:rPr>
        <w:t xml:space="preserve">Where:</w:t>
      </w:r>
      <w:r>
        <w:t xml:space="preserve"> </w:t>
      </w:r>
      <w:r>
        <w:rPr>
          <w:rFonts w:ascii="Consolas" w:cs="Consolas" w:eastAsia="Consolas" w:hAnsi="Consolas"/>
          <w:b w:val="false"/>
          <w:bCs w:val="false"/>
          <w:color w:val="122238"/>
          <w:sz w:val="19"/>
          <w:szCs w:val="19"/>
        </w:rPr>
        <w:t xml:space="preserve">/admin/submissions</w:t>
      </w:r>
    </w:p>
    <w:p>
      <w:pPr>
        <w:spacing w:after="120" w:line="288"/>
      </w:pPr>
      <w:r>
        <w:t xml:space="preserve">The completed KoboToolbox forms for your role (the questionnaire, the KII Guide or the Document Analysis Tool; the PI, coordinator and supervisor can switch between all three).</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Form (drop-down)</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Chooses which form to list. Shown only to roles that may see more than one.</w:t>
            </w:r>
          </w:p>
        </w:tc>
        <w:tc>
          <w:tcPr>
            <w:tcW w:type="dxa" w:w="2447"/>
            <w:tcMar>
              <w:top w:type="dxa" w:w="70"/>
              <w:left w:type="dxa" w:w="110"/>
              <w:bottom w:type="dxa" w:w="70"/>
              <w:right w:type="dxa" w:w="110"/>
            </w:tcMar>
            <w:vAlign w:val="top"/>
          </w:tcPr>
          <w:p>
            <w:pPr>
              <w:spacing w:after="40"/>
            </w:pPr>
            <w:r>
              <w:rPr>
                <w:b w:val="false"/>
                <w:bCs w:val="false"/>
                <w:sz w:val="19"/>
                <w:szCs w:val="19"/>
              </w:rPr>
              <w:t xml:space="preserve">Each role sees only its own form, because raw answers can identify organisations and people.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list and the sync panel change to that form.</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Sync panel: “In sync with KoboToolbox”</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Shows how many submissions KoboToolbox holds and how many the portal holds, and when they were last matched.</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The portal keeps its own copy of the completed forms. If the two numbers differ, the portal is behind.</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Read only. “Not in sync” means press Sync now.</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Sync now</w:t>
            </w:r>
          </w:p>
        </w:tc>
        <w:tc>
          <w:tcPr>
            <w:tcW w:type="dxa" w:w="3012"/>
            <w:tcMar>
              <w:top w:type="dxa" w:w="70"/>
              <w:left w:type="dxa" w:w="110"/>
              <w:bottom w:type="dxa" w:w="70"/>
              <w:right w:type="dxa" w:w="110"/>
            </w:tcMar>
            <w:vAlign w:val="top"/>
          </w:tcPr>
          <w:p>
            <w:pPr>
              <w:spacing w:after="40"/>
            </w:pPr>
            <w:r>
              <w:rPr>
                <w:b w:val="false"/>
                <w:bCs w:val="false"/>
                <w:sz w:val="19"/>
                <w:szCs w:val="19"/>
              </w:rPr>
              <w:t xml:space="preserve">Pulls that form from KoboToolbox now and updates the portal's copy.</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automatic sync runs every 15 minutes; this brings it up to date immediately. It also notices edits and deletions made in KoboToolbox.</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counts refresh. A KII record's coding can move to COMPLETE; a document whose submission was deleted in KoboToolbox unlocks.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 saved in portal (on each row)</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Says the portal holds an identical copy of that submission.</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Proof, row by row, that nothing was lost or changed between KoboToolbox and the portal.</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Read only. It is missing until the next sync for a new or edited row.</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Download PDF</w:t>
            </w:r>
          </w:p>
        </w:tc>
        <w:tc>
          <w:tcPr>
            <w:tcW w:type="dxa" w:w="3012"/>
            <w:tcMar>
              <w:top w:type="dxa" w:w="70"/>
              <w:left w:type="dxa" w:w="110"/>
              <w:bottom w:type="dxa" w:w="70"/>
              <w:right w:type="dxa" w:w="110"/>
            </w:tcMar>
            <w:vAlign w:val="top"/>
          </w:tcPr>
          <w:p>
            <w:pPr>
              <w:spacing w:after="40"/>
            </w:pPr>
            <w:r>
              <w:rPr>
                <w:b w:val="false"/>
                <w:bCs w:val="false"/>
                <w:sz w:val="19"/>
                <w:szCs w:val="19"/>
              </w:rPr>
              <w:t xml:space="preserve">Downloads that completed form as a readable PDF (sections, questions, answers as words).</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 readable copy for records, meetings and checking.</w:t>
            </w:r>
          </w:p>
        </w:tc>
        <w:tc>
          <w:tcPr>
            <w:tcW w:type="dxa" w:w="2071"/>
            <w:tcMar>
              <w:top w:type="dxa" w:w="70"/>
              <w:left w:type="dxa" w:w="110"/>
              <w:bottom w:type="dxa" w:w="70"/>
              <w:right w:type="dxa" w:w="110"/>
            </w:tcMar>
            <w:vAlign w:val="top"/>
          </w:tcPr>
          <w:p>
            <w:pPr>
              <w:spacing w:after="40"/>
            </w:pPr>
            <w:r>
              <w:rPr>
                <w:b w:val="false"/>
                <w:bCs w:val="false"/>
                <w:sz w:val="19"/>
                <w:szCs w:val="19"/>
              </w:rPr>
              <w:t xml:space="preserve">A PDF downloads; the download is audited.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Email to me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Emails that PDF to the address on your own account.</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 PDF is a full research record, so it goes only to you, never to a typed-in address.</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“Sent to …” (address masked). Recorded in the audit log.</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Email to respondent (questionnaire only)</w:t>
            </w:r>
          </w:p>
        </w:tc>
        <w:tc>
          <w:tcPr>
            <w:tcW w:type="dxa" w:w="3012"/>
            <w:tcMar>
              <w:top w:type="dxa" w:w="70"/>
              <w:left w:type="dxa" w:w="110"/>
              <w:bottom w:type="dxa" w:w="70"/>
              <w:right w:type="dxa" w:w="110"/>
            </w:tcMar>
            <w:vAlign w:val="top"/>
          </w:tcPr>
          <w:p>
            <w:pPr>
              <w:spacing w:after="40"/>
            </w:pPr>
            <w:r>
              <w:rPr>
                <w:b w:val="false"/>
                <w:bCs w:val="false"/>
                <w:sz w:val="19"/>
                <w:szCs w:val="19"/>
              </w:rPr>
              <w:t xml:space="preserve">Emails the respondent a copy of their own answers, at the address on their case, after you confirm.</w:t>
            </w:r>
          </w:p>
        </w:tc>
        <w:tc>
          <w:tcPr>
            <w:tcW w:type="dxa" w:w="2447"/>
            <w:tcMar>
              <w:top w:type="dxa" w:w="70"/>
              <w:left w:type="dxa" w:w="110"/>
              <w:bottom w:type="dxa" w:w="70"/>
              <w:right w:type="dxa" w:w="110"/>
            </w:tcMar>
            <w:vAlign w:val="top"/>
          </w:tcPr>
          <w:p>
            <w:pPr>
              <w:spacing w:after="40"/>
            </w:pPr>
            <w:r>
              <w:rPr>
                <w:b w:val="false"/>
                <w:bCs w:val="false"/>
                <w:sz w:val="19"/>
                <w:szCs w:val="19"/>
              </w:rPr>
              <w:t xml:space="preserve">Respondents may ask for their answers; the copy goes only to the address on file and only while their consent stands.</w:t>
            </w:r>
          </w:p>
        </w:tc>
        <w:tc>
          <w:tcPr>
            <w:tcW w:type="dxa" w:w="2071"/>
            <w:tcMar>
              <w:top w:type="dxa" w:w="70"/>
              <w:left w:type="dxa" w:w="110"/>
              <w:bottom w:type="dxa" w:w="70"/>
              <w:right w:type="dxa" w:w="110"/>
            </w:tcMar>
            <w:vAlign w:val="top"/>
          </w:tcPr>
          <w:p>
            <w:pPr>
              <w:spacing w:after="40"/>
            </w:pPr>
            <w:r>
              <w:rPr>
                <w:b w:val="false"/>
                <w:bCs w:val="false"/>
                <w:sz w:val="19"/>
                <w:szCs w:val="19"/>
              </w:rPr>
              <w:t xml:space="preserve">A confirmation first; then “Sent to …”. Refused if consent was withdrawn or no email is on file.</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Show / page numbers</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Choose rows per page and move between pages.</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As on every register.</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list redraws.</w:t>
            </w:r>
          </w:p>
        </w:tc>
      </w:tr>
    </w:tbl>
    <w:p>
      <w:pPr>
        <w:spacing w:after="120"/>
      </w:pPr>
    </w:p>
    <w:p>
      <w:pPr>
        <w:pStyle w:val="Heading2"/>
      </w:pPr>
      <w:r>
        <w:t xml:space="preserve">8.29 Cost Dashboard</w:t>
      </w:r>
    </w:p>
    <w:p>
      <w:pPr>
        <w:spacing w:after="120" w:line="288"/>
      </w:pPr>
      <w:r>
        <w:rPr>
          <w:b/>
          <w:bCs/>
        </w:rPr>
        <w:t xml:space="preserve">Who can open it:</w:t>
      </w:r>
      <w:r>
        <w:t xml:space="preserve"> PI / System Admin, Field / Digital Coordinator, Data Analyst, Supervisor.  </w:t>
      </w:r>
      <w:r>
        <w:rPr>
          <w:b/>
          <w:bCs/>
        </w:rPr>
        <w:t xml:space="preserve">Where:</w:t>
      </w:r>
      <w:r>
        <w:t xml:space="preserve"> </w:t>
      </w:r>
      <w:r>
        <w:rPr>
          <w:rFonts w:ascii="Consolas" w:cs="Consolas" w:eastAsia="Consolas" w:hAnsi="Consolas"/>
          <w:b w:val="false"/>
          <w:bCs w:val="false"/>
          <w:color w:val="122238"/>
          <w:sz w:val="19"/>
          <w:szCs w:val="19"/>
        </w:rPr>
        <w:t xml:space="preserve">/admin/cost</w:t>
      </w:r>
    </w:p>
    <w:p>
      <w:pPr>
        <w:spacing w:after="120" w:line="288"/>
      </w:pPr>
      <w:r>
        <w:t xml:space="preserve">What the fieldwork has cost, by category, so cost per completed case can be reported.</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Spend by category</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Shows spend for RA allowance, airtime/data, transport, accommodation, hosting, messaging and other.</w:t>
            </w:r>
          </w:p>
        </w:tc>
        <w:tc>
          <w:tcPr>
            <w:tcW w:type="dxa" w:w="2447"/>
            <w:tcMar>
              <w:top w:type="dxa" w:w="70"/>
              <w:left w:type="dxa" w:w="110"/>
              <w:bottom w:type="dxa" w:w="70"/>
              <w:right w:type="dxa" w:w="110"/>
            </w:tcMar>
            <w:vAlign w:val="top"/>
          </w:tcPr>
          <w:p>
            <w:pPr>
              <w:spacing w:after="40"/>
            </w:pPr>
            <w:r>
              <w:rPr>
                <w:b w:val="false"/>
                <w:bCs w:val="false"/>
                <w:sz w:val="19"/>
                <w:szCs w:val="19"/>
              </w:rPr>
              <w:t xml:space="preserve">Funders and the dissertation need the real cost of each completed case.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Read only.</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Log a cost event: Date, Category, Amount → Log cost</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Records one expense.</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Costs are logged as they happen so the total stays true, and each event records who approved it.</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event is added and the total increases by that amount.</w:t>
            </w:r>
          </w:p>
        </w:tc>
      </w:tr>
    </w:tbl>
    <w:p>
      <w:pPr>
        <w:spacing w:after="120"/>
      </w:pPr>
    </w:p>
    <w:p>
      <w:pPr>
        <w:pStyle w:val="Heading2"/>
      </w:pPr>
      <w:r>
        <w:t xml:space="preserve">8.30 Export</w:t>
      </w:r>
    </w:p>
    <w:p>
      <w:pPr>
        <w:spacing w:after="120" w:line="288"/>
      </w:pPr>
      <w:r>
        <w:rPr>
          <w:b/>
          <w:bCs/>
        </w:rPr>
        <w:t xml:space="preserve">Who can open it:</w:t>
      </w:r>
      <w:r>
        <w:t xml:space="preserve"> PI / System Admin, Field / Digital Coordinator, Data Analyst.  </w:t>
      </w:r>
      <w:r>
        <w:rPr>
          <w:b/>
          <w:bCs/>
        </w:rPr>
        <w:t xml:space="preserve">Where:</w:t>
      </w:r>
      <w:r>
        <w:t xml:space="preserve"> </w:t>
      </w:r>
      <w:r>
        <w:rPr>
          <w:rFonts w:ascii="Consolas" w:cs="Consolas" w:eastAsia="Consolas" w:hAnsi="Consolas"/>
          <w:b w:val="false"/>
          <w:bCs w:val="false"/>
          <w:color w:val="122238"/>
          <w:sz w:val="19"/>
          <w:szCs w:val="19"/>
        </w:rPr>
        <w:t xml:space="preserve">/admin/export</w:t>
      </w:r>
    </w:p>
    <w:p>
      <w:pPr>
        <w:spacing w:after="120" w:line="288"/>
      </w:pPr>
      <w:r>
        <w:t xml:space="preserve">Downloads of data for analysis and for the data lock. Every download is audited, and the disclaimer at the foot applies to everything exported.</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Download analysis export (CSV)</w:t>
            </w:r>
          </w:p>
        </w:tc>
        <w:tc>
          <w:tcPr>
            <w:tcW w:type="dxa" w:w="3012"/>
            <w:tcMar>
              <w:top w:type="dxa" w:w="70"/>
              <w:left w:type="dxa" w:w="110"/>
              <w:bottom w:type="dxa" w:w="70"/>
              <w:right w:type="dxa" w:w="110"/>
            </w:tcMar>
            <w:vAlign w:val="top"/>
          </w:tcPr>
          <w:p>
            <w:pPr>
              <w:spacing w:after="40"/>
            </w:pPr>
            <w:r>
              <w:rPr>
                <w:b w:val="false"/>
                <w:bCs w:val="false"/>
                <w:sz w:val="19"/>
                <w:szCs w:val="19"/>
              </w:rPr>
              <w:t xml:space="preserve">Downloads case-level data with no contact-identifying fields (no names, phone numbers or emails). Withdrawn participants' answers are left out.</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version that is safe for analysis and for sharing with the wider research team.</w:t>
            </w:r>
          </w:p>
        </w:tc>
        <w:tc>
          <w:tcPr>
            <w:tcW w:type="dxa" w:w="2071"/>
            <w:tcMar>
              <w:top w:type="dxa" w:w="70"/>
              <w:left w:type="dxa" w:w="110"/>
              <w:bottom w:type="dxa" w:w="70"/>
              <w:right w:type="dxa" w:w="110"/>
            </w:tcMar>
            <w:vAlign w:val="top"/>
          </w:tcPr>
          <w:p>
            <w:pPr>
              <w:spacing w:after="40"/>
            </w:pPr>
            <w:r>
              <w:rPr>
                <w:b w:val="false"/>
                <w:bCs w:val="false"/>
                <w:sz w:val="19"/>
                <w:szCs w:val="19"/>
              </w:rPr>
              <w:t xml:space="preserve">A CSV downloads.</w:t>
            </w:r>
          </w:p>
        </w:tc>
      </w:tr>
    </w:tbl>
    <w:p>
      <w:pPr>
        <w:spacing w:after="120"/>
      </w:pPr>
    </w:p>
    <w:sectPr>
      <w:headerReference w:type="default" r:id="rId7"/>
      <w:headerReference w:type="first" r:id="rId8"/>
      <w:footerReference w:type="default" r:id="rId9"/>
      <w:footerReference w:type="first" r:id="rId10"/>
      <w:pgSz w:w="11906" w:h="16838" w:orient="portrait"/>
      <w:pgMar w:top="1300" w:right="1247" w:bottom="1200" w:left="1247"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412"/>
      </w:tabs>
    </w:pPr>
    <w:r>
      <w:rPr>
        <w:color w:val="5B6670"/>
        <w:sz w:val="16"/>
        <w:szCs w:val="16"/>
      </w:rPr>
      <w:t xml:space="preserve">Version 1.42 · 14 October 2026</w:t>
    </w:r>
    <w:r>
      <w:rPr>
        <w:color w:val="5B6670"/>
        <w:sz w:val="16"/>
        <w:szCs w:val="16"/>
      </w:rPr>
      <w:t xml:space="preserve">	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5DAE0" w:sz="4" w:space="4"/>
      </w:pBdr>
      <w:tabs>
        <w:tab w:val="right" w:pos="9412"/>
      </w:tabs>
    </w:pPr>
    <w:r>
      <w:rPr>
        <w:b/>
        <w:bCs/>
        <w:color w:val="1B3350"/>
        <w:sz w:val="16"/>
        <w:szCs w:val="16"/>
      </w:rPr>
      <w:t xml:space="preserve">ABF-FST DIGITAL RESPONDENT PORTAL</w:t>
    </w:r>
    <w:r>
      <w:rPr>
        <w:color w:val="5B6670"/>
        <w:sz w:val="16"/>
        <w:szCs w:val="16"/>
      </w:rPr>
      <w:t xml:space="preserve">	Role Guide 2 · Field / Digital Coordinator</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80"/>
      </w:pPr>
    </w:lvl>
    <w:lvl w:ilvl="1" w15:tentative="1">
      <w:start w:val="1"/>
      <w:numFmt w:val="bullet"/>
      <w:lvlText w:val="–"/>
      <w:lvlJc w:val="left"/>
      <w:pPr>
        <w:ind w:left="900" w:hanging="280"/>
      </w:pPr>
    </w:lvl>
  </w:abstractNum>
  <w:abstractNum w:abstractNumId="3" w15:restartNumberingAfterBreak="0">
    <w:multiLevelType w:val="hybridMultilevel"/>
    <w:lvl w:ilvl="0" w15:tentative="1">
      <w:start w:val="1"/>
      <w:numFmt w:val="decimal"/>
      <w:lvlText w:val="%1."/>
      <w:lvlJc w:val="left"/>
      <w:pPr>
        <w:ind w:left="460" w:hanging="360"/>
      </w:pPr>
      <w:rPr>
        <w:b/>
        <w:bCs/>
        <w:color w:val="A67C27"/>
      </w:rPr>
    </w:lvl>
  </w:abstractNum>
  <w:abstractNum w:abstractNumId="4" w15:restartNumberingAfterBreak="0">
    <w:multiLevelType w:val="hybridMultilevel"/>
    <w:lvl w:ilvl="0" w15:tentative="1">
      <w:start w:val="1"/>
      <w:numFmt w:val="decimal"/>
      <w:lvlText w:val="%1."/>
      <w:lvlJc w:val="left"/>
      <w:pPr>
        <w:ind w:left="460" w:hanging="360"/>
      </w:pPr>
      <w:rPr>
        <w:b/>
        <w:bCs/>
        <w:color w:val="A67C27"/>
      </w:rPr>
    </w:lvl>
  </w:abstractNum>
  <w:abstractNum w:abstractNumId="5" w15:restartNumberingAfterBreak="0">
    <w:multiLevelType w:val="hybridMultilevel"/>
    <w:lvl w:ilvl="0" w15:tentative="1">
      <w:start w:val="1"/>
      <w:numFmt w:val="decimal"/>
      <w:lvlText w:val="%1."/>
      <w:lvlJc w:val="left"/>
      <w:pPr>
        <w:ind w:left="460" w:hanging="360"/>
      </w:pPr>
      <w:rPr>
        <w:b/>
        <w:bCs/>
        <w:color w:val="A67C27"/>
      </w:rPr>
    </w:lvl>
  </w:abstractNum>
  <w:abstractNum w:abstractNumId="6" w15:restartNumberingAfterBreak="0">
    <w:multiLevelType w:val="hybridMultilevel"/>
    <w:lvl w:ilvl="0" w15:tentative="1">
      <w:start w:val="1"/>
      <w:numFmt w:val="decimal"/>
      <w:lvlText w:val="%1."/>
      <w:lvlJc w:val="left"/>
      <w:pPr>
        <w:ind w:left="460" w:hanging="360"/>
      </w:pPr>
      <w:rPr>
        <w:b/>
        <w:bCs/>
        <w:color w:val="A67C27"/>
      </w:rPr>
    </w:lvl>
  </w:abstractNum>
  <w:abstractNum w:abstractNumId="7" w15:restartNumberingAfterBreak="0">
    <w:multiLevelType w:val="hybridMultilevel"/>
    <w:lvl w:ilvl="0" w15:tentative="1">
      <w:start w:val="1"/>
      <w:numFmt w:val="decimal"/>
      <w:lvlText w:val="%1."/>
      <w:lvlJc w:val="left"/>
      <w:pPr>
        <w:ind w:left="460" w:hanging="360"/>
      </w:pPr>
      <w:rPr>
        <w:b/>
        <w:bCs/>
        <w:color w:val="A67C27"/>
      </w:rPr>
    </w:lvl>
  </w:abstractNum>
  <w:abstractNum w:abstractNumId="8" w15:restartNumberingAfterBreak="0">
    <w:multiLevelType w:val="hybridMultilevel"/>
    <w:lvl w:ilvl="0" w15:tentative="1">
      <w:start w:val="1"/>
      <w:numFmt w:val="decimal"/>
      <w:lvlText w:val="%1."/>
      <w:lvlJc w:val="left"/>
      <w:pPr>
        <w:ind w:left="460" w:hanging="360"/>
      </w:pPr>
      <w:rPr>
        <w:b/>
        <w:bCs/>
        <w:color w:val="A67C27"/>
      </w:rPr>
    </w:lvl>
  </w:abstractNum>
  <w:abstractNum w:abstractNumId="9" w15:restartNumberingAfterBreak="0">
    <w:multiLevelType w:val="hybridMultilevel"/>
    <w:lvl w:ilvl="0" w15:tentative="1">
      <w:start w:val="1"/>
      <w:numFmt w:val="decimal"/>
      <w:lvlText w:val="%1."/>
      <w:lvlJc w:val="left"/>
      <w:pPr>
        <w:ind w:left="460" w:hanging="360"/>
      </w:pPr>
      <w:rPr>
        <w:b/>
        <w:bCs/>
        <w:color w:val="A67C27"/>
      </w:rPr>
    </w:lvl>
  </w:abstractNum>
  <w:abstractNum w:abstractNumId="10" w15:restartNumberingAfterBreak="0">
    <w:multiLevelType w:val="hybridMultilevel"/>
    <w:lvl w:ilvl="0" w15:tentative="1">
      <w:start w:val="1"/>
      <w:numFmt w:val="decimal"/>
      <w:lvlText w:val="%1."/>
      <w:lvlJc w:val="left"/>
      <w:pPr>
        <w:ind w:left="460" w:hanging="360"/>
      </w:pPr>
      <w:rPr>
        <w:b/>
        <w:bCs/>
        <w:color w:val="A67C27"/>
      </w:rPr>
    </w:lvl>
  </w:abstractNum>
  <w:abstractNum w:abstractNumId="11" w15:restartNumberingAfterBreak="0">
    <w:multiLevelType w:val="hybridMultilevel"/>
    <w:lvl w:ilvl="0" w15:tentative="1">
      <w:start w:val="1"/>
      <w:numFmt w:val="decimal"/>
      <w:lvlText w:val="%1."/>
      <w:lvlJc w:val="left"/>
      <w:pPr>
        <w:ind w:left="460" w:hanging="360"/>
      </w:pPr>
      <w:rPr>
        <w:b/>
        <w:bCs/>
        <w:color w:val="A67C27"/>
      </w:rPr>
    </w:lvl>
  </w:abstractNum>
  <w:abstractNum w:abstractNumId="12" w15:restartNumberingAfterBreak="0">
    <w:multiLevelType w:val="hybridMultilevel"/>
    <w:lvl w:ilvl="0" w15:tentative="1">
      <w:start w:val="1"/>
      <w:numFmt w:val="decimal"/>
      <w:lvlText w:val="%1."/>
      <w:lvlJc w:val="left"/>
      <w:pPr>
        <w:ind w:left="460" w:hanging="360"/>
      </w:pPr>
      <w:rPr>
        <w:b/>
        <w:bCs/>
        <w:color w:val="A67C27"/>
      </w:rPr>
    </w:lvl>
  </w:abstractNum>
  <w:abstractNum w:abstractNumId="13" w15:restartNumberingAfterBreak="0">
    <w:multiLevelType w:val="hybridMultilevel"/>
    <w:lvl w:ilvl="0" w15:tentative="1">
      <w:start w:val="1"/>
      <w:numFmt w:val="decimal"/>
      <w:lvlText w:val="%1."/>
      <w:lvlJc w:val="left"/>
      <w:pPr>
        <w:ind w:left="460" w:hanging="360"/>
      </w:pPr>
      <w:rPr>
        <w:b/>
        <w:bCs/>
        <w:color w:val="A67C27"/>
      </w:rPr>
    </w:lvl>
  </w:abstractNum>
  <w:abstractNum w:abstractNumId="14" w15:restartNumberingAfterBreak="0">
    <w:multiLevelType w:val="hybridMultilevel"/>
    <w:lvl w:ilvl="0" w15:tentative="1">
      <w:start w:val="1"/>
      <w:numFmt w:val="decimal"/>
      <w:lvlText w:val="%1."/>
      <w:lvlJc w:val="left"/>
      <w:pPr>
        <w:ind w:left="460" w:hanging="360"/>
      </w:pPr>
      <w:rPr>
        <w:b/>
        <w:bCs/>
        <w:color w:val="A67C27"/>
      </w:rPr>
    </w:lvl>
  </w:abstractNum>
  <w:abstractNum w:abstractNumId="15" w15:restartNumberingAfterBreak="0">
    <w:multiLevelType w:val="hybridMultilevel"/>
    <w:lvl w:ilvl="0" w15:tentative="1">
      <w:start w:val="1"/>
      <w:numFmt w:val="decimal"/>
      <w:lvlText w:val="%1."/>
      <w:lvlJc w:val="left"/>
      <w:pPr>
        <w:ind w:left="460" w:hanging="360"/>
      </w:pPr>
      <w:rPr>
        <w:b/>
        <w:bCs/>
        <w:color w:val="A67C27"/>
      </w:rPr>
    </w:lvl>
  </w:abstractNum>
  <w:abstractNum w:abstractNumId="16" w15:restartNumberingAfterBreak="0">
    <w:multiLevelType w:val="hybridMultilevel"/>
    <w:lvl w:ilvl="0" w15:tentative="1">
      <w:start w:val="1"/>
      <w:numFmt w:val="decimal"/>
      <w:lvlText w:val="%1."/>
      <w:lvlJc w:val="left"/>
      <w:pPr>
        <w:ind w:left="460" w:hanging="360"/>
      </w:pPr>
      <w:rPr>
        <w:b/>
        <w:bCs/>
        <w:color w:val="A67C27"/>
      </w:rPr>
    </w:lvl>
  </w:abstractNum>
  <w:abstractNum w:abstractNumId="17" w15:restartNumberingAfterBreak="0">
    <w:multiLevelType w:val="hybridMultilevel"/>
    <w:lvl w:ilvl="0" w15:tentative="1">
      <w:start w:val="1"/>
      <w:numFmt w:val="decimal"/>
      <w:lvlText w:val="%1."/>
      <w:lvlJc w:val="left"/>
      <w:pPr>
        <w:ind w:left="460" w:hanging="360"/>
      </w:pPr>
      <w:rPr>
        <w:b/>
        <w:bCs/>
        <w:color w:val="A67C27"/>
      </w:rPr>
    </w:lvl>
  </w:abstractNum>
  <w:abstractNum w:abstractNumId="18" w15:restartNumberingAfterBreak="0">
    <w:multiLevelType w:val="hybridMultilevel"/>
    <w:lvl w:ilvl="0" w15:tentative="1">
      <w:start w:val="1"/>
      <w:numFmt w:val="decimal"/>
      <w:lvlText w:val="%1."/>
      <w:lvlJc w:val="left"/>
      <w:pPr>
        <w:ind w:left="460" w:hanging="360"/>
      </w:pPr>
      <w:rPr>
        <w:b/>
        <w:bCs/>
        <w:color w:val="A67C27"/>
      </w:rPr>
    </w:lvl>
  </w:abstractNum>
  <w:abstractNum w:abstractNumId="19" w15:restartNumberingAfterBreak="0">
    <w:multiLevelType w:val="hybridMultilevel"/>
    <w:lvl w:ilvl="0" w15:tentative="1">
      <w:start w:val="1"/>
      <w:numFmt w:val="decimal"/>
      <w:lvlText w:val="%1."/>
      <w:lvlJc w:val="left"/>
      <w:pPr>
        <w:ind w:left="460" w:hanging="360"/>
      </w:pPr>
      <w:rPr>
        <w:b/>
        <w:bCs/>
        <w:color w:val="A67C27"/>
      </w:rPr>
    </w:lvl>
  </w:abstractNum>
  <w:abstractNum w:abstractNumId="20" w15:restartNumberingAfterBreak="0">
    <w:multiLevelType w:val="hybridMultilevel"/>
    <w:lvl w:ilvl="0" w15:tentative="1">
      <w:start w:val="1"/>
      <w:numFmt w:val="decimal"/>
      <w:lvlText w:val="%1."/>
      <w:lvlJc w:val="left"/>
      <w:pPr>
        <w:ind w:left="460" w:hanging="360"/>
      </w:pPr>
      <w:rPr>
        <w:b/>
        <w:bCs/>
        <w:color w:val="A67C27"/>
      </w:rPr>
    </w:lvl>
  </w:abstractNum>
  <w:abstractNum w:abstractNumId="21" w15:restartNumberingAfterBreak="0">
    <w:multiLevelType w:val="hybridMultilevel"/>
    <w:lvl w:ilvl="0" w15:tentative="1">
      <w:start w:val="1"/>
      <w:numFmt w:val="decimal"/>
      <w:lvlText w:val="%1."/>
      <w:lvlJc w:val="left"/>
      <w:pPr>
        <w:ind w:left="460" w:hanging="360"/>
      </w:pPr>
      <w:rPr>
        <w:b/>
        <w:bCs/>
        <w:color w:val="A67C27"/>
      </w:rPr>
    </w:lvl>
  </w:abstractNum>
  <w:abstractNum w:abstractNumId="22" w15:restartNumberingAfterBreak="0">
    <w:multiLevelType w:val="hybridMultilevel"/>
    <w:lvl w:ilvl="0" w15:tentative="1">
      <w:start w:val="1"/>
      <w:numFmt w:val="decimal"/>
      <w:lvlText w:val="%1."/>
      <w:lvlJc w:val="left"/>
      <w:pPr>
        <w:ind w:left="460" w:hanging="360"/>
      </w:pPr>
      <w:rPr>
        <w:b/>
        <w:bCs/>
        <w:color w:val="A67C27"/>
      </w:rPr>
    </w:lvl>
  </w:abstractNum>
  <w:abstractNum w:abstractNumId="23" w15:restartNumberingAfterBreak="0">
    <w:multiLevelType w:val="hybridMultilevel"/>
    <w:lvl w:ilvl="0" w15:tentative="1">
      <w:start w:val="1"/>
      <w:numFmt w:val="decimal"/>
      <w:lvlText w:val="%1."/>
      <w:lvlJc w:val="left"/>
      <w:pPr>
        <w:ind w:left="460" w:hanging="360"/>
      </w:pPr>
      <w:rPr>
        <w:b/>
        <w:bCs/>
        <w:color w:val="A67C27"/>
      </w:rPr>
    </w:lvl>
  </w:abstractNum>
  <w:abstractNum w:abstractNumId="24" w15:restartNumberingAfterBreak="0">
    <w:multiLevelType w:val="hybridMultilevel"/>
    <w:lvl w:ilvl="0" w15:tentative="1">
      <w:start w:val="1"/>
      <w:numFmt w:val="decimal"/>
      <w:lvlText w:val="%1."/>
      <w:lvlJc w:val="left"/>
      <w:pPr>
        <w:ind w:left="460" w:hanging="360"/>
      </w:pPr>
      <w:rPr>
        <w:b/>
        <w:bCs/>
        <w:color w:val="A67C27"/>
      </w:rPr>
    </w:lvl>
  </w:abstractNum>
  <w:abstractNum w:abstractNumId="25" w15:restartNumberingAfterBreak="0">
    <w:multiLevelType w:val="hybridMultilevel"/>
    <w:lvl w:ilvl="0" w15:tentative="1">
      <w:start w:val="1"/>
      <w:numFmt w:val="decimal"/>
      <w:lvlText w:val="%1."/>
      <w:lvlJc w:val="left"/>
      <w:pPr>
        <w:ind w:left="460" w:hanging="360"/>
      </w:pPr>
      <w:rPr>
        <w:b/>
        <w:bCs/>
        <w:color w:val="A67C27"/>
      </w:rPr>
    </w:lvl>
  </w:abstractNum>
  <w:abstractNum w:abstractNumId="26" w15:restartNumberingAfterBreak="0">
    <w:multiLevelType w:val="hybridMultilevel"/>
    <w:lvl w:ilvl="0" w15:tentative="1">
      <w:start w:val="1"/>
      <w:numFmt w:val="decimal"/>
      <w:lvlText w:val="%1."/>
      <w:lvlJc w:val="left"/>
      <w:pPr>
        <w:ind w:left="460" w:hanging="360"/>
      </w:pPr>
      <w:rPr>
        <w:b/>
        <w:bCs/>
        <w:color w:val="A67C27"/>
      </w:rPr>
    </w:lvl>
  </w:abstractNum>
  <w:abstractNum w:abstractNumId="27" w15:restartNumberingAfterBreak="0">
    <w:multiLevelType w:val="hybridMultilevel"/>
    <w:lvl w:ilvl="0" w15:tentative="1">
      <w:start w:val="1"/>
      <w:numFmt w:val="decimal"/>
      <w:lvlText w:val="%1."/>
      <w:lvlJc w:val="left"/>
      <w:pPr>
        <w:ind w:left="460" w:hanging="360"/>
      </w:pPr>
      <w:rPr>
        <w:b/>
        <w:bCs/>
        <w:color w:val="A67C27"/>
      </w:rPr>
    </w:lvl>
  </w:abstractNum>
  <w:abstractNum w:abstractNumId="28" w15:restartNumberingAfterBreak="0">
    <w:multiLevelType w:val="hybridMultilevel"/>
    <w:lvl w:ilvl="0" w15:tentative="1">
      <w:start w:val="1"/>
      <w:numFmt w:val="decimal"/>
      <w:lvlText w:val="%1."/>
      <w:lvlJc w:val="left"/>
      <w:pPr>
        <w:ind w:left="460" w:hanging="360"/>
      </w:pPr>
      <w:rPr>
        <w:b/>
        <w:bCs/>
        <w:color w:val="A67C27"/>
      </w:rPr>
    </w:lvl>
  </w:abstractNum>
  <w:abstractNum w:abstractNumId="29" w15:restartNumberingAfterBreak="0">
    <w:multiLevelType w:val="hybridMultilevel"/>
    <w:lvl w:ilvl="0" w15:tentative="1">
      <w:start w:val="1"/>
      <w:numFmt w:val="decimal"/>
      <w:lvlText w:val="%1."/>
      <w:lvlJc w:val="left"/>
      <w:pPr>
        <w:ind w:left="460" w:hanging="360"/>
      </w:pPr>
      <w:rPr>
        <w:b/>
        <w:bCs/>
        <w:color w:val="A67C27"/>
      </w:rPr>
    </w:lvl>
  </w:abstractNum>
  <w:abstractNum w:abstractNumId="30" w15:restartNumberingAfterBreak="0">
    <w:multiLevelType w:val="hybridMultilevel"/>
    <w:lvl w:ilvl="0" w15:tentative="1">
      <w:start w:val="1"/>
      <w:numFmt w:val="decimal"/>
      <w:lvlText w:val="%1."/>
      <w:lvlJc w:val="left"/>
      <w:pPr>
        <w:ind w:left="460" w:hanging="360"/>
      </w:pPr>
      <w:rPr>
        <w:b/>
        <w:bCs/>
        <w:color w:val="A67C27"/>
      </w:rPr>
    </w:lvl>
  </w:abstractNum>
  <w:abstractNum w:abstractNumId="31" w15:restartNumberingAfterBreak="0">
    <w:multiLevelType w:val="hybridMultilevel"/>
    <w:lvl w:ilvl="0" w15:tentative="1">
      <w:start w:val="1"/>
      <w:numFmt w:val="decimal"/>
      <w:lvlText w:val="%1."/>
      <w:lvlJc w:val="left"/>
      <w:pPr>
        <w:ind w:left="460" w:hanging="360"/>
      </w:pPr>
      <w:rPr>
        <w:b/>
        <w:bCs/>
        <w:color w:val="A67C27"/>
      </w:rPr>
    </w:lvl>
  </w:abstractNum>
  <w:abstractNum w:abstractNumId="32" w15:restartNumberingAfterBreak="0">
    <w:multiLevelType w:val="hybridMultilevel"/>
    <w:lvl w:ilvl="0" w15:tentative="1">
      <w:start w:val="1"/>
      <w:numFmt w:val="decimal"/>
      <w:lvlText w:val="%1."/>
      <w:lvlJc w:val="left"/>
      <w:pPr>
        <w:ind w:left="460" w:hanging="360"/>
      </w:pPr>
      <w:rPr>
        <w:b/>
        <w:bCs/>
        <w:color w:val="A67C27"/>
      </w:rPr>
    </w:lvl>
  </w:abstractNum>
  <w:abstractNum w:abstractNumId="33" w15:restartNumberingAfterBreak="0">
    <w:multiLevelType w:val="hybridMultilevel"/>
    <w:lvl w:ilvl="0" w15:tentative="1">
      <w:start w:val="1"/>
      <w:numFmt w:val="decimal"/>
      <w:lvlText w:val="%1."/>
      <w:lvlJc w:val="left"/>
      <w:pPr>
        <w:ind w:left="460" w:hanging="360"/>
      </w:pPr>
      <w:rPr>
        <w:b/>
        <w:bCs/>
        <w:color w:val="A67C27"/>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15"/>
    <w:lvlOverride w:ilvl="0">
      <w:startOverride w:val="1"/>
    </w:lvlOverride>
  </w:num>
  <w:num w:numId="16">
    <w:abstractNumId w:val="16"/>
    <w:lvlOverride w:ilvl="0">
      <w:startOverride w:val="1"/>
    </w:lvlOverride>
  </w:num>
  <w:num w:numId="17">
    <w:abstractNumId w:val="17"/>
    <w:lvlOverride w:ilvl="0">
      <w:startOverride w:val="1"/>
    </w:lvlOverride>
  </w:num>
  <w:num w:numId="18">
    <w:abstractNumId w:val="18"/>
    <w:lvlOverride w:ilvl="0">
      <w:startOverride w:val="1"/>
    </w:lvlOverride>
  </w:num>
  <w:num w:numId="19">
    <w:abstractNumId w:val="19"/>
    <w:lvlOverride w:ilvl="0">
      <w:startOverride w:val="1"/>
    </w:lvlOverride>
  </w:num>
  <w:num w:numId="20">
    <w:abstractNumId w:val="20"/>
    <w:lvlOverride w:ilvl="0">
      <w:startOverride w:val="1"/>
    </w:lvlOverride>
  </w:num>
  <w:num w:numId="21">
    <w:abstractNumId w:val="21"/>
    <w:lvlOverride w:ilvl="0">
      <w:startOverride w:val="1"/>
    </w:lvlOverride>
  </w:num>
  <w:num w:numId="22">
    <w:abstractNumId w:val="22"/>
    <w:lvlOverride w:ilvl="0">
      <w:startOverride w:val="1"/>
    </w:lvlOverride>
  </w:num>
  <w:num w:numId="23">
    <w:abstractNumId w:val="23"/>
    <w:lvlOverride w:ilvl="0">
      <w:startOverride w:val="1"/>
    </w:lvlOverride>
  </w:num>
  <w:num w:numId="24">
    <w:abstractNumId w:val="24"/>
    <w:lvlOverride w:ilvl="0">
      <w:startOverride w:val="1"/>
    </w:lvlOverride>
  </w:num>
  <w:num w:numId="25">
    <w:abstractNumId w:val="25"/>
    <w:lvlOverride w:ilvl="0">
      <w:startOverride w:val="1"/>
    </w:lvlOverride>
  </w:num>
  <w:num w:numId="26">
    <w:abstractNumId w:val="26"/>
    <w:lvlOverride w:ilvl="0">
      <w:startOverride w:val="1"/>
    </w:lvlOverride>
  </w:num>
  <w:num w:numId="27">
    <w:abstractNumId w:val="27"/>
    <w:lvlOverride w:ilvl="0">
      <w:startOverride w:val="1"/>
    </w:lvlOverride>
  </w:num>
  <w:num w:numId="28">
    <w:abstractNumId w:val="28"/>
    <w:lvlOverride w:ilvl="0">
      <w:startOverride w:val="1"/>
    </w:lvlOverride>
  </w:num>
  <w:num w:numId="29">
    <w:abstractNumId w:val="29"/>
    <w:lvlOverride w:ilvl="0">
      <w:startOverride w:val="1"/>
    </w:lvlOverride>
  </w:num>
  <w:num w:numId="30">
    <w:abstractNumId w:val="30"/>
    <w:lvlOverride w:ilvl="0">
      <w:startOverride w:val="1"/>
    </w:lvlOverride>
  </w:num>
  <w:num w:numId="31">
    <w:abstractNumId w:val="31"/>
    <w:lvlOverride w:ilvl="0">
      <w:startOverride w:val="1"/>
    </w:lvlOverride>
  </w:num>
  <w:num w:numId="32">
    <w:abstractNumId w:val="32"/>
    <w:lvlOverride w:ilvl="0">
      <w:startOverride w:val="1"/>
    </w:lvlOverride>
  </w:num>
  <w:num w:numId="33">
    <w:abstractNumId w:val="3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2282E"/>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A67C27" w:sz="8" w:space="6"/>
      </w:pBdr>
      <w:spacing w:after="200" w:before="120"/>
      <w:outlineLvl w:val="0"/>
    </w:pPr>
    <w:rPr>
      <w:rFonts w:ascii="Calibri" w:cs="Calibri" w:eastAsia="Calibri" w:hAnsi="Calibri"/>
      <w:b/>
      <w:bCs/>
      <w:color w:val="122238"/>
      <w:sz w:val="36"/>
      <w:szCs w:val="36"/>
    </w:rPr>
  </w:style>
  <w:style w:type="paragraph" w:styleId="Heading2">
    <w:name w:val="Heading 2"/>
    <w:basedOn w:val="Normal"/>
    <w:next w:val="Normal"/>
    <w:qFormat/>
    <w:pPr>
      <w:keepNext/>
      <w:spacing w:after="120" w:before="300"/>
      <w:outlineLvl w:val="1"/>
    </w:pPr>
    <w:rPr>
      <w:rFonts w:ascii="Calibri" w:cs="Calibri" w:eastAsia="Calibri" w:hAnsi="Calibri"/>
      <w:b/>
      <w:bCs/>
      <w:color w:val="1B3350"/>
      <w:sz w:val="28"/>
      <w:szCs w:val="28"/>
    </w:rPr>
  </w:style>
  <w:style w:type="paragraph" w:styleId="Heading3">
    <w:name w:val="Heading 3"/>
    <w:basedOn w:val="Normal"/>
    <w:next w:val="Normal"/>
    <w:qFormat/>
    <w:pPr>
      <w:keepNext/>
      <w:spacing w:after="80" w:before="220"/>
      <w:outlineLvl w:val="2"/>
    </w:pPr>
    <w:rPr>
      <w:rFonts w:ascii="Calibri" w:cs="Calibri" w:eastAsia="Calibri" w:hAnsi="Calibri"/>
      <w:b/>
      <w:bCs/>
      <w:color w:val="22282E"/>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image" Target="media/c4e471d4f07870139573dbd97627744b44e30a47.jpg"/><Relationship Id="rId12" Type="http://schemas.openxmlformats.org/officeDocument/2006/relationships/image" Target="media/596454ce8f5b2e091994d48a900d9b947c5abb86.jpg"/><Relationship Id="rId13" Type="http://schemas.openxmlformats.org/officeDocument/2006/relationships/image" Target="media/a3f7805e96c7ae82ae78d54e1822572086daa7f6.jpg"/><Relationship Id="rId14" Type="http://schemas.openxmlformats.org/officeDocument/2006/relationships/image" Target="media/e67a3b41ad31830d0a6d35510b8466d1c6a8ade6.jpg"/><Relationship Id="rId15" Type="http://schemas.openxmlformats.org/officeDocument/2006/relationships/image" Target="media/0df8b87650df43f0163d04ca0d1666befd254073.jpg"/><Relationship Id="rId16" Type="http://schemas.openxmlformats.org/officeDocument/2006/relationships/image" Target="media/fc1bb911a479d206fae15d1be7de3779d6382f25.jpg"/><Relationship Id="rId17" Type="http://schemas.openxmlformats.org/officeDocument/2006/relationships/image" Target="media/51e08ceb12e27bba247b8e91a517c26439f11061.jpg"/><Relationship Id="rId18" Type="http://schemas.openxmlformats.org/officeDocument/2006/relationships/image" Target="media/4edb0e7f342465c561eec1cbce99a1e92cd50760.jpg"/><Relationship Id="rId19" Type="http://schemas.openxmlformats.org/officeDocument/2006/relationships/image" Target="media/aeb03538f4861c1892a516c49524165a7d2e0dd1.jpg"/><Relationship Id="rId20" Type="http://schemas.openxmlformats.org/officeDocument/2006/relationships/image" Target="media/78a5edc81e1f24d57d716107ff9f9a4db861f9d3.jpg"/><Relationship Id="rId21" Type="http://schemas.openxmlformats.org/officeDocument/2006/relationships/image" Target="media/ba7ded731a830891ee5d7053c82840256c629d31.jpg"/><Relationship Id="rId22" Type="http://schemas.openxmlformats.org/officeDocument/2006/relationships/image" Target="media/abd698a42cb600c19ebf8c14d929fd10bccd1e65.jpg"/><Relationship Id="rId23" Type="http://schemas.openxmlformats.org/officeDocument/2006/relationships/image" Target="media/8caf4112704b66abfaea1431ba0f43469d6019a6.jpg"/><Relationship Id="rId24" Type="http://schemas.openxmlformats.org/officeDocument/2006/relationships/image" Target="media/44135e913076e42573f8cb3dbbc650339cf92059.jpg"/><Relationship Id="rId25" Type="http://schemas.openxmlformats.org/officeDocument/2006/relationships/image" Target="media/816d7ad2d5b879fedcc912a2c642dcc739548ce2.jpg"/><Relationship Id="rId26" Type="http://schemas.openxmlformats.org/officeDocument/2006/relationships/image" Target="media/fbfc0e781ee459839812ba26eeffa28c72909d8b.jpg"/><Relationship Id="rId27" Type="http://schemas.openxmlformats.org/officeDocument/2006/relationships/image" Target="media/ccdf3c194b050a419e374412bcccdbbc06c9a88f.jpg"/><Relationship Id="rId28" Type="http://schemas.openxmlformats.org/officeDocument/2006/relationships/image" Target="media/70b49bc59d9bf7ad3b4e53d4874146c337734b47.jpg"/><Relationship Id="rId29" Type="http://schemas.openxmlformats.org/officeDocument/2006/relationships/image" Target="media/b6bd74a0c6c46380ca20c3d5e4837ab0ba645637.jpg"/><Relationship Id="rId30" Type="http://schemas.openxmlformats.org/officeDocument/2006/relationships/image" Target="media/b99c12b06b55cd851aae0d72ba6eec5b76f41581.jpg"/><Relationship Id="rId31" Type="http://schemas.openxmlformats.org/officeDocument/2006/relationships/image" Target="media/e4d974a67db3e7f34189d62a45292995969e1ab3.jpg"/><Relationship Id="rId32" Type="http://schemas.openxmlformats.org/officeDocument/2006/relationships/image" Target="media/0475537fe47564c7f4e5e6ab09d93e3ef13744b0.jpg"/><Relationship Id="rId33" Type="http://schemas.openxmlformats.org/officeDocument/2006/relationships/image" Target="media/4153b66a524c5fc63b23a4188595d69892202180.jpg"/><Relationship Id="rId34" Type="http://schemas.openxmlformats.org/officeDocument/2006/relationships/image" Target="media/7d2b62dfb7d7ff0d968e867e143e33403eee4643.jpg"/><Relationship Id="rId35" Type="http://schemas.openxmlformats.org/officeDocument/2006/relationships/image" Target="media/c4bb85699a0d1f1fe471180319695306303b5d41.jpg"/><Relationship Id="rId36" Type="http://schemas.openxmlformats.org/officeDocument/2006/relationships/image" Target="media/434b8ca61bff15756b23206524afaa732c523185.jpg"/><Relationship Id="rId37" Type="http://schemas.openxmlformats.org/officeDocument/2006/relationships/image" Target="media/09a95d847065b787734447195facdccaccd2a420.jpg"/><Relationship Id="rId38" Type="http://schemas.openxmlformats.org/officeDocument/2006/relationships/image" Target="media/c8916af0be83084805424ac034aa85f8a981e79c.jpg"/><Relationship Id="rId39" Type="http://schemas.openxmlformats.org/officeDocument/2006/relationships/image" Target="media/dc3b655000895ab866aae9e373014bcfcca20bb0.jpg"/><Relationship Id="rId40" Type="http://schemas.openxmlformats.org/officeDocument/2006/relationships/image" Target="media/cfaa4e7f90ac6b68932c8dd19deadffa5cf88a8c.jpg"/><Relationship Id="rId41" Type="http://schemas.openxmlformats.org/officeDocument/2006/relationships/image" Target="media/6bd9e8c8bd62a31ad686a6877a5005139c50ea7c.jpg"/><Relationship Id="rId42" Type="http://schemas.openxmlformats.org/officeDocument/2006/relationships/image" Target="media/fbbd8f14067a91a3e2a925fa8c2afe3fc35740a2.jpg"/><Relationship Id="rId43" Type="http://schemas.openxmlformats.org/officeDocument/2006/relationships/image" Target="media/9c26bd58060c7f7a5f0866e7b06f32b963a91215.jpg"/><Relationship Id="rId4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Role Guide 2: Field / Digital Coordinator</dc:title>
  <dc:creator>ABF-FST research team</dc:creator>
  <dc:description>Step-by-step instructions for the Field / Digital Coordinator role in the ABF-FST Digital Respondent Portal.</dc:description>
  <cp:lastModifiedBy>Un-named</cp:lastModifiedBy>
  <cp:revision>1</cp:revision>
  <dcterms:created xsi:type="dcterms:W3CDTF">2026-10-14T10:26:15.860Z</dcterms:created>
  <dcterms:modified xsi:type="dcterms:W3CDTF">2026-10-14T10:26:15.860Z</dcterms:modified>
</cp:coreProperties>
</file>

<file path=docProps/custom.xml><?xml version="1.0" encoding="utf-8"?>
<Properties xmlns="http://schemas.openxmlformats.org/officeDocument/2006/custom-properties" xmlns:vt="http://schemas.openxmlformats.org/officeDocument/2006/docPropsVTypes"/>
</file>