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7: Data Analyst</w:t>
      </w:r>
    </w:p>
    <w:p>
      <w:pPr>
        <w:spacing w:after="700" w:line="300"/>
      </w:pPr>
      <w:r>
        <w:rPr>
          <w:color w:val="5B6670"/>
          <w:sz w:val="28"/>
          <w:szCs w:val="28"/>
        </w:rPr>
        <w:t xml:space="preserve">Step-by-step instructions for the Data Analyst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Analysts monitoring progress and working with de-identified data</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1.39 · 14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You monitor fieldwork through the dashboards and Reports and prepare analysis from the de-identified export. Your role is read-only: you cannot change any record, and you never see names or contact details.</w:t>
      </w:r>
    </w:p>
    <w:p>
      <w:pPr>
        <w:pStyle w:val="Heading3"/>
      </w:pPr>
      <w:r>
        <w:t xml:space="preserve">You can</w:t>
      </w:r>
    </w:p>
    <w:p>
      <w:pPr>
        <w:pStyle w:val="ListParagraph"/>
        <w:numPr>
          <w:ilvl w:val="0"/>
          <w:numId w:val="2"/>
        </w:numPr>
        <w:spacing w:after="60" w:line="276"/>
      </w:pPr>
      <w:r>
        <w:t xml:space="preserve">Open the Executive, Sampling, Contact and KII/Doc dashboards, Reports and Cost (view).</w:t>
      </w:r>
    </w:p>
    <w:p>
      <w:pPr>
        <w:pStyle w:val="ListParagraph"/>
        <w:numPr>
          <w:ilvl w:val="0"/>
          <w:numId w:val="2"/>
        </w:numPr>
        <w:spacing w:after="60" w:line="276"/>
      </w:pPr>
      <w:r>
        <w:t xml:space="preserve">Download the de-identified analysis export (CSV).</w:t>
      </w:r>
    </w:p>
    <w:p>
      <w:pPr>
        <w:spacing w:after="60"/>
      </w:pPr>
    </w:p>
    <w:p>
      <w:pPr>
        <w:pStyle w:val="Heading3"/>
      </w:pPr>
      <w:r>
        <w:t xml:space="preserve">You cannot</w:t>
      </w:r>
    </w:p>
    <w:p>
      <w:pPr>
        <w:pStyle w:val="ListParagraph"/>
        <w:numPr>
          <w:ilvl w:val="0"/>
          <w:numId w:val="2"/>
        </w:numPr>
        <w:spacing w:after="60" w:line="276"/>
      </w:pPr>
      <w:r>
        <w:t xml:space="preserve">Change any record anywhere.</w:t>
      </w:r>
    </w:p>
    <w:p>
      <w:pPr>
        <w:pStyle w:val="ListParagraph"/>
        <w:numPr>
          <w:ilvl w:val="0"/>
          <w:numId w:val="2"/>
        </w:numPr>
        <w:spacing w:after="60" w:line="276"/>
      </w:pPr>
      <w:r>
        <w:t xml:space="preserve">See case pages, respondent names, contact details or completed forms.</w:t>
      </w:r>
    </w:p>
    <w:p>
      <w:pPr>
        <w:pStyle w:val="ListParagraph"/>
        <w:numPr>
          <w:ilvl w:val="0"/>
          <w:numId w:val="2"/>
        </w:numPr>
        <w:spacing w:after="60" w:line="276"/>
      </w:pPr>
      <w:r>
        <w:t xml:space="preserve">Download the operational export or the KoboToolbox data (ask the PI for the de-identified extracts you need).</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Executive Dashboard</w:t>
      </w:r>
      <w:r>
        <w:t xml:space="preserve">. The bar across the top lists only the screens your role (Data Analyst)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Executive, Sampling, Contact, KII/Doc</w:t>
            </w:r>
          </w:p>
        </w:tc>
        <w:tc>
          <w:tcPr>
            <w:tcW w:type="dxa" w:w="6588"/>
            <w:tcMar>
              <w:top w:type="dxa" w:w="70"/>
              <w:left w:type="dxa" w:w="110"/>
              <w:bottom w:type="dxa" w:w="70"/>
              <w:right w:type="dxa" w:w="110"/>
            </w:tcMar>
            <w:vAlign w:val="top"/>
          </w:tcPr>
          <w:p>
            <w:pPr>
              <w:spacing w:after="40"/>
            </w:pPr>
            <w:r>
              <w:rPr>
                <w:b w:val="false"/>
                <w:bCs w:val="false"/>
                <w:sz w:val="19"/>
                <w:szCs w:val="19"/>
              </w:rPr>
              <w:t xml:space="preserve">Progress and coverage.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Reports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Analytics with charts and tables.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Cost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Spend and cost per completed case (view only).</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Export</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De-identified analysis export.</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Weekly</w:t>
            </w:r>
          </w:p>
        </w:tc>
        <w:tc>
          <w:tcPr>
            <w:tcW w:type="dxa" w:w="7341"/>
            <w:tcMar>
              <w:top w:type="dxa" w:w="70"/>
              <w:left w:type="dxa" w:w="110"/>
              <w:bottom w:type="dxa" w:w="70"/>
              <w:right w:type="dxa" w:w="110"/>
            </w:tcMar>
            <w:vAlign w:val="top"/>
          </w:tcPr>
          <w:p>
            <w:pPr>
              <w:spacing w:after="40"/>
            </w:pPr>
            <w:r>
              <w:rPr>
                <w:b w:val="false"/>
                <w:bCs w:val="false"/>
                <w:sz w:val="19"/>
                <w:szCs w:val="19"/>
              </w:rPr>
              <w:t xml:space="preserve">Reports for the last 7 and 30 days; coverage by province, organisation type and size; mode balance; completion times.</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Monthly</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 the analysis export; update progress tables for the PI and supervisors.</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Before data lock</w:t>
            </w:r>
          </w:p>
        </w:tc>
        <w:tc>
          <w:tcPr>
            <w:tcW w:type="dxa" w:w="7341"/>
            <w:tcMar>
              <w:top w:type="dxa" w:w="70"/>
              <w:left w:type="dxa" w:w="110"/>
              <w:bottom w:type="dxa" w:w="70"/>
              <w:right w:type="dxa" w:w="110"/>
            </w:tcMar>
            <w:vAlign w:val="top"/>
          </w:tcPr>
          <w:p>
            <w:pPr>
              <w:spacing w:after="40"/>
            </w:pPr>
            <w:r>
              <w:rPr>
                <w:b w:val="false"/>
                <w:bCs w:val="false"/>
                <w:sz w:val="19"/>
                <w:szCs w:val="19"/>
              </w:rPr>
              <w:t xml:space="preserve">Agree the final export and cleaning plan with the PI.</w:t>
            </w:r>
          </w:p>
        </w:tc>
      </w:tr>
    </w:tbl>
    <w:p>
      <w:pPr>
        <w:spacing w:after="120"/>
      </w:pPr>
    </w:p>
    <w:p>
      <w:pPr>
        <w:pStyle w:val="Heading1"/>
        <w:pageBreakBefore/>
      </w:pPr>
      <w:r>
        <w:t xml:space="preserve">4. Step-by-step tasks</w:t>
      </w:r>
    </w:p>
    <w:p>
      <w:pPr>
        <w:pStyle w:val="Heading2"/>
      </w:pPr>
      <w:r>
        <w:t xml:space="preserve">4.1 Your start screen</w:t>
      </w:r>
    </w:p>
    <w:p>
      <w:pPr>
        <w:keepNext/>
        <w:spacing w:after="40" w:before="80"/>
        <w:jc w:val="center"/>
      </w:pPr>
      <w:r>
        <w:drawing>
          <wp:inline distT="0" distB="0" distL="0" distR="0">
            <wp:extent cx="5715000" cy="3571875"/>
            <wp:effectExtent t="0" r="0" b="0" l="0"/>
            <wp:docPr id="1" name="an_dashboard.jpg" descr="Executive Dashboard as seen by the Analyst." title="Executive Dashboard as seen by the Analy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Executive Dashboard as seen by the Analyst.</w:t>
      </w:r>
    </w:p>
    <w:p>
      <w:pPr>
        <w:pStyle w:val="Heading2"/>
      </w:pPr>
      <w:r>
        <w:t xml:space="preserve">4.2 Reading the dashboards</w:t>
      </w:r>
    </w:p>
    <w:p>
      <w:pPr>
        <w:spacing w:after="120" w:line="288"/>
      </w:pPr>
      <w:r>
        <w:t xml:space="preserve">Dashboards are for monitoring; nothing on them changes data. Figures refresh whenever the screen is opened.</w:t>
      </w:r>
    </w:p>
    <w:p>
      <w:pPr>
        <w:keepNext/>
        <w:spacing w:after="40" w:before="80"/>
        <w:jc w:val="center"/>
      </w:pPr>
      <w:r>
        <w:drawing>
          <wp:inline distT="0" distB="0" distL="0" distR="0">
            <wp:extent cx="5715000" cy="3571875"/>
            <wp:effectExtent t="0" r="0" b="0" l="0"/>
            <wp:docPr id="1"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Executive Dashboard: completions against the 400 / 60 / 50–75 targets, days to data lock, spend, and the lowest-filled strata.</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694"/>
        <w:gridCol w:w="4706"/>
        <w:gridCol w:w="3012"/>
      </w:tblGrid>
      <w:tr>
        <w:trPr>
          <w:tblHeader/>
        </w:trPr>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Dashboard</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tells you</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Use it to</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Executive</w:t>
            </w:r>
          </w:p>
        </w:tc>
        <w:tc>
          <w:tcPr>
            <w:tcW w:type="dxa" w:w="4706"/>
            <w:tcMar>
              <w:top w:type="dxa" w:w="70"/>
              <w:left w:type="dxa" w:w="110"/>
              <w:bottom w:type="dxa" w:w="70"/>
              <w:right w:type="dxa" w:w="110"/>
            </w:tcMar>
            <w:vAlign w:val="top"/>
          </w:tcPr>
          <w:p>
            <w:pPr>
              <w:spacing w:after="40"/>
            </w:pPr>
            <w:r>
              <w:rPr>
                <w:b w:val="false"/>
                <w:bCs w:val="false"/>
                <w:sz w:val="19"/>
                <w:szCs w:val="19"/>
              </w:rPr>
              <w:t xml:space="preserve">QUAN completed out of 400, KII completed out of 60, documents coded against 50–75, days to the 30 November 2026 data lock, spend to date, lowest-filled strata.</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See overall progress and where fieldwork attention is most needed.</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Sampling</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Main cases by province, verified/total by stratum, Reserve activations by reason.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the design stays balanced across strata.</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Contact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Organisations verified, eligible respondents identified, invitations sent and opened, upcoming appointments, refusals, unreachable cases.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outreach and spot stalled contact.</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Submissions today and in total, the open QA queue, decisions recorded, completions by 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Keep the QA backlog under control.</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KII/Doc Dashboard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KII completed against 60; KIIs by status; documents by type and QA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the qualitative and documentary strands.</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Targets versus records</w:t>
            </w:r>
          </w:p>
          <w:p>
            <w:pPr>
              <w:spacing w:after="40" w:line="264"/>
            </w:pPr>
            <w:r>
              <w:rPr>
                <w:sz w:val="19"/>
                <w:szCs w:val="19"/>
              </w:rPr>
              <w:t xml:space="preserve">The registers hold more records than the targets (for example 90 KII records for 60 completed interviews). The surplus is reserve depth for non-response, not extra work.</w:t>
            </w:r>
          </w:p>
        </w:tc>
      </w:tr>
    </w:tbl>
    <w:p>
      <w:pPr>
        <w:pStyle w:val="Heading2"/>
      </w:pPr>
      <w:r>
        <w:t xml:space="preserve">4.3 Using Reports (analytics and charts)</w:t>
      </w:r>
    </w:p>
    <w:p>
      <w:pPr>
        <w:pStyle w:val="ListParagraph"/>
        <w:numPr>
          <w:ilvl w:val="0"/>
          <w:numId w:val="5"/>
        </w:numPr>
        <w:spacing w:after="80" w:line="276"/>
      </w:pPr>
      <w:r>
        <w:t xml:space="preserve">Select </w:t>
      </w:r>
      <w:r>
        <w:rPr>
          <w:b/>
          <w:bCs/>
        </w:rPr>
        <w:t xml:space="preserve">Reports</w:t>
      </w:r>
      <w:r>
        <w:t xml:space="preserve"> in the top bar.</w:t>
      </w:r>
    </w:p>
    <w:p>
      <w:pPr>
        <w:keepNext/>
        <w:spacing w:after="40" w:before="80"/>
        <w:jc w:val="center"/>
      </w:pPr>
      <w:r>
        <w:drawing>
          <wp:inline distT="0" distB="0" distL="0" distR="0">
            <wp:extent cx="5334000" cy="3333750"/>
            <wp:effectExtent t="0" r="0" b="0" l="0"/>
            <wp:docPr id="1"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Reports: headline figures for the chosen period.</w:t>
      </w:r>
    </w:p>
    <w:p>
      <w:pPr>
        <w:pStyle w:val="ListParagraph"/>
        <w:numPr>
          <w:ilvl w:val="0"/>
          <w:numId w:val="5"/>
        </w:numPr>
        <w:spacing w:after="80" w:line="276"/>
      </w:pPr>
      <w:r>
        <w:t xml:space="preserve">Choose the period with </w:t>
      </w:r>
      <w:r>
        <w:rPr>
          <w:b/>
          <w:bCs/>
        </w:rPr>
        <w:t xml:space="preserve">Last 7 days</w:t>
      </w:r>
      <w:r>
        <w:t xml:space="preserve">, </w:t>
      </w:r>
      <w:r>
        <w:rPr>
          <w:b/>
          <w:bCs/>
        </w:rPr>
        <w:t xml:space="preserve">Last 30 days</w:t>
      </w:r>
      <w:r>
        <w:t xml:space="preserve">, </w:t>
      </w:r>
      <w:r>
        <w:rPr>
          <w:b/>
          <w:bCs/>
        </w:rPr>
        <w:t xml:space="preserve">Last 90 days</w:t>
      </w:r>
      <w:r>
        <w:t xml:space="preserve"> or </w:t>
      </w:r>
      <w:r>
        <w:rPr>
          <w:b/>
          <w:bCs/>
        </w:rPr>
        <w:t xml:space="preserve">All time</w:t>
      </w:r>
      <w:r>
        <w:t xml:space="preserve">. Case progress (the funnel and workflow) is always cumulative; time-based figures such as submissions per day follow the period.</w:t>
      </w:r>
    </w:p>
    <w:p>
      <w:pPr>
        <w:pStyle w:val="ListParagraph"/>
        <w:numPr>
          <w:ilvl w:val="0"/>
          <w:numId w:val="5"/>
        </w:numPr>
        <w:spacing w:after="80" w:line="276"/>
      </w:pPr>
      <w:r>
        <w:t xml:space="preserve">Read the headline cards: questionnaires submitted, passed QA, response rate (submitted ÷ invited), median completion time, follow-ups sent, withdrawals, Reserves activated, and fieldwork cost per QA-passed case.</w:t>
      </w:r>
    </w:p>
    <w:p>
      <w:pPr>
        <w:keepNext/>
        <w:spacing w:after="40" w:before="80"/>
        <w:jc w:val="center"/>
      </w:pPr>
      <w:r>
        <w:drawing>
          <wp:inline distT="0" distB="0" distL="0" distR="0">
            <wp:extent cx="5334000" cy="3409950"/>
            <wp:effectExtent t="0" r="0" b="0" l="0"/>
            <wp:docPr id="1"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409950"/>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Case funnel: each case counted once at every stage it has reached.</w:t>
      </w:r>
    </w:p>
    <w:p>
      <w:pPr>
        <w:pStyle w:val="ListParagraph"/>
        <w:numPr>
          <w:ilvl w:val="0"/>
          <w:numId w:val="5"/>
        </w:numPr>
        <w:spacing w:after="80" w:line="276"/>
      </w:pPr>
      <w:r>
        <w:t xml:space="preserve">Select </w:t>
      </w:r>
      <w:r>
        <w:rPr>
          <w:b/>
          <w:bCs/>
        </w:rPr>
        <w:t xml:space="preserve">Show table</w:t>
      </w:r>
      <w:r>
        <w:t xml:space="preserve"> on any chart to see the exact numbers, for example to copy them into a progress report.</w:t>
      </w:r>
    </w:p>
    <w:p>
      <w:pPr>
        <w:keepNext/>
        <w:spacing w:after="40" w:before="80"/>
        <w:jc w:val="center"/>
      </w:pPr>
      <w:r>
        <w:drawing>
          <wp:inline distT="0" distB="0" distL="0" distR="0">
            <wp:extent cx="5334000" cy="3248025"/>
            <wp:effectExtent t="0" r="0" b="0" l="0"/>
            <wp:docPr id="1"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248025"/>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The same chart as a table.</w:t>
      </w:r>
    </w:p>
    <w:p>
      <w:pPr>
        <w:pStyle w:val="ListParagraph"/>
        <w:numPr>
          <w:ilvl w:val="0"/>
          <w:numId w:val="5"/>
        </w:numPr>
        <w:spacing w:after="80" w:line="276"/>
      </w:pPr>
      <w:r>
        <w:t xml:space="preserve">Use </w:t>
      </w:r>
      <w:r>
        <w:rPr>
          <w:b/>
          <w:bCs/>
        </w:rPr>
        <w:t xml:space="preserve">Coverage</w:t>
      </w:r>
      <w:r>
        <w:t xml:space="preserve"> to see, by province, organisation type and size, what share of cases have been invited and have submitted. Short bars show where contact effort should go next.</w:t>
      </w:r>
    </w:p>
    <w:p>
      <w:pPr>
        <w:keepNext/>
        <w:spacing w:after="40" w:before="80"/>
        <w:jc w:val="center"/>
      </w:pPr>
      <w:r>
        <w:drawing>
          <wp:inline distT="0" distB="0" distL="0" distR="0">
            <wp:extent cx="5334000" cy="2628900"/>
            <wp:effectExtent t="0" r="0" b="0" l="0"/>
            <wp:docPr id="1"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628900"/>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Coverage by group.</w:t>
      </w:r>
    </w:p>
    <w:p>
      <w:pPr>
        <w:pStyle w:val="ListParagraph"/>
        <w:numPr>
          <w:ilvl w:val="0"/>
          <w:numId w:val="5"/>
        </w:numPr>
        <w:spacing w:after="80" w:line="276"/>
      </w:pPr>
      <w:r>
        <w:t xml:space="preserve">Check </w:t>
      </w:r>
      <w:r>
        <w:rPr>
          <w:b/>
          <w:bCs/>
        </w:rPr>
        <w:t xml:space="preserve">How questionnaires were completed</w:t>
      </w:r>
      <w:r>
        <w:t xml:space="preserve">. If one administration mode dominates (more than 70% once at least 10 questionnaires are in), the chart shows an imbalance alert so the team can review the mix.</w:t>
      </w:r>
    </w:p>
    <w:p>
      <w:pPr>
        <w:keepNext/>
        <w:spacing w:after="40" w:before="80"/>
        <w:jc w:val="center"/>
      </w:pPr>
      <w:r>
        <w:drawing>
          <wp:inline distT="0" distB="0" distL="0" distR="0">
            <wp:extent cx="5334000" cy="2600325"/>
            <wp:effectExtent t="0" r="0" b="0" l="0"/>
            <wp:docPr id="1"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600325"/>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Administration modes.</w:t>
      </w:r>
    </w:p>
    <w:p>
      <w:pPr>
        <w:pStyle w:val="ListParagraph"/>
        <w:numPr>
          <w:ilvl w:val="0"/>
          <w:numId w:val="5"/>
        </w:numPr>
        <w:spacing w:after="80" w:line="276"/>
      </w:pPr>
      <w:r>
        <w:t xml:space="preserve">Review </w:t>
      </w:r>
      <w:r>
        <w:rPr>
          <w:b/>
          <w:bCs/>
        </w:rPr>
        <w:t xml:space="preserve">Time to complete the questionnaire</w:t>
      </w:r>
      <w:r>
        <w:t xml:space="preserve"> and </w:t>
      </w:r>
      <w:r>
        <w:rPr>
          <w:b/>
          <w:bCs/>
        </w:rPr>
        <w:t xml:space="preserve">QA outcomes</w:t>
      </w:r>
      <w:r>
        <w:t xml:space="preserve">. Very short or very long completions are what the QA duration rules flag.</w:t>
      </w:r>
    </w:p>
    <w:p>
      <w:pPr>
        <w:keepNext/>
        <w:spacing w:after="40" w:before="80"/>
        <w:jc w:val="center"/>
      </w:pPr>
      <w:r>
        <w:drawing>
          <wp:inline distT="0" distB="0" distL="0" distR="0">
            <wp:extent cx="5334000" cy="2905125"/>
            <wp:effectExtent t="0" r="0" b="0" l="0"/>
            <wp:docPr id="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905125"/>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Completion-time distribution.</w:t>
      </w:r>
    </w:p>
    <w:p>
      <w:pPr>
        <w:spacing w:after="80"/>
      </w:pPr>
    </w:p>
    <w:p>
      <w:pPr>
        <w:spacing w:after="120" w:line="288"/>
      </w:pPr>
      <w:r>
        <w:t xml:space="preserve">Reports show counts and rates only — never names or answers — so they are safe to discuss with supervisors.</w:t>
      </w:r>
    </w:p>
    <w:p>
      <w:pPr>
        <w:pStyle w:val="Heading2"/>
      </w:pPr>
      <w:r>
        <w:t xml:space="preserve">4.4 Downloading data</w:t>
      </w:r>
    </w:p>
    <w:p>
      <w:pPr>
        <w:keepNext/>
        <w:spacing w:after="40" w:before="80"/>
        <w:jc w:val="center"/>
      </w:pPr>
      <w:r>
        <w:drawing>
          <wp:inline distT="0" distB="0" distL="0" distR="0">
            <wp:extent cx="5715000" cy="1876425"/>
            <wp:effectExtent t="0" r="0" b="0" l="0"/>
            <wp:docPr id="1" name="an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Data Export.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541"/>
        <w:gridCol w:w="4988"/>
        <w:gridCol w:w="1883"/>
      </w:tblGrid>
      <w:tr>
        <w:trPr>
          <w:tblHeader/>
        </w:trPr>
        <w:tc>
          <w:tcPr>
            <w:tcW w:type="dxa" w:w="2541"/>
            <w:shd w:fill="1B3350" w:color="auto" w:val="clear"/>
            <w:tcMar>
              <w:top w:type="dxa" w:w="70"/>
              <w:left w:type="dxa" w:w="110"/>
              <w:bottom w:type="dxa" w:w="70"/>
              <w:right w:type="dxa" w:w="110"/>
            </w:tcMar>
            <w:vAlign w:val="top"/>
          </w:tcPr>
          <w:p>
            <w:pPr>
              <w:spacing w:after="40"/>
            </w:pPr>
            <w:r>
              <w:rPr>
                <w:b/>
                <w:bCs/>
                <w:color w:val="FFFFFF"/>
                <w:sz w:val="19"/>
                <w:szCs w:val="19"/>
              </w:rPr>
              <w:t xml:space="preserve">Download</w:t>
            </w:r>
          </w:p>
        </w:tc>
        <w:tc>
          <w:tcPr>
            <w:tcW w:type="dxa" w:w="4988"/>
            <w:shd w:fill="1B3350" w:color="auto" w:val="clear"/>
            <w:tcMar>
              <w:top w:type="dxa" w:w="70"/>
              <w:left w:type="dxa" w:w="110"/>
              <w:bottom w:type="dxa" w:w="70"/>
              <w:right w:type="dxa" w:w="110"/>
            </w:tcMar>
            <w:vAlign w:val="top"/>
          </w:tcPr>
          <w:p>
            <w:pPr>
              <w:spacing w:after="40"/>
            </w:pPr>
            <w:r>
              <w:rPr>
                <w:b/>
                <w:bCs/>
                <w:color w:val="FFFFFF"/>
                <w:sz w:val="19"/>
                <w:szCs w:val="19"/>
              </w:rPr>
              <w:t xml:space="preserve">Contains</w:t>
            </w:r>
          </w:p>
        </w:tc>
        <w:tc>
          <w:tcPr>
            <w:tcW w:type="dxa" w:w="1883"/>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De-identified analysis export (CSV)</w:t>
            </w:r>
          </w:p>
        </w:tc>
        <w:tc>
          <w:tcPr>
            <w:tcW w:type="dxa" w:w="4988"/>
            <w:tcMar>
              <w:top w:type="dxa" w:w="70"/>
              <w:left w:type="dxa" w:w="110"/>
              <w:bottom w:type="dxa" w:w="70"/>
              <w:right w:type="dxa" w:w="110"/>
            </w:tcMar>
            <w:vAlign w:val="top"/>
          </w:tcPr>
          <w:p>
            <w:pPr>
              <w:spacing w:after="40"/>
            </w:pPr>
            <w:r>
              <w:rPr>
                <w:b w:val="false"/>
                <w:bCs w:val="false"/>
                <w:sz w:val="19"/>
                <w:szCs w:val="19"/>
              </w:rPr>
              <w:t xml:space="preserve">One row per questionnaire: sample_id, master_id, province, actor_family, value_chain, size_class, administration_mode, qa_status, submitted_at, completion_seconds. No names or contact details. Participants who withdrew are left out.</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Field Coordinator, Analyst</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Full operational export (CSV)</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questionnaire, including withdrawn ones (consent_withdrawn), plus organisation name, respondent name, phone, email and gatekeeper details. Internal operations only.</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Respondents and outreach (Excel)</w:t>
            </w:r>
          </w:p>
        </w:tc>
        <w:tc>
          <w:tcPr>
            <w:tcW w:type="dxa" w:w="4988"/>
            <w:tcMar>
              <w:top w:type="dxa" w:w="70"/>
              <w:left w:type="dxa" w:w="110"/>
              <w:bottom w:type="dxa" w:w="70"/>
              <w:right w:type="dxa" w:w="110"/>
            </w:tcMar>
            <w:vAlign w:val="top"/>
          </w:tcPr>
          <w:p>
            <w:pPr>
              <w:spacing w:after="40"/>
            </w:pPr>
            <w:r>
              <w:rPr>
                <w:b w:val="false"/>
                <w:bCs w:val="false"/>
                <w:sz w:val="19"/>
                <w:szCs w:val="19"/>
              </w:rPr>
              <w:t xml:space="preserve">Everyone the study can contact or has contacted, not only those who submitted. Sheet 1: every Main-400 respondent (one row per person, and a row for a case with nobody recorded yet) with phone, WhatsApp, email, gatekeeper, the latest invitation (channel, date, who sent it, status, whether the portal emailed it), reminders marked as sent and the last contact attempt. Sheet 2: every KII informant with contact details and latest invitation. Sheet 3: a log of every invitation ever sent. A WhatsApp invitation is recorded when it is created; WhatsApp does not tell the portal whether it was delivered or read.</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data: Excel workbook</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submission's answers for one form: data_codes (codes for SPSS/Stata/R), data_labels, a sheet per repeat group, the questions dictionary, the choices lists, and for the questionnaire the matched case, QA status, withdrawal flag and workflow status.</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KoboToolbox data: All completed forms (PDF ZIP)</w:t>
            </w:r>
          </w:p>
        </w:tc>
        <w:tc>
          <w:tcPr>
            <w:tcW w:type="dxa" w:w="4988"/>
            <w:tcMar>
              <w:top w:type="dxa" w:w="70"/>
              <w:left w:type="dxa" w:w="110"/>
              <w:bottom w:type="dxa" w:w="70"/>
              <w:right w:type="dxa" w:w="110"/>
            </w:tcMar>
            <w:vAlign w:val="top"/>
          </w:tcPr>
          <w:p>
            <w:pPr>
              <w:spacing w:after="40"/>
            </w:pPr>
            <w:r>
              <w:rPr>
                <w:b w:val="false"/>
                <w:bCs w:val="false"/>
                <w:sz w:val="19"/>
                <w:szCs w:val="19"/>
              </w:rPr>
              <w:t xml:space="preserve">Every completed form as a PDF, with manifest.csv listing file, record, KoboToolbox id and submission time.</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packs: SmartPLS 4 and ATLAS.ti</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withdrew consent is left out.</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bl>
    <w:p>
      <w:pPr>
        <w:spacing w:after="120"/>
      </w:pPr>
    </w:p>
    <w:p>
      <w:pPr>
        <w:pStyle w:val="Heading2"/>
      </w:pPr>
      <w:r>
        <w:t xml:space="preserve">4.5 Working with the analysis export</w:t>
      </w:r>
    </w:p>
    <w:p>
      <w:pPr>
        <w:pStyle w:val="ListParagraph"/>
        <w:numPr>
          <w:ilvl w:val="0"/>
          <w:numId w:val="2"/>
        </w:numPr>
        <w:spacing w:after="60" w:line="276"/>
      </w:pPr>
      <w:r>
        <w:t xml:space="preserve">One row per questionnaire submission. </w:t>
      </w:r>
      <w:r>
        <w:rPr>
          <w:rFonts w:ascii="Consolas" w:cs="Consolas" w:eastAsia="Consolas" w:hAnsi="Consolas"/>
          <w:b w:val="false"/>
          <w:bCs w:val="false"/>
          <w:color w:val="122238"/>
          <w:sz w:val="19"/>
          <w:szCs w:val="19"/>
        </w:rPr>
        <w:t xml:space="preserve">sample_id</w:t>
      </w:r>
      <w:r>
        <w:t xml:space="preserve"> links to the case; </w:t>
      </w:r>
      <w:r>
        <w:rPr>
          <w:rFonts w:ascii="Consolas" w:cs="Consolas" w:eastAsia="Consolas" w:hAnsi="Consolas"/>
          <w:b w:val="false"/>
          <w:bCs w:val="false"/>
          <w:color w:val="122238"/>
          <w:sz w:val="19"/>
          <w:szCs w:val="19"/>
        </w:rPr>
        <w:t xml:space="preserve">master_id</w:t>
      </w:r>
      <w:r>
        <w:t xml:space="preserve"> to the organisation.</w:t>
      </w:r>
    </w:p>
    <w:p>
      <w:pPr>
        <w:pStyle w:val="ListParagraph"/>
        <w:numPr>
          <w:ilvl w:val="0"/>
          <w:numId w:val="2"/>
        </w:numPr>
        <w:spacing w:after="60" w:line="276"/>
      </w:pPr>
      <w:r>
        <w:rPr>
          <w:rFonts w:ascii="Consolas" w:cs="Consolas" w:eastAsia="Consolas" w:hAnsi="Consolas"/>
          <w:b w:val="false"/>
          <w:bCs w:val="false"/>
          <w:color w:val="122238"/>
          <w:sz w:val="19"/>
          <w:szCs w:val="19"/>
        </w:rPr>
        <w:t xml:space="preserve">qa_status</w:t>
      </w:r>
      <w:r>
        <w:t xml:space="preserve">: use only </w:t>
      </w:r>
      <w:r>
        <w:rPr>
          <w:b/>
          <w:bCs/>
        </w:rPr>
        <w:t xml:space="preserve">QA_PASSED</w:t>
      </w:r>
      <w:r>
        <w:t xml:space="preserve"> rows for the main analysis unless the PI says otherwise.</w:t>
      </w:r>
    </w:p>
    <w:p>
      <w:pPr>
        <w:pStyle w:val="ListParagraph"/>
        <w:numPr>
          <w:ilvl w:val="0"/>
          <w:numId w:val="2"/>
        </w:numPr>
        <w:spacing w:after="60" w:line="276"/>
      </w:pPr>
      <w:r>
        <w:t xml:space="preserve">Participants who withdrew after submitting are already left out of this export (PI decision, 15 September 2026).</w:t>
      </w:r>
    </w:p>
    <w:p>
      <w:pPr>
        <w:pStyle w:val="ListParagraph"/>
        <w:numPr>
          <w:ilvl w:val="0"/>
          <w:numId w:val="2"/>
        </w:numPr>
        <w:spacing w:after="60" w:line="276"/>
      </w:pPr>
      <w:r>
        <w:rPr>
          <w:rFonts w:ascii="Consolas" w:cs="Consolas" w:eastAsia="Consolas" w:hAnsi="Consolas"/>
          <w:b w:val="false"/>
          <w:bCs w:val="false"/>
          <w:color w:val="122238"/>
          <w:sz w:val="19"/>
          <w:szCs w:val="19"/>
        </w:rPr>
        <w:t xml:space="preserve">completion_seconds</w:t>
      </w:r>
      <w:r>
        <w:t xml:space="preserve"> is the time taken; </w:t>
      </w:r>
      <w:r>
        <w:rPr>
          <w:rFonts w:ascii="Consolas" w:cs="Consolas" w:eastAsia="Consolas" w:hAnsi="Consolas"/>
          <w:b w:val="false"/>
          <w:bCs w:val="false"/>
          <w:color w:val="122238"/>
          <w:sz w:val="19"/>
          <w:szCs w:val="19"/>
        </w:rPr>
        <w:t xml:space="preserve">administration_mode</w:t>
      </w:r>
      <w:r>
        <w:t xml:space="preserve"> is 01–06 (see the table in the Quick reference).</w:t>
      </w:r>
    </w:p>
    <w:p>
      <w:pPr>
        <w:pStyle w:val="ListParagraph"/>
        <w:numPr>
          <w:ilvl w:val="0"/>
          <w:numId w:val="2"/>
        </w:numPr>
        <w:spacing w:after="60" w:line="276"/>
      </w:pPr>
      <w:r>
        <w:t xml:space="preserve">Store exports only on encrypted, access-controlled storage and delete working copies when no longer needed.</w:t>
      </w:r>
    </w:p>
    <w:p>
      <w:pPr>
        <w:spacing w:after="60"/>
      </w:pPr>
    </w:p>
    <w:p>
      <w:pPr>
        <w:pStyle w:val="Heading1"/>
        <w:pageBreakBefore/>
      </w:pPr>
      <w:r>
        <w:t xml:space="preserve">5. Rules you must follow</w:t>
      </w:r>
    </w:p>
    <w:p>
      <w:pPr>
        <w:pStyle w:val="ListParagraph"/>
        <w:numPr>
          <w:ilvl w:val="0"/>
          <w:numId w:val="2"/>
        </w:numPr>
        <w:spacing w:after="60" w:line="276"/>
      </w:pPr>
      <w:r>
        <w:t xml:space="preserve">Never try to re-identify organisations or people from exported data.</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Export button missing</w:t>
            </w:r>
          </w:p>
        </w:tc>
        <w:tc>
          <w:tcPr>
            <w:tcW w:type="dxa" w:w="3200"/>
            <w:tcMar>
              <w:top w:type="dxa" w:w="70"/>
              <w:left w:type="dxa" w:w="110"/>
              <w:bottom w:type="dxa" w:w="70"/>
              <w:right w:type="dxa" w:w="110"/>
            </w:tcMar>
            <w:vAlign w:val="top"/>
          </w:tcPr>
          <w:p>
            <w:pPr>
              <w:spacing w:after="40"/>
            </w:pPr>
            <w:r>
              <w:rPr>
                <w:b w:val="false"/>
                <w:bCs w:val="false"/>
                <w:sz w:val="19"/>
                <w:szCs w:val="19"/>
              </w:rPr>
              <w:t xml:space="preserve">Only the de-identified export is available to Analysts.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PI for any further extract.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Administration modes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01 Web self-administration; 02 WhatsApp link, self-completion; 03 Telephone, interviewer-administered; 04 WhatsApp call, interviewer-assisted; 05 Video call, interviewer-assisted; 06 Face to face</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Data Analyst,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Your role is read-only</w:t>
            </w:r>
          </w:p>
          <w:p>
            <w:pPr>
              <w:spacing w:after="40" w:line="264"/>
            </w:pPr>
            <w:r>
              <w:rPr>
                <w:sz w:val="19"/>
                <w:szCs w:val="19"/>
              </w:rPr>
              <w:t xml:space="preserve">Buttons that change anything are not shown to you: the screen shows “Your role has read-only access” instead. Only the controls you can see are listed here.</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Executive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w:t>
      </w:r>
    </w:p>
    <w:p>
      <w:pPr>
        <w:spacing w:after="120" w:line="288"/>
      </w:pPr>
      <w:r>
        <w:t xml:space="preserve">The one-page picture of the study: how many cases are where in the funnel, response and quality headlines, and the weakest parts of the sample. Counts and rates only; never a name.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Tiles: QUAN completed, KII completed, Documents coded, Days to data lock, Fieldwork expenditure to date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the headline counts against their targets, the days left to the data lock (30 November 2026) and the spend so far. Read them; there is nothing to press.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Aggregates only, so the dashboards are safe to show to people who must not see respondent identities.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Numbers update whenever the screen is opened or refreshed.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Highest-risk coverage gaps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strata (province × organisation type × size) with the lowest fill so far.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coordinator where fieldwork effort is most needed to meet the sample design.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Use it to decide where to send Contact RAs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Links: Sampling, Contact, QA, KII / Documents, Cost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 the related dashboards.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hunting through the menu.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linked screen opens.</w:t>
            </w:r>
          </w:p>
        </w:tc>
      </w:tr>
    </w:tbl>
    <w:p>
      <w:pPr>
        <w:spacing w:after="120"/>
      </w:pPr>
    </w:p>
    <w:p>
      <w:pPr>
        <w:pStyle w:val="Heading2"/>
      </w:pPr>
      <w:r>
        <w:t xml:space="preserve">8.5 Sampling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/admin/dashboard/sampling</w:t>
      </w:r>
    </w:p>
    <w:p>
      <w:pPr>
        <w:spacing w:after="120" w:line="288"/>
      </w:pPr>
      <w:r>
        <w:t xml:space="preserve">How the Main-400 and Reserve-400 samples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Main-400 by province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Main cases each province holds and how many are verified.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design fixes how many organisations each province must contribute.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Verified / total by stratum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verification progress in each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stratum that cannot be verified may need a Reserve replacement.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Reserve activations by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Reserve cases activated, by the authorised reason.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replacement is controlled and audited; this shows how often and why it happens.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 reserve activations yet” until one is made.</w:t>
            </w:r>
          </w:p>
        </w:tc>
      </w:tr>
    </w:tbl>
    <w:p>
      <w:pPr>
        <w:spacing w:after="120"/>
      </w:pPr>
    </w:p>
    <w:p>
      <w:pPr>
        <w:pStyle w:val="Heading2"/>
      </w:pPr>
      <w:r>
        <w:t xml:space="preserve">8.6 Contact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/admin/dashboard/contact</w:t>
      </w:r>
    </w:p>
    <w:p>
      <w:pPr>
        <w:spacing w:after="120" w:line="288"/>
      </w:pPr>
      <w:r>
        <w:t xml:space="preserve">Contact activity: how many are invited, reminded, reached, and how appointments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Contact figures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counts of contacts, reminders and appointments by status.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the coordinator see whether contact is on schedule without opening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8.7 KII / Document Dashboard</w:t>
      </w:r>
    </w:p>
    <w:p>
      <w:pPr>
        <w:spacing w:after="120" w:line="288"/>
      </w:pPr>
      <w:r>
        <w:rPr>
          <w:b/>
          <w:bCs/>
        </w:rPr>
        <w:t xml:space="preserve">Who can open it:</w:t>
      </w:r>
      <w:r>
        <w:t xml:space="preserve"> PI / System Admin, Field / Digital Coordinator, Data Analyst, Supervisor, KII RA, Documentary RA.  </w:t>
      </w:r>
      <w:r>
        <w:rPr>
          <w:b/>
          <w:bCs/>
        </w:rPr>
        <w:t xml:space="preserve">Where:</w:t>
      </w:r>
      <w:r>
        <w:t xml:space="preserve"> </w:t>
      </w:r>
      <w:r>
        <w:rPr>
          <w:rFonts w:ascii="Consolas" w:cs="Consolas" w:eastAsia="Consolas" w:hAnsi="Consolas"/>
          <w:b w:val="false"/>
          <w:bCs w:val="false"/>
          <w:color w:val="122238"/>
          <w:sz w:val="19"/>
          <w:szCs w:val="19"/>
        </w:rPr>
        <w:t xml:space="preserve">/admin/dashboard/kii-documents</w:t>
      </w:r>
    </w:p>
    <w:p>
      <w:pPr>
        <w:spacing w:after="120" w:line="288"/>
      </w:pPr>
      <w:r>
        <w:t xml:space="preserve">Progress of the two qualitative strands against their targets (about 60 KIIs, 50–75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KII records at each stage (prospect, invited, scheduled, completed, declined, no-show).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how far the interview target has come.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by type / by QA status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Counts documents by type (official, secondary, platform) and by decision (pending, included, excluded).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included documents count towards the corpus target.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8.8 Reports</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/admin/reports</w:t>
      </w:r>
    </w:p>
    <w:p>
      <w:pPr>
        <w:spacing w:after="120" w:line="288"/>
      </w:pPr>
      <w:r>
        <w:t xml:space="preserve">Charts for supervision meetings and progress reports: funnel, submissions per day, coverage, time to complete, QA outcomes, modes and workflow. Counts and rates only.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Last 7 days / Last 30 days / Last 90 days / All time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Sets the period the time-based charts cover.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Meetings usually ask “what happened this week or month”. Case progress is always cumulative.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Every time-based chart redraws for that period.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Province / Organisation type / Size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Changes what the coverage chart is broken down by.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Coverage matters along all three design dimensions.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coverage chart redraws.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table / Show chart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one chart between its picture and the numbers behind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chart is available as a table so numbers can be read out, copied or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chart is replaced by a table (and back).</w:t>
            </w:r>
          </w:p>
        </w:tc>
      </w:tr>
    </w:tbl>
    <w:p>
      <w:pPr>
        <w:spacing w:after="120"/>
      </w:pPr>
    </w:p>
    <w:p>
      <w:pPr>
        <w:pStyle w:val="Heading2"/>
      </w:pPr>
      <w:r>
        <w:t xml:space="preserve">8.9 Cost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/admin/cost</w:t>
      </w:r>
    </w:p>
    <w:p>
      <w:pPr>
        <w:spacing w:after="120" w:line="288"/>
      </w:pPr>
      <w:r>
        <w:t xml:space="preserve">What the fieldwork has cost, by category, so cost per completed case can be reported.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Spend by category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spend for RA allowance, airtime/data, transport, accommodation, hosting, messaging and other.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Funders and the dissertation need the real cost of each completed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8.10 Export</w:t>
      </w:r>
    </w:p>
    <w:p>
      <w:pPr>
        <w:spacing w:after="120" w:line="288"/>
      </w:pPr>
      <w:r>
        <w:rPr>
          <w:b/>
          <w:bCs/>
        </w:rPr>
        <w:t xml:space="preserve">Who can open it:</w:t>
      </w:r>
      <w:r>
        <w:t xml:space="preserve"> PI / System Admin, Field / Digital Coordinator, Data Analyst.  </w:t>
      </w:r>
      <w:r>
        <w:rPr>
          <w:b/>
          <w:bCs/>
        </w:rPr>
        <w:t xml:space="preserve">Where:</w:t>
      </w:r>
      <w:r>
        <w:t xml:space="preserve"> </w:t>
      </w:r>
      <w:r>
        <w:rPr>
          <w:rFonts w:ascii="Consolas" w:cs="Consolas" w:eastAsia="Consolas" w:hAnsi="Consolas"/>
          <w:b w:val="false"/>
          <w:bCs w:val="false"/>
          <w:color w:val="122238"/>
          <w:sz w:val="19"/>
          <w:szCs w:val="19"/>
        </w:rPr>
        <w:t xml:space="preserve">/admin/export</w:t>
      </w:r>
    </w:p>
    <w:p>
      <w:pPr>
        <w:spacing w:after="120" w:line="288"/>
      </w:pPr>
      <w:r>
        <w:t xml:space="preserve">Downloads of data for analysis and for the data lock. Every download is audited, and the disclaimer at the foot applies to everything exported.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analysis export (CSV)</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case-level data with no contact-identifying fields (no names, phone numbers or emails). Withdrawn participants' answers are left out.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version that is safe for analysis and for sharing with the wider research team.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CSV downloads.</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1.39 · 14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7 · Data Analyst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2b91b581b09337bb23f679b76001661051c6cc9e.jpg"/><Relationship Id="rId15" Type="http://schemas.openxmlformats.org/officeDocument/2006/relationships/image" Target="media/e67a3b41ad31830d0a6d35510b8466d1c6a8ade6.jpg"/><Relationship Id="rId16" Type="http://schemas.openxmlformats.org/officeDocument/2006/relationships/image" Target="media/0df8b87650df43f0163d04ca0d1666befd254073.jpg"/><Relationship Id="rId17" Type="http://schemas.openxmlformats.org/officeDocument/2006/relationships/image" Target="media/fc1bb911a479d206fae15d1be7de3779d6382f25.jpg"/><Relationship Id="rId18" Type="http://schemas.openxmlformats.org/officeDocument/2006/relationships/image" Target="media/51e08ceb12e27bba247b8e91a517c26439f11061.jpg"/><Relationship Id="rId19" Type="http://schemas.openxmlformats.org/officeDocument/2006/relationships/image" Target="media/4edb0e7f342465c561eec1cbce99a1e92cd50760.jpg"/><Relationship Id="rId20" Type="http://schemas.openxmlformats.org/officeDocument/2006/relationships/image" Target="media/aeb03538f4861c1892a516c49524165a7d2e0dd1.jpg"/><Relationship Id="rId21" Type="http://schemas.openxmlformats.org/officeDocument/2006/relationships/image" Target="media/78a5edc81e1f24d57d716107ff9f9a4db861f9d3.jpg"/><Relationship Id="rId22" Type="http://schemas.openxmlformats.org/officeDocument/2006/relationships/image" Target="media/79d0f9c645d463e4bcfb1ce3c6acee31dfac8aaf.jp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7: Data Analyst</dc:title>
  <dc:creator>ABF-FST research team</dc:creator>
  <dc:description>Step-by-step instructions for the Data Analyst role in the ABF-FST Digital Respondent Portal.</dc:description>
  <cp:lastModifiedBy>Un-named</cp:lastModifiedBy>
  <cp:revision>1</cp:revision>
  <dcterms:created xsi:type="dcterms:W3CDTF">2026-10-13T21:53:36.027Z</dcterms:created>
  <dcterms:modified xsi:type="dcterms:W3CDTF">2026-10-13T21:53:36.027Z</dcterms:modified>
</cp:coreProperties>
</file>

<file path=docProps/custom.xml><?xml version="1.0" encoding="utf-8"?>
<Properties xmlns="http://schemas.openxmlformats.org/officeDocument/2006/custom-properties" xmlns:vt="http://schemas.openxmlformats.org/officeDocument/2006/docPropsVTypes"/>
</file>