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20"/>
      </w:pPr>
      <w:r>
        <w:rPr>
          <w:b/>
          <w:bCs/>
          <w:color w:val="A67C27"/>
          <w:spacing w:val="20"/>
          <w:sz w:val="20"/>
          <w:szCs w:val="20"/>
        </w:rPr>
        <w:t xml:space="preserve">CHINHOYI UNIVERSITY OF TECHNOLOGY · ABF-FST RESEARCH STUDY</w:t>
      </w:r>
    </w:p>
    <w:p>
      <w:pPr>
        <w:pBdr>
          <w:bottom w:val="single" w:color="A67C27" w:sz="18" w:space="12"/>
        </w:pBdr>
        <w:spacing w:after="160"/>
      </w:pPr>
      <w:r>
        <w:rPr>
          <w:b/>
          <w:bCs/>
          <w:color w:val="122238"/>
          <w:sz w:val="56"/>
          <w:szCs w:val="56"/>
        </w:rPr>
        <w:t xml:space="preserve">ABF-FST Digital Respondent Portal — Screen and Button Reference</w:t>
      </w:r>
    </w:p>
    <w:p>
      <w:pPr>
        <w:spacing w:after="700" w:line="300"/>
      </w:pPr>
      <w:r>
        <w:rPr>
          <w:color w:val="5B6670"/>
          <w:sz w:val="28"/>
          <w:szCs w:val="28"/>
        </w:rPr>
        <w:t xml:space="preserve">Every screen and every button: what it does, when to use it, why it exists and what happens next.</w:t>
      </w:r>
    </w:p>
    <w:tbl>
      <w:tblPr>
        <w:tblW w:type="dxa" w:w="9412"/>
        <w:tblBorders>
          <w:top w:val="single" w:color="D5DAE0" w:sz="4"/>
          <w:left w:val="none" w:color="FFFFFF" w:sz="0"/>
          <w:bottom w:val="single" w:color="D5DAE0" w:sz="4"/>
          <w:right w:val="none" w:color="FFFFFF" w:sz="0"/>
          <w:insideH w:val="single" w:color="D5DAE0" w:sz="4"/>
          <w:insideV w:val="none" w:color="FFFFFF" w:sz="0"/>
        </w:tblBorders>
      </w:tblPr>
      <w:tblGrid>
        <w:gridCol w:w="2300"/>
        <w:gridCol w:w="7112"/>
      </w:tblGrid>
      <w:tr>
        <w:tc>
          <w:tcPr>
            <w:tcW w:type="dxa" w:w="2300"/>
            <w:tcMar>
              <w:top w:type="dxa" w:w="70"/>
              <w:left w:type="dxa" w:w="110"/>
              <w:bottom w:type="dxa" w:w="70"/>
              <w:right w:type="dxa" w:w="110"/>
            </w:tcMar>
            <w:vAlign w:val="top"/>
          </w:tcPr>
          <w:p>
            <w:pPr>
              <w:spacing w:after="40"/>
            </w:pPr>
            <w:r>
              <w:rPr>
                <w:b/>
                <w:bCs/>
                <w:color w:val="A67C27"/>
                <w:sz w:val="19"/>
                <w:szCs w:val="19"/>
              </w:rPr>
              <w:t xml:space="preserve">STUDY</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Developing and Validating the Agribusiness Bankability Framework for Food Systems Transformation through Novel Financing Models in Zimbabwe (ABF-FST)</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PRINCIPAL RESEARCHER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Happyson Saina, Doctor of Strategic Management candidate, Chinhoyi University of Technology</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SUPERVISORS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Dr L. Chikazhe and Dr J. Kanyepe</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FOR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Everyone who uses the portal: PI, coordinators, research assistants, analysts and supervisors</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SYSTEM ADDRESS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https://research.agribizframework.com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CONTACT</w:t>
            </w:r>
          </w:p>
        </w:tc>
        <w:tc>
          <w:tcPr>
            <w:tcW w:type="dxa" w:w="7112"/>
            <w:tcMar>
              <w:top w:type="dxa" w:w="70"/>
              <w:left w:type="dxa" w:w="110"/>
              <w:bottom w:type="dxa" w:w="70"/>
              <w:right w:type="dxa" w:w="110"/>
            </w:tcMar>
            <w:vAlign w:val="top"/>
          </w:tcPr>
          <w:p>
            <w:pPr>
              <w:spacing w:after="40"/>
            </w:pPr>
            <w:r>
              <w:rPr>
                <w:b w:val="false"/>
                <w:bCs w:val="false"/>
                <w:sz w:val="19"/>
                <w:szCs w:val="19"/>
              </w:rPr>
              <w:t xml:space="preserve">0773943709 · abffst.research@gmail.com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VERSION</w:t>
            </w:r>
          </w:p>
        </w:tc>
        <w:tc>
          <w:tcPr>
            <w:tcW w:type="dxa" w:w="7112"/>
            <w:tcMar>
              <w:top w:type="dxa" w:w="70"/>
              <w:left w:type="dxa" w:w="110"/>
              <w:bottom w:type="dxa" w:w="70"/>
              <w:right w:type="dxa" w:w="110"/>
            </w:tcMar>
            <w:vAlign w:val="top"/>
          </w:tcPr>
          <w:p>
            <w:pPr>
              <w:spacing w:after="40"/>
            </w:pPr>
            <w:r>
              <w:rPr>
                <w:b w:val="false"/>
                <w:bCs w:val="false"/>
                <w:sz w:val="19"/>
                <w:szCs w:val="19"/>
              </w:rPr>
              <w:t xml:space="preserve">Version 1.43 · 14 October 2026</w:t>
            </w:r>
          </w:p>
        </w:tc>
      </w:tr>
    </w:tbl>
    <w:p>
      <w:pPr>
        <w:spacing w:after="500"/>
      </w:pPr>
    </w:p>
    <w:p>
      <w:r>
        <w:rPr>
          <w:i/>
          <w:iCs/>
          <w:color w:val="5B6670"/>
          <w:sz w:val="18"/>
          <w:szCs w:val="18"/>
        </w:rPr>
        <w:t xml:space="preserve">Screenshots in this document use </w:t>
      </w:r>
      <w:r>
        <w:rPr>
          <w:b/>
          <w:bCs/>
          <w:i/>
          <w:iCs/>
          <w:color w:val="5B6670"/>
          <w:sz w:val="18"/>
          <w:szCs w:val="18"/>
        </w:rPr>
        <w:t xml:space="preserve">fictional demonstration data</w:t>
      </w:r>
      <w:r>
        <w:rPr>
          <w:i/>
          <w:iCs/>
          <w:color w:val="5B6670"/>
          <w:sz w:val="18"/>
          <w:szCs w:val="18"/>
        </w:rPr>
        <w:t xml:space="preserve">. Organisation and person names, phone numbers and figures shown in them are not real study records.</w:t>
      </w:r>
    </w:p>
    <w:p>
      <w:r>
        <w:br w:type="page"/>
      </w:r>
    </w:p>
    <w:p>
      <w:pPr>
        <w:spacing w:after="200"/>
      </w:pPr>
      <w:r>
        <w:rPr>
          <w:b/>
          <w:bCs/>
          <w:color w:val="122238"/>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About this reference</w:t>
      </w:r>
    </w:p>
    <w:p>
      <w:pPr>
        <w:spacing w:after="120" w:line="288"/>
      </w:pPr>
      <w:r>
        <w:t xml:space="preserve">The other manuals tell you how to do a task, step by step. This one is the opposite: it takes every screen of the ABF-FST Research Operations Centre and, for each button, field and choice on it, says what it does, when to use it, </w:t>
      </w:r>
      <w:r>
        <w:rPr>
          <w:b/>
          <w:bCs/>
        </w:rPr>
        <w:t xml:space="preserve">why it exists</w:t>
      </w:r>
      <w:r>
        <w:t xml:space="preserve"> and </w:t>
      </w:r>
      <w:r>
        <w:rPr>
          <w:b/>
          <w:bCs/>
        </w:rPr>
        <w:t xml:space="preserve">what you will see next</w:t>
      </w:r>
      <w:r>
        <w:t xml:space="preserve">.</w:t>
      </w:r>
    </w:p>
    <w:p>
      <w:pPr>
        <w:spacing w:after="120" w:line="288"/>
      </w:pPr>
      <w:r>
        <w:t xml:space="preserve">Use it when you wonder “what does this button do?”, “why is it greyed out?” or “what happens if I press it?”. It is written from the actual screens, so the labels are the ones you see.</w:t>
      </w:r>
    </w:p>
    <w:p>
      <w:pPr>
        <w:pStyle w:val="Heading3"/>
      </w:pPr>
      <w:r>
        <w:t xml:space="preserve">How each table works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6777"/>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Column</w:t>
            </w:r>
          </w:p>
        </w:tc>
        <w:tc>
          <w:tcPr>
            <w:tcW w:type="dxa" w:w="6777"/>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tells you</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Control</w:t>
            </w:r>
          </w:p>
        </w:tc>
        <w:tc>
          <w:tcPr>
            <w:tcW w:type="dxa" w:w="6777"/>
            <w:tcMar>
              <w:top w:type="dxa" w:w="70"/>
              <w:left w:type="dxa" w:w="110"/>
              <w:bottom w:type="dxa" w:w="70"/>
              <w:right w:type="dxa" w:w="110"/>
            </w:tcMar>
            <w:vAlign w:val="top"/>
          </w:tcPr>
          <w:p>
            <w:pPr>
              <w:spacing w:after="40"/>
            </w:pPr>
            <w:r>
              <w:rPr>
                <w:b w:val="false"/>
                <w:bCs w:val="false"/>
                <w:sz w:val="19"/>
                <w:szCs w:val="19"/>
              </w:rPr>
              <w:t xml:space="preserve">The label of the button, field or choice, exactly as on screen. If only some roles see it, the roles are named.</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What it does and when to use it</w:t>
            </w:r>
          </w:p>
        </w:tc>
        <w:tc>
          <w:tcPr>
            <w:tcW w:type="dxa" w:w="6777"/>
            <w:shd w:fill="F8FAFB" w:color="auto" w:val="clear"/>
            <w:tcMar>
              <w:top w:type="dxa" w:w="70"/>
              <w:left w:type="dxa" w:w="110"/>
              <w:bottom w:type="dxa" w:w="70"/>
              <w:right w:type="dxa" w:w="110"/>
            </w:tcMar>
            <w:vAlign w:val="top"/>
          </w:tcPr>
          <w:p>
            <w:pPr>
              <w:spacing w:after="40"/>
            </w:pPr>
            <w:r>
              <w:rPr>
                <w:b w:val="false"/>
                <w:bCs w:val="false"/>
                <w:sz w:val="19"/>
                <w:szCs w:val="19"/>
              </w:rPr>
              <w:t xml:space="preserve">The action, and the situation it is for.</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Why it exists</w:t>
            </w:r>
          </w:p>
        </w:tc>
        <w:tc>
          <w:tcPr>
            <w:tcW w:type="dxa" w:w="6777"/>
            <w:tcMar>
              <w:top w:type="dxa" w:w="70"/>
              <w:left w:type="dxa" w:w="110"/>
              <w:bottom w:type="dxa" w:w="70"/>
              <w:right w:type="dxa" w:w="110"/>
            </w:tcMar>
            <w:vAlign w:val="top"/>
          </w:tcPr>
          <w:p>
            <w:pPr>
              <w:spacing w:after="40"/>
            </w:pPr>
            <w:r>
              <w:rPr>
                <w:b w:val="false"/>
                <w:bCs w:val="false"/>
                <w:sz w:val="19"/>
                <w:szCs w:val="19"/>
              </w:rPr>
              <w:t xml:space="preserve">The rule, risk or research requirement behind it. When a button is greyed out, this is usually where the reason is.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What happens next</w:t>
            </w:r>
          </w:p>
        </w:tc>
        <w:tc>
          <w:tcPr>
            <w:tcW w:type="dxa" w:w="6777"/>
            <w:shd w:fill="F8FAFB" w:color="auto" w:val="clear"/>
            <w:tcMar>
              <w:top w:type="dxa" w:w="70"/>
              <w:left w:type="dxa" w:w="110"/>
              <w:bottom w:type="dxa" w:w="70"/>
              <w:right w:type="dxa" w:w="110"/>
            </w:tcMar>
            <w:vAlign w:val="top"/>
          </w:tcPr>
          <w:p>
            <w:pPr>
              <w:spacing w:after="40"/>
            </w:pPr>
            <w:r>
              <w:rPr>
                <w:b w:val="false"/>
                <w:bCs w:val="false"/>
                <w:sz w:val="19"/>
                <w:szCs w:val="19"/>
              </w:rPr>
              <w:t xml:space="preserve">What you will see or what will have changed afterwards, including any confirmation and whether it is audited.</w:t>
            </w:r>
          </w:p>
        </w:tc>
      </w:tr>
    </w:tbl>
    <w:p>
      <w:pPr>
        <w:spacing w:after="120"/>
      </w:pPr>
    </w:p>
    <w:p>
      <w:pPr>
        <w:pStyle w:val="Heading3"/>
      </w:pPr>
      <w:r>
        <w:t xml:space="preserve">The other manuals</w:t>
      </w:r>
    </w:p>
    <w:p>
      <w:pPr>
        <w:pStyle w:val="ListParagraph"/>
        <w:numPr>
          <w:ilvl w:val="0"/>
          <w:numId w:val="2"/>
        </w:numPr>
        <w:spacing w:after="60" w:line="276"/>
      </w:pPr>
      <w:r>
        <w:rPr>
          <w:b/>
          <w:bCs/>
        </w:rPr>
        <w:t xml:space="preserve">Role Guides 1 to 8</w:t>
      </w:r>
      <w:r>
        <w:t xml:space="preserve"> teach each role its routine, step by step. Each ends with this reference cut down to that role.</w:t>
      </w:r>
    </w:p>
    <w:p>
      <w:pPr>
        <w:pStyle w:val="ListParagraph"/>
        <w:numPr>
          <w:ilvl w:val="0"/>
          <w:numId w:val="2"/>
        </w:numPr>
        <w:spacing w:after="60" w:line="276"/>
      </w:pPr>
      <w:r>
        <w:rPr>
          <w:b/>
          <w:bCs/>
        </w:rPr>
        <w:t xml:space="preserve">System Manual</w:t>
      </w:r>
      <w:r>
        <w:t xml:space="preserve">: how the whole system works and how the parts fit together.</w:t>
      </w:r>
    </w:p>
    <w:p>
      <w:pPr>
        <w:pStyle w:val="ListParagraph"/>
        <w:numPr>
          <w:ilvl w:val="0"/>
          <w:numId w:val="2"/>
        </w:numPr>
        <w:spacing w:after="60" w:line="276"/>
      </w:pPr>
      <w:r>
        <w:rPr>
          <w:b/>
          <w:bCs/>
        </w:rPr>
        <w:t xml:space="preserve">RA Training Manual</w:t>
      </w:r>
      <w:r>
        <w:t xml:space="preserve">: learn by doing, with practice exercises.</w:t>
      </w:r>
    </w:p>
    <w:p>
      <w:pPr>
        <w:spacing w:after="60"/>
      </w:pPr>
    </w:p>
    <w:p>
      <w:pPr>
        <w:pStyle w:val="Heading1"/>
        <w:pageBreakBefore/>
      </w:pPr>
      <w:r>
        <w:t xml:space="preserve">2. Rules that apply on every screen</w:t>
      </w:r>
    </w:p>
    <w:p>
      <w:pPr>
        <w:pStyle w:val="ListParagraph"/>
        <w:numPr>
          <w:ilvl w:val="0"/>
          <w:numId w:val="2"/>
        </w:numPr>
        <w:spacing w:after="60" w:line="276"/>
      </w:pPr>
      <w:r>
        <w:rPr>
          <w:b/>
          <w:bCs/>
        </w:rPr>
        <w:t xml:space="preserve">The menu shows only your screens.</w:t>
      </w:r>
      <w:r>
        <w:t xml:space="preserve"> The server builds it from your role. A screen that is not yours says “This screen isn't part of your role”.</w:t>
      </w:r>
    </w:p>
    <w:p>
      <w:pPr>
        <w:pStyle w:val="ListParagraph"/>
        <w:numPr>
          <w:ilvl w:val="0"/>
          <w:numId w:val="2"/>
        </w:numPr>
        <w:spacing w:after="60" w:line="276"/>
      </w:pPr>
      <w:r>
        <w:rPr>
          <w:b/>
          <w:bCs/>
        </w:rPr>
        <w:t xml:space="preserve">Read-only roles see no write buttons.</w:t>
      </w:r>
      <w:r>
        <w:t xml:space="preserve"> Supervisors and Analysts can open their screens but every button that would change something is replaced by a note. Each Role Guide's appendix lists only what its role can see.</w:t>
      </w:r>
    </w:p>
    <w:p>
      <w:pPr>
        <w:pStyle w:val="ListParagraph"/>
        <w:numPr>
          <w:ilvl w:val="0"/>
          <w:numId w:val="2"/>
        </w:numPr>
        <w:spacing w:after="60" w:line="276"/>
      </w:pPr>
      <w:r>
        <w:rPr>
          <w:b/>
          <w:bCs/>
        </w:rPr>
        <w:t xml:space="preserve">A greyed-out button is waiting for something.</w:t>
      </w:r>
      <w:r>
        <w:t xml:space="preserve"> Usually a required note, a required choice, or a step that must come first (for example Include is greyed out until authenticity is assessed). The “Why it exists” column says which.</w:t>
      </w:r>
    </w:p>
    <w:p>
      <w:pPr>
        <w:pStyle w:val="ListParagraph"/>
        <w:numPr>
          <w:ilvl w:val="0"/>
          <w:numId w:val="2"/>
        </w:numPr>
        <w:spacing w:after="60" w:line="276"/>
      </w:pPr>
      <w:r>
        <w:rPr>
          <w:b/>
          <w:bCs/>
        </w:rPr>
        <w:t xml:space="preserve">Confirmations protect what cannot be undone.</w:t>
      </w:r>
      <w:r>
        <w:t xml:space="preserve"> Moving many cases, recording a withdrawal, removing a file, regenerating a draft and submitting to KoboToolbox all ask first.</w:t>
      </w:r>
    </w:p>
    <w:p>
      <w:pPr>
        <w:pStyle w:val="ListParagraph"/>
        <w:numPr>
          <w:ilvl w:val="0"/>
          <w:numId w:val="2"/>
        </w:numPr>
        <w:spacing w:after="60" w:line="276"/>
      </w:pPr>
      <w:r>
        <w:rPr>
          <w:b/>
          <w:bCs/>
        </w:rPr>
        <w:t xml:space="preserve">Notes are required where a decision needs a reason.</w:t>
      </w:r>
      <w:r>
        <w:t xml:space="preserve"> QA decisions, closing a QA exception, activating a Reserve case and recording a withdrawal cannot be saved without one.</w:t>
      </w:r>
    </w:p>
    <w:p>
      <w:pPr>
        <w:pStyle w:val="ListParagraph"/>
        <w:numPr>
          <w:ilvl w:val="0"/>
          <w:numId w:val="2"/>
        </w:numPr>
        <w:spacing w:after="60" w:line="276"/>
      </w:pPr>
      <w:r>
        <w:rPr>
          <w:b/>
          <w:bCs/>
        </w:rPr>
        <w:t xml:space="preserve">Important actions are audited.</w:t>
      </w:r>
      <w:r>
        <w:t xml:space="preserve"> Decisions, downloads, submissions, withdrawals, activations and status changes are recorded with who, what and when. The audit log cannot be edited.</w:t>
      </w:r>
    </w:p>
    <w:p>
      <w:pPr>
        <w:pStyle w:val="ListParagraph"/>
        <w:numPr>
          <w:ilvl w:val="0"/>
          <w:numId w:val="2"/>
        </w:numPr>
        <w:spacing w:after="60" w:line="276"/>
      </w:pPr>
      <w:r>
        <w:rPr>
          <w:b/>
          <w:bCs/>
        </w:rPr>
        <w:t xml:space="preserve">Nothing personal goes into web addresses.</w:t>
      </w:r>
      <w:r>
        <w:t xml:space="preserve"> Links that open KoboToolbox carry only system IDs, never a name.</w:t>
      </w:r>
    </w:p>
    <w:p>
      <w:pPr>
        <w:pStyle w:val="ListParagraph"/>
        <w:numPr>
          <w:ilvl w:val="0"/>
          <w:numId w:val="2"/>
        </w:numPr>
        <w:spacing w:after="60" w:line="276"/>
      </w:pPr>
      <w:r>
        <w:rPr>
          <w:b/>
          <w:bCs/>
        </w:rPr>
        <w:t xml:space="preserve">Lists share one set of controls.</w:t>
      </w:r>
      <w:r>
        <w:t xml:space="preserve"> Every register has a </w:t>
      </w:r>
      <w:r>
        <w:rPr>
          <w:b/>
          <w:bCs/>
        </w:rPr>
        <w:t xml:space="preserve">Show</w:t>
      </w:r>
      <w:r>
        <w:t xml:space="preserve"> choice (10, 20, 50, 100 or 200 rows per page; your choice is remembered), page numbers, </w:t>
      </w:r>
      <w:r>
        <w:rPr>
          <w:b/>
          <w:bCs/>
        </w:rPr>
        <w:t xml:space="preserve">Previous</w:t>
      </w:r>
      <w:r>
        <w:t xml:space="preserve"> and </w:t>
      </w:r>
      <w:r>
        <w:rPr>
          <w:b/>
          <w:bCs/>
        </w:rPr>
        <w:t xml:space="preserve">Next</w:t>
      </w:r>
      <w:r>
        <w:t xml:space="preserve"> and first/last page arrows, and usually a </w:t>
      </w:r>
      <w:r>
        <w:rPr>
          <w:b/>
          <w:bCs/>
        </w:rPr>
        <w:t xml:space="preserve">Search</w:t>
      </w:r>
      <w:r>
        <w:t xml:space="preserve"> box.</w:t>
      </w:r>
    </w:p>
    <w:p>
      <w:pPr>
        <w:spacing w:after="60"/>
      </w:pPr>
    </w:p>
    <w:p>
      <w:pPr>
        <w:pStyle w:val="Heading1"/>
        <w:pageBreakBefore/>
      </w:pPr>
      <w:r>
        <w:t xml:space="preserve">3. Who can open which screen</w:t>
      </w:r>
    </w:p>
    <w:p>
      <w:pPr>
        <w:spacing w:after="120" w:line="288"/>
      </w:pPr>
      <w:r>
        <w:t xml:space="preserve">A tick means the role can open the screen. Detail screens (a case, a KII record, a document) follow their register. The columns are: PI, Field Coordinator (FC), Contact RA (CRA), QA RA (QA), KII RA (KII), Documentary RA (DOC), Analyst (AN), Supervisor (SUP). Supervisors and Analysts open screens read-only.</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3388"/>
        <w:gridCol w:w="753"/>
        <w:gridCol w:w="753"/>
        <w:gridCol w:w="753"/>
        <w:gridCol w:w="753"/>
        <w:gridCol w:w="753"/>
        <w:gridCol w:w="753"/>
        <w:gridCol w:w="753"/>
        <w:gridCol w:w="753"/>
      </w:tblGrid>
      <w:tr>
        <w:trPr>
          <w:tblHeader/>
        </w:trPr>
        <w:tc>
          <w:tcPr>
            <w:tcW w:type="dxa" w:w="3388"/>
            <w:shd w:fill="1B3350" w:color="auto" w:val="clear"/>
            <w:tcMar>
              <w:top w:type="dxa" w:w="70"/>
              <w:left w:type="dxa" w:w="110"/>
              <w:bottom w:type="dxa" w:w="70"/>
              <w:right w:type="dxa" w:w="110"/>
            </w:tcMar>
            <w:vAlign w:val="top"/>
          </w:tcPr>
          <w:p>
            <w:pPr>
              <w:spacing w:after="40"/>
            </w:pPr>
            <w:r>
              <w:rPr>
                <w:b/>
                <w:bCs/>
                <w:color w:val="FFFFFF"/>
                <w:sz w:val="19"/>
                <w:szCs w:val="19"/>
              </w:rPr>
              <w:t xml:space="preserve">Screen</w:t>
            </w:r>
          </w:p>
        </w:tc>
        <w:tc>
          <w:tcPr>
            <w:tcW w:type="dxa" w:w="753"/>
            <w:shd w:fill="1B3350" w:color="auto" w:val="clear"/>
            <w:tcMar>
              <w:top w:type="dxa" w:w="70"/>
              <w:left w:type="dxa" w:w="110"/>
              <w:bottom w:type="dxa" w:w="70"/>
              <w:right w:type="dxa" w:w="110"/>
            </w:tcMar>
            <w:vAlign w:val="top"/>
          </w:tcPr>
          <w:p>
            <w:pPr>
              <w:spacing w:after="40"/>
            </w:pPr>
            <w:r>
              <w:rPr>
                <w:b/>
                <w:bCs/>
                <w:color w:val="FFFFFF"/>
                <w:sz w:val="19"/>
                <w:szCs w:val="19"/>
              </w:rPr>
              <w:t xml:space="preserve">PI</w:t>
            </w:r>
          </w:p>
        </w:tc>
        <w:tc>
          <w:tcPr>
            <w:tcW w:type="dxa" w:w="753"/>
            <w:shd w:fill="1B3350" w:color="auto" w:val="clear"/>
            <w:tcMar>
              <w:top w:type="dxa" w:w="70"/>
              <w:left w:type="dxa" w:w="110"/>
              <w:bottom w:type="dxa" w:w="70"/>
              <w:right w:type="dxa" w:w="110"/>
            </w:tcMar>
            <w:vAlign w:val="top"/>
          </w:tcPr>
          <w:p>
            <w:pPr>
              <w:spacing w:after="40"/>
            </w:pPr>
            <w:r>
              <w:rPr>
                <w:b/>
                <w:bCs/>
                <w:color w:val="FFFFFF"/>
                <w:sz w:val="19"/>
                <w:szCs w:val="19"/>
              </w:rPr>
              <w:t xml:space="preserve">FC</w:t>
            </w:r>
          </w:p>
        </w:tc>
        <w:tc>
          <w:tcPr>
            <w:tcW w:type="dxa" w:w="753"/>
            <w:shd w:fill="1B3350" w:color="auto" w:val="clear"/>
            <w:tcMar>
              <w:top w:type="dxa" w:w="70"/>
              <w:left w:type="dxa" w:w="110"/>
              <w:bottom w:type="dxa" w:w="70"/>
              <w:right w:type="dxa" w:w="110"/>
            </w:tcMar>
            <w:vAlign w:val="top"/>
          </w:tcPr>
          <w:p>
            <w:pPr>
              <w:spacing w:after="40"/>
            </w:pPr>
            <w:r>
              <w:rPr>
                <w:b/>
                <w:bCs/>
                <w:color w:val="FFFFFF"/>
                <w:sz w:val="19"/>
                <w:szCs w:val="19"/>
              </w:rPr>
              <w:t xml:space="preserve">CRA</w:t>
            </w:r>
          </w:p>
        </w:tc>
        <w:tc>
          <w:tcPr>
            <w:tcW w:type="dxa" w:w="753"/>
            <w:shd w:fill="1B3350" w:color="auto" w:val="clear"/>
            <w:tcMar>
              <w:top w:type="dxa" w:w="70"/>
              <w:left w:type="dxa" w:w="110"/>
              <w:bottom w:type="dxa" w:w="70"/>
              <w:right w:type="dxa" w:w="110"/>
            </w:tcMar>
            <w:vAlign w:val="top"/>
          </w:tcPr>
          <w:p>
            <w:pPr>
              <w:spacing w:after="40"/>
            </w:pPr>
            <w:r>
              <w:rPr>
                <w:b/>
                <w:bCs/>
                <w:color w:val="FFFFFF"/>
                <w:sz w:val="19"/>
                <w:szCs w:val="19"/>
              </w:rPr>
              <w:t xml:space="preserve">QA</w:t>
            </w:r>
          </w:p>
        </w:tc>
        <w:tc>
          <w:tcPr>
            <w:tcW w:type="dxa" w:w="753"/>
            <w:shd w:fill="1B3350" w:color="auto" w:val="clear"/>
            <w:tcMar>
              <w:top w:type="dxa" w:w="70"/>
              <w:left w:type="dxa" w:w="110"/>
              <w:bottom w:type="dxa" w:w="70"/>
              <w:right w:type="dxa" w:w="110"/>
            </w:tcMar>
            <w:vAlign w:val="top"/>
          </w:tcPr>
          <w:p>
            <w:pPr>
              <w:spacing w:after="40"/>
            </w:pPr>
            <w:r>
              <w:rPr>
                <w:b/>
                <w:bCs/>
                <w:color w:val="FFFFFF"/>
                <w:sz w:val="19"/>
                <w:szCs w:val="19"/>
              </w:rPr>
              <w:t xml:space="preserve">KII</w:t>
            </w:r>
          </w:p>
        </w:tc>
        <w:tc>
          <w:tcPr>
            <w:tcW w:type="dxa" w:w="753"/>
            <w:shd w:fill="1B3350" w:color="auto" w:val="clear"/>
            <w:tcMar>
              <w:top w:type="dxa" w:w="70"/>
              <w:left w:type="dxa" w:w="110"/>
              <w:bottom w:type="dxa" w:w="70"/>
              <w:right w:type="dxa" w:w="110"/>
            </w:tcMar>
            <w:vAlign w:val="top"/>
          </w:tcPr>
          <w:p>
            <w:pPr>
              <w:spacing w:after="40"/>
            </w:pPr>
            <w:r>
              <w:rPr>
                <w:b/>
                <w:bCs/>
                <w:color w:val="FFFFFF"/>
                <w:sz w:val="19"/>
                <w:szCs w:val="19"/>
              </w:rPr>
              <w:t xml:space="preserve">DOC</w:t>
            </w:r>
          </w:p>
        </w:tc>
        <w:tc>
          <w:tcPr>
            <w:tcW w:type="dxa" w:w="753"/>
            <w:shd w:fill="1B3350" w:color="auto" w:val="clear"/>
            <w:tcMar>
              <w:top w:type="dxa" w:w="70"/>
              <w:left w:type="dxa" w:w="110"/>
              <w:bottom w:type="dxa" w:w="70"/>
              <w:right w:type="dxa" w:w="110"/>
            </w:tcMar>
            <w:vAlign w:val="top"/>
          </w:tcPr>
          <w:p>
            <w:pPr>
              <w:spacing w:after="40"/>
            </w:pPr>
            <w:r>
              <w:rPr>
                <w:b/>
                <w:bCs/>
                <w:color w:val="FFFFFF"/>
                <w:sz w:val="19"/>
                <w:szCs w:val="19"/>
              </w:rPr>
              <w:t xml:space="preserve">AN</w:t>
            </w:r>
          </w:p>
        </w:tc>
        <w:tc>
          <w:tcPr>
            <w:tcW w:type="dxa" w:w="753"/>
            <w:shd w:fill="1B3350" w:color="auto" w:val="clear"/>
            <w:tcMar>
              <w:top w:type="dxa" w:w="70"/>
              <w:left w:type="dxa" w:w="110"/>
              <w:bottom w:type="dxa" w:w="70"/>
              <w:right w:type="dxa" w:w="110"/>
            </w:tcMar>
            <w:vAlign w:val="top"/>
          </w:tcPr>
          <w:p>
            <w:pPr>
              <w:spacing w:after="40"/>
            </w:pPr>
            <w:r>
              <w:rPr>
                <w:b/>
                <w:bCs/>
                <w:color w:val="FFFFFF"/>
                <w:sz w:val="19"/>
                <w:szCs w:val="19"/>
              </w:rPr>
              <w:t xml:space="preserve">SUP</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Executive Dashboard</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Sampling Dashboard</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Contact Dashboard</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QA Dashboard</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KII / Document Dashboard</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Reports</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Main-400 Register (and 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Case page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Pre-Interview Profile (PROIT) and its review screen</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Interview sheet (verifying a locked profile)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Register Organisation</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Appointment Queue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Follow-ups due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Communications</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Reserve Activation</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QA Queue (with the KoboToolbox sync panel)</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QA Exceptions</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KII Register</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New KII Record</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KII record</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Documents (the corpus)</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New Documentary Evidence Record</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Document record</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Auto-fill review screen</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Completed forms (Form PDFs)</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Cost Dashboard</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Audit Log</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Research Clearance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Export</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r>
    </w:tbl>
    <w:p>
      <w:pPr>
        <w:spacing w:after="120"/>
      </w:pPr>
    </w:p>
    <w:p>
      <w:pPr>
        <w:pStyle w:val="Heading1"/>
        <w:pageBreakBefore/>
      </w:pPr>
      <w:r>
        <w:t xml:space="preserve">4. Signing in and your account</w:t>
      </w:r>
    </w:p>
    <w:p>
      <w:pPr>
        <w:pStyle w:val="Heading2"/>
      </w:pPr>
      <w:r>
        <w:t xml:space="preserve">4.1 Sign in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/admin/login</w:t>
      </w:r>
    </w:p>
    <w:p>
      <w:pPr>
        <w:spacing w:after="120" w:line="288"/>
      </w:pPr>
      <w:r>
        <w:t xml:space="preserve">Where every staff member starts. Staff accounts are created by the PI; there is no self-registration.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Username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username the PI gave you.</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action in the portal is recorded against a named person, so accounts are never shared.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 you also need the password.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your password. The characters are hidden.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Passwords are never shown or emailed; the PI can reset yours but cannot read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 select Sign in.</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in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Checks your username and password and opens your start screen (the first screen your role uses).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Repeated wrong attempts from one network are refused for a minute, to stop password guessing.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 A wrong password says so. “Too many sign-in attempts” means wait a minute.</w:t>
            </w:r>
          </w:p>
        </w:tc>
      </w:tr>
    </w:tbl>
    <w:p>
      <w:pPr>
        <w:spacing w:after="120"/>
      </w:pPr>
    </w:p>
    <w:p>
      <w:pPr>
        <w:pStyle w:val="Heading2"/>
      </w:pPr>
      <w:r>
        <w:t xml:space="preserve">4.2 The header and menu bar (every screen)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(top of every screen)</w:t>
      </w:r>
    </w:p>
    <w:p>
      <w:pPr>
        <w:spacing w:after="120" w:line="288"/>
      </w:pPr>
      <w:r>
        <w:t xml:space="preserve">Shown at the top of every signed-in screen. The menu bar lists only the screens your role may open.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Menu bar (Executive, Sampling, … Audit)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a screen. The current screen is underlined.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list is built by the server from your role, so you never see a screen that would refuse you.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screen opens. A screen not in your list shows “This screen isn't part of your role”.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Change Password screen.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 should change the first password you were given, and any password you think someone saw.</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Change Password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out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Ends your session on this device.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Protects the data if the device is shared or lost. Always sign out on a shared device.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session on this device ends and you return to the Sign in screen.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 Back to … (top left)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Returns to the parent screen (for example from a case to the register).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consistent way back that does not lose your place in the menu.</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parent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Go to my start screen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Appears on the “This screen isn't part of your role” page and takes you to your own start screen.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 old bookmark or shared link may point at a screen that belongs to another role; this gets you out safely.</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w:t>
            </w:r>
          </w:p>
        </w:tc>
      </w:tr>
    </w:tbl>
    <w:p>
      <w:pPr>
        <w:spacing w:after="120"/>
      </w:pPr>
    </w:p>
    <w:p>
      <w:pPr>
        <w:pStyle w:val="Heading2"/>
      </w:pPr>
      <w:r>
        <w:t xml:space="preserve">4.3 Change Password</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/admin/account</w:t>
      </w:r>
    </w:p>
    <w:p>
      <w:pPr>
        <w:spacing w:after="120" w:line="288"/>
      </w:pPr>
      <w:r>
        <w:t xml:space="preserve">Change your own password.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Current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password you use now.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Proves it is really you before a change, in case a signed-in device was left open.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New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It must be long enough, not a common password, not all digits and not similar to your username or name; the screen says which rule failed.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Confirm new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new password again.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Catches a typing slip that would lock you out.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Your old password stops working straight away, and other people (including the PI) never see your new one.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appears. Use the new password next time.</w:t>
            </w:r>
          </w:p>
        </w:tc>
      </w:tr>
    </w:tbl>
    <w:p>
      <w:pPr>
        <w:spacing w:after="120"/>
      </w:pPr>
    </w:p>
    <w:p>
      <w:pPr>
        <w:pStyle w:val="Heading1"/>
        <w:pageBreakBefore/>
      </w:pPr>
      <w:r>
        <w:t xml:space="preserve">5. Dashboards and Reports (read-only)</w:t>
      </w:r>
    </w:p>
    <w:p>
      <w:pPr>
        <w:pStyle w:val="Heading2"/>
      </w:pPr>
      <w:r>
        <w:t xml:space="preserve">5.1 Executive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w:t>
      </w:r>
    </w:p>
    <w:p>
      <w:pPr>
        <w:spacing w:after="120" w:line="288"/>
      </w:pPr>
      <w:r>
        <w:t xml:space="preserve">The one-page picture of the study: how many cases are where in the funnel, response and quality headlines, and the weakest parts of the sample. Counts and rates only; never a name.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Tiles: QUAN completed, KII completed, Documents coded, Days to data lock, Fieldwork expenditure to date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 the headline counts against their targets, the days left to the data lock (30 November 2026) and the spend so far. Read them; there is nothing to press.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Aggregates only, so the dashboards are safe to show to people who must not see respondent identities.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Numbers update whenever the screen is opened or refreshed.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Highest-risk coverage gaps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the strata (province × organisation type × size) with the lowest fill so far.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Tells the coordinator where fieldwork effort is most needed to meet the sample design.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Use it to decide where to send Contact RAs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Links: Sampling, Contact, QA, KII / Documents, Cost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 the related dashboards.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Saves hunting through the menu.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linked screen opens.</w:t>
            </w:r>
          </w:p>
        </w:tc>
      </w:tr>
    </w:tbl>
    <w:p>
      <w:pPr>
        <w:spacing w:after="120"/>
      </w:pPr>
    </w:p>
    <w:p>
      <w:pPr>
        <w:pStyle w:val="Heading2"/>
      </w:pPr>
      <w:r>
        <w:t xml:space="preserve">5.2 Sampling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/admin/dashboard/sampling</w:t>
      </w:r>
    </w:p>
    <w:p>
      <w:pPr>
        <w:spacing w:after="120" w:line="288"/>
      </w:pPr>
      <w:r>
        <w:t xml:space="preserve">How the Main-400 and Reserve-400 samples stand.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Main-400 by province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how many Main cases each province holds and how many are verified.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design fixes how many organisations each province must contribute.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Verified / total by stratum</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verification progress in each stratum.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stratum that cannot be verified may need a Reserve replacement.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Reserve activations by reason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Reserve cases activated, by the authorised reason.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Reserve replacement is controlled and audited; this shows how often and why it happens.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“No reserve activations yet” until one is made.</w:t>
            </w:r>
          </w:p>
        </w:tc>
      </w:tr>
    </w:tbl>
    <w:p>
      <w:pPr>
        <w:spacing w:after="120"/>
      </w:pPr>
    </w:p>
    <w:p>
      <w:pPr>
        <w:pStyle w:val="Heading2"/>
      </w:pPr>
      <w:r>
        <w:t xml:space="preserve">5.3 Contact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/admin/dashboard/contact</w:t>
      </w:r>
    </w:p>
    <w:p>
      <w:pPr>
        <w:spacing w:after="120" w:line="288"/>
      </w:pPr>
      <w:r>
        <w:t xml:space="preserve">Contact activity: how many are invited, reminded, reached, and how appointments stand.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Contact figures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 counts of contacts, reminders and appointments by status.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the coordinator see whether contact is on schedule without opening cases.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bl>
    <w:p>
      <w:pPr>
        <w:spacing w:after="120"/>
      </w:pPr>
    </w:p>
    <w:p>
      <w:pPr>
        <w:pStyle w:val="Heading2"/>
      </w:pPr>
      <w:r>
        <w:t xml:space="preserve">5.4 QA Dashboard</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/admin/dashboard/qa</w:t>
      </w:r>
    </w:p>
    <w:p>
      <w:pPr>
        <w:spacing w:after="120" w:line="288"/>
      </w:pPr>
      <w:r>
        <w:t xml:space="preserve">Quality checking at a glance: how many questionnaires wait for a decision and how the completed ones were done.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Refresh</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Re-reads the figures now.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page does not update by itself while you watch it.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numbers reload; the button says Refreshing… briefly.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Administration mode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how many questionnaires were completed by each mode (web, telephone, WhatsApp-assisted, face to face).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Mode balance is a quality and method question for the study.</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Open QA queue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Goes to the QA Queue.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Takes you from the overview to the work.</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QA Queue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Try again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Appears if the figures could not load; tries once more.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dropped connection should not leave a blank page.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figures load, or the message stays.</w:t>
            </w:r>
          </w:p>
        </w:tc>
      </w:tr>
    </w:tbl>
    <w:p>
      <w:pPr>
        <w:spacing w:after="120"/>
      </w:pPr>
    </w:p>
    <w:p>
      <w:pPr>
        <w:pStyle w:val="Heading2"/>
      </w:pPr>
      <w:r>
        <w:t xml:space="preserve">5.5 KII / Document Dashboard</w:t>
      </w:r>
    </w:p>
    <w:p>
      <w:pPr>
        <w:spacing w:after="120" w:line="288"/>
      </w:pPr>
      <w:r>
        <w:rPr>
          <w:b/>
          <w:bCs/>
        </w:rPr>
        <w:t xml:space="preserve">Who can open it:</w:t>
      </w:r>
      <w:r>
        <w:t xml:space="preserve"> PI / System Admin, Field / Digital Coordinator, Data Analyst, Supervisor, KII RA, Documentary RA.  </w:t>
      </w:r>
      <w:r>
        <w:rPr>
          <w:b/>
          <w:bCs/>
        </w:rPr>
        <w:t xml:space="preserve">Where:</w:t>
      </w:r>
      <w:r>
        <w:t xml:space="preserve"> </w:t>
      </w:r>
      <w:r>
        <w:rPr>
          <w:rFonts w:ascii="Consolas" w:cs="Consolas" w:eastAsia="Consolas" w:hAnsi="Consolas"/>
          <w:b w:val="false"/>
          <w:bCs w:val="false"/>
          <w:color w:val="122238"/>
          <w:sz w:val="19"/>
          <w:szCs w:val="19"/>
        </w:rPr>
        <w:t xml:space="preserve">/admin/dashboard/kii-documents</w:t>
      </w:r>
    </w:p>
    <w:p>
      <w:pPr>
        <w:spacing w:after="120" w:line="288"/>
      </w:pPr>
      <w:r>
        <w:t xml:space="preserve">Progress of the two qualitative strands against their targets (about 60 KIIs, 50–75 documents).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KII by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KII records at each stage (prospect, invited, scheduled, completed, declined, no-show).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Shows how far the interview target has come.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Documents by type / by QA status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Counts documents by type (official, secondary, platform) and by decision (pending, included, excluded).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Only included documents count towards the corpus target.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bl>
    <w:p>
      <w:pPr>
        <w:spacing w:after="120"/>
      </w:pPr>
    </w:p>
    <w:p>
      <w:pPr>
        <w:pStyle w:val="Heading2"/>
      </w:pPr>
      <w:r>
        <w:t xml:space="preserve">5.6 Reports</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/admin/reports</w:t>
      </w:r>
    </w:p>
    <w:p>
      <w:pPr>
        <w:spacing w:after="120" w:line="288"/>
      </w:pPr>
      <w:r>
        <w:t xml:space="preserve">Charts for supervision meetings and progress reports: funnel, submissions per day, coverage, time to complete, QA outcomes, modes and workflow. Counts and rates only.</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Last 7 days / Last 30 days / Last 90 days / All time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Sets the period the time-based charts cover.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Meetings usually ask “what happened this week or month”. Case progress is always cumulative.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Every time-based chart redraws for that period.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Province / Organisation type / Size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Changes what the coverage chart is broken down by.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Coverage matters along all three design dimensions.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coverage chart redraws.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Show table / Show chart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Switches one chart between its picture and the numbers behind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chart is available as a table so numbers can be read out, copied or checked.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chart is replaced by a table (and back).</w:t>
            </w:r>
          </w:p>
        </w:tc>
      </w:tr>
    </w:tbl>
    <w:p>
      <w:pPr>
        <w:spacing w:after="120"/>
      </w:pPr>
    </w:p>
    <w:p>
      <w:pPr>
        <w:pStyle w:val="Heading1"/>
        <w:pageBreakBefore/>
      </w:pPr>
      <w:r>
        <w:t xml:space="preserve">6. The sample and contact</w:t>
      </w:r>
    </w:p>
    <w:p>
      <w:pPr>
        <w:pStyle w:val="Heading2"/>
      </w:pPr>
      <w:r>
        <w:t xml:space="preserve">6.1 Main-400 Register (and Reserve)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/admin/sample</w:t>
      </w:r>
    </w:p>
    <w:p>
      <w:pPr>
        <w:spacing w:after="120" w:line="288"/>
      </w:pPr>
      <w:r>
        <w:t xml:space="preserve">The list of sample cases. A Contact RA sees only the cases assigned to them. From here you open a case, and the coordinator moves or reassigns cases in bulk.</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Main / Reserve (sample type)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Switches the list between the 400 Main cases and the 400 locked Reserve cases.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Reserve cases are locked replacements and are handled differently from Main cases.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changes and returns to page 1.</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ID, organisation or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as you type: by Sample ID, organisation, Master ID, or a respondent's phone or WhatsApp number. A phone number can be typed any way (0772 123 456, +263772123456 or 772123456): it finds the record whose number on file has those digits.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one case among hundreds should not need paging, and a caller who rings back can be found by their number.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cases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Register organisation</w:t>
            </w:r>
            <w:r>
              <w:rPr>
                <w:b w:val="false"/>
                <w:bCs w:val="false"/>
                <w:sz w:val="19"/>
                <w:szCs w:val="19"/>
              </w:rPr>
              <w:t xml:space="preserve"> (the PI, the Field Coordinator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Register Organisation to add an organisation that is not yet in the sample.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Late additions must get a proper Master ID and a sample case.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Register Organisation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View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case page for that row.</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All work on a case happens on its own page.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page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Move through verification: step, How many, Move all N</w:t>
            </w:r>
            <w:r>
              <w:rPr>
                <w:b w:val="false"/>
                <w:bCs w:val="false"/>
                <w:sz w:val="19"/>
                <w:szCs w:val="19"/>
              </w:rPr>
              <w:t xml:space="preserve"> (the PI, the Field Coordinator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Moves every Main case at one verification step (S00→S01, S01→S02, S02→S03) to the next after you confirm.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All 400 cases start at S00; verifying them one by one would take days, and a status should only advance when the checks behind it are done.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asks first. Then “Moved N cases”, and the register updates.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Reassign cases: From, Province, How many, To, Move cases</w:t>
            </w:r>
            <w:r>
              <w:rPr>
                <w:b w:val="false"/>
                <w:bCs w:val="false"/>
                <w:sz w:val="19"/>
                <w:szCs w:val="19"/>
              </w:rPr>
              <w:t xml:space="preserve"> (the PI, the Field Coordinator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Moves a chosen number of cases (in Sample ID order) from one Contact RA, or from Unassigned, to another RA (or to nobody).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Workload has to be balanced; moving in ID order lets you split a large province between RAs in two steps.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asks first, then the cases appear in the new RA's register.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Import background research (ChatGPT workbook): Check file, Import N records</w:t>
            </w:r>
            <w:r>
              <w:rPr>
                <w:b w:val="false"/>
                <w:bCs w:val="false"/>
                <w:sz w:val="19"/>
                <w:szCs w:val="19"/>
              </w:rPr>
              <w:t xml:space="preserve"> (the PI, the Field Coordinator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Reads the Excel file ChatGPT returned from the Main-400 research pack and adds its contacts and PROIT facts as suggestions for review on each case. Check file shows what would be added and keeps nothing.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Researching hundreds of small businesses and typing the results in by hand is slow; review stays one click per item.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table per Sample ID with links to each case. Nothing reaches a case until someone accepts it; locked Reserves and locked profiles are never touched.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How many cases, Find contacts</w:t>
            </w:r>
            <w:r>
              <w:rPr>
                <w:b w:val="false"/>
                <w:bCs w:val="false"/>
                <w:sz w:val="19"/>
                <w:szCs w:val="19"/>
              </w:rPr>
              <w:t xml:space="preserve"> (the PI, the Field Coordinator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Starts an AI contact search for that many cases (up to 25, in Sample ID order) that are not yet invited and have no phone, WhatsApp or email. A case searched in the last 30 days is skipped.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case with no contact details cannot be invited, and searching hundreds of organisations by hand would take weeks.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“Queued N searches” with the estimated cost, then a progress line (done, searching now, waiting) while the searches run one at a time. The button stays locked until the batch has finished. Nothing is saved by the batch.</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Findings to review → Review them all on one page</w:t>
            </w:r>
            <w:r>
              <w:rPr>
                <w:b w:val="false"/>
                <w:bCs w:val="false"/>
                <w:sz w:val="19"/>
                <w:szCs w:val="19"/>
              </w:rPr>
              <w:t xml:space="preserve"> (the PI, the Field Coordinator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review page: every waiting finding, grouped by case, with filters for kind (Phones and Emails chosen at first), confidence and source site, and Accept / Reject beside each. Accept all N shown and Reject all shown act on what is on screen for one case.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Hundreds of findings are quicker to judge side by side, with the quote in view, than one case page at a time.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Each decision is saved and audited as on the case page, and the finding leaves the list. Accept all is withheld when a case shows two phones, two emails or a named person.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 Findings to review → Review N findings</w:t>
            </w:r>
            <w:r>
              <w:rPr>
                <w:b w:val="false"/>
                <w:bCs w:val="false"/>
                <w:sz w:val="19"/>
                <w:szCs w:val="19"/>
              </w:rPr>
              <w:t xml:space="preserve"> (the PI, the Field Coordinator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every case whose findings are waiting for a decision, and opens the chosen case.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batch finishes a case at a time over half an hour; this is where to pick up what has come in.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page opens at its findings, to accept or reject.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Send invitations: Send by (Email, SMS, WhatsApp), Next in line, How many, Review and send, Send N invitations</w:t>
            </w:r>
            <w:r>
              <w:rPr>
                <w:b w:val="false"/>
                <w:bCs w:val="false"/>
                <w:sz w:val="19"/>
                <w:szCs w:val="19"/>
              </w:rPr>
              <w:t xml:space="preserve"> (the PI, the Field Coordinator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Sends one invitation, with its own link and code, to that many verified cases (S03 or S04) with no open invitation, on every chosen way each case has a contact for. SMS and WhatsApp go through Twilio, to mobiles only. Up to 100 a batch; daily limits of 300 emails, 150 SMS, and on WhatsApp up to 500 different people a day (fewer while Meta's own limit for the number is lower; replies never count).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Inviting cases one at a time is slow; only verified cases are included so no one is invited before the right person is confirmed. One invitation on every channel means every message carries the same working link.</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step appears in the panel first, with the SMS cost. Then progress, and the result: sent, failed and skipped, case by case. Each sent case moves to S05. A case where nothing got through is left as it was.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invitations (the queue)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the verified cases (S03 or S04) with a WhatsApp or phone number and no open invitation. A Contact RA sees only their own cases.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Without a WhatsApp Business account the portal cannot send WhatsApp messages; the queue makes each one a single tap.</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The list shows masked numbers.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WhatsApp invitations → Prepare, Open WhatsApp, Copy message, Email the same link</w:t>
            </w:r>
          </w:p>
        </w:tc>
        <w:tc>
          <w:tcPr>
            <w:tcW w:type="dxa" w:w="3012"/>
            <w:tcMar>
              <w:top w:type="dxa" w:w="70"/>
              <w:left w:type="dxa" w:w="110"/>
              <w:bottom w:type="dxa" w:w="70"/>
              <w:right w:type="dxa" w:w="110"/>
            </w:tcMar>
            <w:vAlign w:val="top"/>
          </w:tcPr>
          <w:p>
            <w:pPr>
              <w:spacing w:after="40"/>
            </w:pPr>
            <w:r>
              <w:rPr>
                <w:b w:val="false"/>
                <w:bCs w:val="false"/>
                <w:sz w:val="19"/>
                <w:szCs w:val="19"/>
              </w:rPr>
              <w:t xml:space="preserve">Prepare creates the case's personal link and code and the approved message. Open WhatsApp opens that person's chat with the message ready; Copy message copies it. Email the same link (shown when the case has an email address) emails the same invitation from the study address.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RA sends from the study phone so replies come back to the team.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Prepare moves the case to S05 at once, so send straight away. If you cannot, revoke the invitation on the case page.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 / Previous / Next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Chooses how many rows to see (10, 20, 50, 100 or 200) and moves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Different jobs need different views; your choice is remembered.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 at the chosen size.</w:t>
            </w:r>
          </w:p>
        </w:tc>
      </w:tr>
    </w:tbl>
    <w:p>
      <w:pPr>
        <w:spacing w:after="120"/>
      </w:pPr>
    </w:p>
    <w:p>
      <w:pPr>
        <w:pStyle w:val="Heading2"/>
      </w:pPr>
      <w:r>
        <w:t xml:space="preserve">6.2 Case page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/admin/sample/{Sample ID}</w:t>
      </w:r>
    </w:p>
    <w:p>
      <w:pPr>
        <w:spacing w:after="120" w:line="288"/>
      </w:pPr>
      <w:r>
        <w:t xml:space="preserve">Everything about one organisation's place in the sample: who to contact, the invitation, the questionnaire, the timeline and the case's status.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Advance workflow status (→ S0x buttons)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Moves the case to the next valid status, for example from Eligible respondent identified to Invitation prepared.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workflow is a fixed sequence (S00–S16): a case cannot skip steps, and each move is recorded. Only statuses that are allowed next are shown.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changes and the change is added to the audit log. “No further transitions” appears at a final status.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Respondents and contact details → Add a person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a person at the organisation: name, role, phone, WhatsApp, email, gatekeeper, and whether they are eligible.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Invitations, reminders and phone-assisted interviews all need to know who to contact and whether they are the right (senior, knowledgeable) person.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form opens. After Save, the person is listed on the case.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Respondents panel → Edit / Save / Cancel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Corrects a person's details. Save keeps the change; Cancel discards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Contact details go stale, and a wrong number wastes a whole reminder sequence.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person's details update; Cancel leaves them unchanged.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Eligibility (Not yet screened / Eligible / Not eligible)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the outcome of your eligibility screening of that person.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Someone not eligible must never receive the questionnaire: the system will not hand out the questionnaire link without a passed eligibility check and the person's consent.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Eligible lets the questionnaire link work once consent is given. Not eligible sends the respondent to a referral instead.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Assigned Contact RA</w:t>
            </w:r>
            <w:r>
              <w:rPr>
                <w:b w:val="false"/>
                <w:bCs w:val="false"/>
                <w:sz w:val="19"/>
                <w:szCs w:val="19"/>
              </w:rPr>
              <w:t xml:space="preserve"> (the PI, the Field Coordinator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Chooses which Contact RA works this case (or Unassigned).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Contact RA sees only their assigned cases.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RA's register now shows (or no longer shows) the case.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Matched Reserve case</w:t>
            </w:r>
            <w:r>
              <w:rPr>
                <w:b w:val="false"/>
                <w:bCs w:val="false"/>
                <w:sz w:val="19"/>
                <w:szCs w:val="19"/>
              </w:rPr>
              <w:t xml:space="preserve"> (the PI, the Field Coordinator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Pairs this Main case with a locked Reserve case from the same stratum.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If the Main organisation drops out, its matched Reserve is the replacement, keeping the sample balanced.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pair is saved. Activating the Reserve later still needs an authorised reason and an evidence note.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Ask first → Send introduction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Sends the study introduction (WhatsApp, or SMS with a WhatsApp reply link) asking whether the organisation will take part. Shown once Twilio's WhatsApp number is set up.</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gentler first contact: the link only goes to those who agree, which is also what WhatsApp's rules expect.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and any replies show under Ask first. YES sends the invitation link automatically; NO moves the case to S12 Refused.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Invitations → Issue invitation (Channel, Wave)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Creates a personal invitation link (valid 14 days) and an 8-character manual code, for the chosen channel and wave.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Respondents are invited by a private, expiring link. The link is shown once and only a scrambled form is stored, so a stolen database cannot reveal live links. A new invitation replaces the old one, so while the current link still works the portal asks first (Replace it / Keep the current one).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link and code appear once, with a send button for every channel: send it on all the channels the organisation has. If the case cannot be invited (for example a locked Reserve case) you are told why.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Send via WhatsApp / Send by SMS / Open in email app</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WhatsApp, your SMS app or your email program with the invitation message already written.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portal does not send messages itself: you send from the study's own account so replies come to you.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messaging app opens with the text. Send it, then log it on the Contact timeline.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Send email (from the portal) / Copy message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Sends the invitation email from the portal (if email is set up), or copies the text so you can paste it anywhere.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Some respondents prefer email; copying is the fallback for any other channel.</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“Sent to …” or “Copied”.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Revoke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Cancels an invitation so its link stops working.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Use if it went to the wrong person or the wrong address; it is also how a wrong send is undone.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link stops working at once and the invitation is shown as revoked.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Log a contact attempt (Channel, Outcome, Notes, Log contact attempt)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Adds an entry to the Contact timeline: how you tried, what happened (Reached, No answer, Wrong number, Refused, Rescheduled, Completed) and a note.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timeline is the study's record of effort. It shows why a case is nonresponsive and protects respondents from being contacted twice by mistake.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entry appears at the top of the timeline with your name and the time.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Record a withdrawal (Reason, How they told us, Record withdrawal)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participant wants to withdraw. You give the reason and whether they told you by phone or in person, or in writing.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participant's right to withdraw must take effect at once and completely: their consent is recorded as withdrawn, every open invitation is revoked, reminders stop, and their phone, WhatsApp, email and gatekeeper contact are erased.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warns that it cannot be undone. The case moves to Refused (a case already submitted keeps its status). Any answers already submitted are kept but left out of the analysis export and flagged.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questionnaire → Download PDF</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the participant's completed questionnaire as a readable PDF.</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readable copy is needed for QA notes and for the participant if they ask.</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PDF downloads. The download is recorded in the audit log.</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 Find contact details / Search again</w:t>
            </w:r>
            <w:r>
              <w:rPr>
                <w:b w:val="false"/>
                <w:bCs w:val="false"/>
                <w:sz w:val="19"/>
                <w:szCs w:val="19"/>
              </w:rPr>
              <w:t xml:space="preserve"> (the PI, the Field Coordinator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Searches public sources for this organisation's published phone, email, website and office location, and senior staff it names. Runs in the background for a minute or two.</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case cannot be invited without a way to reach it; the organisation's own published details are the proper starting point.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Findings appear under “To review”, each with the page it came from and the passage that shows it. Only the organisation's name, province, district and value chain are sent to the AI provider.</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 To review / Already decided</w:t>
            </w:r>
            <w:r>
              <w:rPr>
                <w:b w:val="false"/>
                <w:bCs w:val="false"/>
                <w:sz w:val="19"/>
                <w:szCs w:val="19"/>
              </w:rPr>
              <w:t xml:space="preserve"> (the PI, the Field Coordinator, Supervisors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each finding with its confidence, the page it came from and the quoted passage, and the findings already accepted or rejected.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Anyone overseeing the case can see where every contact detail came from.</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Select a page title to open it.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 Accept / Reject (Role for a named person)</w:t>
            </w:r>
            <w:r>
              <w:rPr>
                <w:b w:val="false"/>
                <w:bCs w:val="false"/>
                <w:sz w:val="19"/>
                <w:szCs w:val="19"/>
              </w:rPr>
              <w:t xml:space="preserve"> (the PI, the Field Coordinator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Accept saves a finding: an organisation phone or email goes on “Organisation contact (to be identified)”, a named person becomes a new respondent (not yet screened), a website or office location is kept with the organisation. Reject discards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only proposes; a person checks the page and decides, so a similar-named organisation's details never slip in.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finding moves to “Already decided”. An accept never overwrites a different phone or email already recorded.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Pre-Interview Profile (PROIT) panel</w:t>
            </w:r>
            <w:r>
              <w:rPr>
                <w:b w:val="false"/>
                <w:bCs w:val="false"/>
                <w:sz w:val="19"/>
                <w:szCs w:val="19"/>
              </w:rPr>
              <w:t xml:space="preserve"> (the PI, the Field Coordinator, Supervisors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Coordinator's tool for background research on the organisation before an interview. See the PROIT screen entry.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Public facts are found before contact so the respondent is asked to confirm them, not to repeat them.</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See the PROIT entry.</w:t>
            </w:r>
          </w:p>
        </w:tc>
      </w:tr>
    </w:tbl>
    <w:p>
      <w:pPr>
        <w:spacing w:after="120"/>
      </w:pPr>
    </w:p>
    <w:p>
      <w:pPr>
        <w:pStyle w:val="Heading2"/>
      </w:pPr>
      <w:r>
        <w:t xml:space="preserve">6.3 Pre-Interview Profile (PROIT) and its review screen</w:t>
      </w:r>
    </w:p>
    <w:p>
      <w:pPr>
        <w:spacing w:after="120" w:line="288"/>
      </w:pPr>
      <w:r>
        <w:rPr>
          <w:b/>
          <w:bCs/>
        </w:rPr>
        <w:t xml:space="preserve">Who can open it:</w:t>
      </w:r>
      <w:r>
        <w:t xml:space="preserve"> PI / System Admin, Field / Digital Coordinator, Supervisor.  </w:t>
      </w:r>
      <w:r>
        <w:rPr>
          <w:b/>
          <w:bCs/>
        </w:rPr>
        <w:t xml:space="preserve">Where:</w:t>
      </w:r>
      <w:r>
        <w:t xml:space="preserve"> </w:t>
      </w:r>
      <w:r>
        <w:rPr>
          <w:rFonts w:ascii="Consolas" w:cs="Consolas" w:eastAsia="Consolas" w:hAnsi="Consolas"/>
          <w:b w:val="false"/>
          <w:bCs w:val="false"/>
          <w:color w:val="122238"/>
          <w:sz w:val="19"/>
          <w:szCs w:val="19"/>
        </w:rPr>
        <w:t xml:space="preserve">(panel on the case page) · /admin/proit/{id}</w:t>
      </w:r>
    </w:p>
    <w:p>
      <w:pPr>
        <w:spacing w:after="120" w:line="288"/>
      </w:pPr>
      <w:r>
        <w:t xml:space="preserve">Records what is publicly known about an organisation and its respondent, each fact with a source, so the interview confirms facts instead of asking for them again. Never a private or inferred fact.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Start background research</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Creates the pre-profile for this case.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Research is recorded only when someone deliberately starts it for a case.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panel opens with an empty list of background fields.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Research with AI / Research again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searches public sources for the organisation and the respondent's published professional role, and proposes background facts. It works in the background for a few minutes; you can leave the page.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what is already public is slow desk work; the AI does the searching so the interview can confirm facts instead of asking for them. It only proposes, never records.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list of proposals appears under “To review”, and a list of what was not found publicly. The organisation name, and the respondent's name and role, are sent to the AI provider's search; never contact details.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Proposed value (editable)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The fact the AI found, in plain words. Edit it if the wording needs correcting.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researcher is responsible for what enters the profile, so the wording is theirs to fix.</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changes until you select Accept.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Proposal sources (title, publisher, date, tier, quote)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source the AI used, each with a short exact quote. Select the title to open the page and check it.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Only pages the search actually returned can be cited, so there are no invented references. Checking the page is how you confirm it is the right organisation. An organisation's own social-media page may appear, always as Tier 4; personal profiles never do.</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page opens in a new tab.</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Accept (a proposal)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Puts the fact into the profile as a background field, with all its sources and your name as the person who accepted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fact needs a source and a person's decision before it can reach a respondent. If you edited the wording it is recorded as “accepted with edits”.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field appears in the profile with its sources; the proposal moves to “Already decided”. It still needs the lock.</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Reject (a proposal)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Discards the proposal, for example when it is a different organisation with a similar name.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wrong fact put to a respondent damages trust and the data.</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proposal is marked rejected; nothing enters the profile.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Not found publicly: ask the respondent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Lists the fields the AI could not find in any public source.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are the questions to ask in full at the interview, so the respondent is not asked what is already public.</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Add any you find yourself with “Add a background field”.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Add a background field (Select a field, What was found, Add field)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Adds one fact, for example a working capital facility, from a fixed catalogue of allowed fields.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Only listed, documented kinds of fact can be recorded; health, religion, ethnicity, politics and inferred finances are never collected.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field appears in the list, waiting for a source.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Add source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Attaches the source that shows the fact (for example a registry entry).</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fact with a documentary value needs at least one source so it can be checked.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source is listed under the field.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Insert suggestion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Inserts a suggested probe question for the chosen role, using your evidence.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writing role-specific questions from scratch and keeps interviews consistent.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suggestion is added above for you to keep, edit or delete.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Gap-engine notes: Known, Unknown, Contradictions, Priority probe questions, Role-specific module, short form → Save gap-engine notes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what is already established, what is missing, where sources disagree, and what to ask first.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Focuses the interview on real gaps and reduces the burden on the respondent.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notes are saved; the panel shows how many background questions became verifications.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Lock pre-profile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Finalises the profile.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locked profile is the version the interview is planned from; it cannot be quietly changed afterwards. It cannot be locked while a fact still has no source.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profile becomes read-only.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Researcher review screen (link)</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a one-page summary: case, organisation, evidence, bankability context, gap summary and interview plan.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One readable page for the researcher to read before the interview.</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sensitive items to avoid are listed at the bottom.</w:t>
            </w:r>
          </w:p>
        </w:tc>
      </w:tr>
    </w:tbl>
    <w:p>
      <w:pPr>
        <w:spacing w:after="120"/>
      </w:pPr>
    </w:p>
    <w:p>
      <w:pPr>
        <w:pStyle w:val="Heading2"/>
      </w:pPr>
      <w:r>
        <w:t xml:space="preserve">6.4 Interview sheet (verifying a locked profile)</w:t>
      </w:r>
    </w:p>
    <w:p>
      <w:pPr>
        <w:spacing w:after="120" w:line="288"/>
      </w:pPr>
      <w:r>
        <w:rPr>
          <w:b/>
          <w:bCs/>
        </w:rPr>
        <w:t xml:space="preserve">Who can open it:</w:t>
      </w:r>
      <w:r>
        <w:t xml:space="preserve"> PI / System Admin, Field / Digital Coordinator, Contact RA, KII RA, Supervisor.  </w:t>
      </w:r>
      <w:r>
        <w:rPr>
          <w:b/>
          <w:bCs/>
        </w:rPr>
        <w:t xml:space="preserve">Where:</w:t>
      </w:r>
      <w:r>
        <w:t xml:space="preserve"> </w:t>
      </w:r>
      <w:r>
        <w:rPr>
          <w:rFonts w:ascii="Consolas" w:cs="Consolas" w:eastAsia="Consolas" w:hAnsi="Consolas"/>
          <w:b w:val="false"/>
          <w:bCs w:val="false"/>
          <w:color w:val="122238"/>
          <w:sz w:val="19"/>
          <w:szCs w:val="19"/>
        </w:rPr>
        <w:t xml:space="preserve">(on the case page, and on the KII record)</w:t>
      </w:r>
    </w:p>
    <w:p>
      <w:pPr>
        <w:spacing w:after="120" w:line="288"/>
      </w:pPr>
      <w:r>
        <w:t xml:space="preserve">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Status (Verified x of y · settled x of y / Reconciled)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how many facts have been verified with the respondent and how many are settled. It reads Reconciled when all are.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case is not complete until every fact is verified and, where corrected, reconciled.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It updates as answers are saved.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Confirm / Confirm, then probe / Ask (label on each row)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Tells you what to do with that row: confirm a public fact, confirm it and probe (sources disagree), or ask the question in full because nothing reliable is public.</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Asking only what is not public reduces the burden on the respondent.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Public source says (with source links)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the public fact and where it came from. A weak source's value is hidden and the row says to ask in full.</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weak or uncorroborated fact must never be put to a respondent as if it were established.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Select a source to open it.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What the respondent said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the answer: confirmed, corrected, partly correct or out of date, does not know, prefers not to say, or does not apply. For a gap, “They told us”.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respondent's answer is kept separately from the public value and never replaces it; that separation is what lets the analysis compare the two.</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is saved until Save answer.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Their answer / Comment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what the respondent said when they corrected or supplied a value, and any comment.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exact answer is the research data; the comment explains it.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Kept with the row.</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Save answer</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answer for that fact.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Each answer is recorded as it is given, so nothing depends on memory after the interview.</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status updates; “Recorded: …” appears under the row. A correction shows “Differs from the public source”.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Differs from the public source (label)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Marks a fact the respondent corrected or qualified.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Contradictions between public sources and respondents are findings, not errors to hide.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The coordinator reconciles it.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Interview finished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that the interview and its verification are over, so reconciliation can begin.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Separates what was said in the interview from the researcher's later coding.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It shows the time it was recorded.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Reconciled value (required) → Save reconciled value</w:t>
            </w:r>
            <w:r>
              <w:rPr>
                <w:b w:val="false"/>
                <w:bCs w:val="false"/>
                <w:sz w:val="19"/>
                <w:szCs w:val="19"/>
              </w:rPr>
              <w:t xml:space="preserve"> (the PI, the Field Coordinator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The coordinator or PI types the value that is coded for analysis, where the respondent corrected, qualified, did not know or declined. Not needed for a plain confirmation.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reconciled value is the researcher's coded position; it never overwrites the public value or the respondent's answer.</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fact becomes settled. When all are, the status reads Reconciled.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a protocol deviation</w:t>
            </w:r>
            <w:r>
              <w:rPr>
                <w:b w:val="false"/>
                <w:bCs w:val="false"/>
                <w:sz w:val="19"/>
                <w:szCs w:val="19"/>
              </w:rPr>
              <w:t xml:space="preserve"> (the PI, the Field Coordinator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Releases the case when reconciliation truly cannot be finished, after you give the reason.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lost respondent must not block a completed interview forever, but the exception has to be visible and explained.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is released and stays flagged, with the reason kept.</w:t>
            </w:r>
          </w:p>
        </w:tc>
      </w:tr>
    </w:tbl>
    <w:p>
      <w:pPr>
        <w:spacing w:after="120"/>
      </w:pPr>
    </w:p>
    <w:p>
      <w:pPr>
        <w:pStyle w:val="Heading2"/>
      </w:pPr>
      <w:r>
        <w:t xml:space="preserve">6.5 Register Organisation</w:t>
      </w:r>
    </w:p>
    <w:p>
      <w:pPr>
        <w:spacing w:after="120" w:line="288"/>
      </w:pPr>
      <w:r>
        <w:rPr>
          <w:b/>
          <w:bCs/>
        </w:rPr>
        <w:t xml:space="preserve">Who can open it:</w:t>
      </w:r>
      <w:r>
        <w:t xml:space="preserve"> PI / System Admin, Field / Digital Coordinator, Supervisor.  </w:t>
      </w:r>
      <w:r>
        <w:rPr>
          <w:b/>
          <w:bCs/>
        </w:rPr>
        <w:t xml:space="preserve">Where:</w:t>
      </w:r>
      <w:r>
        <w:t xml:space="preserve"> </w:t>
      </w:r>
      <w:r>
        <w:rPr>
          <w:rFonts w:ascii="Consolas" w:cs="Consolas" w:eastAsia="Consolas" w:hAnsi="Consolas"/>
          <w:b w:val="false"/>
          <w:bCs w:val="false"/>
          <w:color w:val="122238"/>
          <w:sz w:val="19"/>
          <w:szCs w:val="19"/>
        </w:rPr>
        <w:t xml:space="preserve">/admin/organisations</w:t>
      </w:r>
    </w:p>
    <w:p>
      <w:pPr>
        <w:spacing w:after="120" w:line="288"/>
      </w:pPr>
      <w:r>
        <w:t xml:space="preserve">Adds an organisation that is not already in the sample and gives it a Master ID and, if wanted, a sample case.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Name, District, Province, Entity type, Actor family, Value chain, Size class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Describe the organisation. Name is required.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are the sample's design dimensions (province × organisation type × size) so the new organisation lands in the right stratum.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is saved until you select Register organisation.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Register organisation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organisation.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Master ID is generated automatically from the province, so IDs are never typed or reused.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“{name} registered — {Master ID}” appears with the option to create its case.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Sample type (Main / Reserve) and Create sample case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Creates the organisation's case as a Main or a Reserve case.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Only an organisation with a case can be worked; Reserve cases start locked.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is created with a Sample ID; a link to the Main-400 Register appears.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name, Master ID, district or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of registered organisations, also by a phone or WhatsApp number on any of their cases. A phone number can be typed any way (0772 123 456, +263772123456 or 772123456): it finds the record whose number on file has those digits.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Avoids registering the same organisation twice.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organisations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Create sample case (per row)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Creates a case later for an organisation registered without one.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Registering and creating the case are separate steps so neither is forced.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is created.</w:t>
            </w:r>
          </w:p>
        </w:tc>
      </w:tr>
    </w:tbl>
    <w:p>
      <w:pPr>
        <w:spacing w:after="120"/>
      </w:pPr>
    </w:p>
    <w:p>
      <w:pPr>
        <w:pStyle w:val="Heading2"/>
      </w:pPr>
      <w:r>
        <w:t xml:space="preserve">6.6 Appointment Queue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/admin/appointments</w:t>
      </w:r>
    </w:p>
    <w:p>
      <w:pPr>
        <w:spacing w:after="120" w:line="288"/>
      </w:pPr>
      <w:r>
        <w:t xml:space="preserve">Calls that respondents have asked for, and their progress.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Filter by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all appointments, or only Requested, Confirmed, Completed, Missed or Cancelled.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Coordinators mostly need the ones still to be acted on.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changes and returns to page 1.</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CONFIRMED / CANCELLED (on a Requested appointment)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Confirm the time with the respondent and select CONFIRMED, or CANCELLED if it will not happen.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respondent's request is only a request until a person confirms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appointment's status changes.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COMPLETED / MISSED / CANCELLED (on a Confirmed appointment)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 what happened at the appointment time.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Missed calls need to be rescheduled and counted; completed ones move the case forward.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changes; finished appointments show no more buttons.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6.7 Follow-ups due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/admin/follow-ups</w:t>
      </w:r>
    </w:p>
    <w:p>
      <w:pPr>
        <w:spacing w:after="120" w:line="288"/>
      </w:pPr>
      <w:r>
        <w:t xml:space="preserve">Approved reminders (on day 2 and day 7 after an invitation) for invited cases that have not responded, and below them the invitations that have run out and need a new one.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Case link (Sample ID)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case the reminder is for.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you check the case before you send.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page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Open in WhatsApp</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WhatsApp with the reminder text already written for that respondent.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Reminders are sent by a person from the study's WhatsApp account: nothing is sent automatically, so a person always decides.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opens with the message. If the button says “Open WhatsApp (choose contact)”, there is no mobile number on file (WhatsApp can't reach a landline): phone them, or pick the contact in WhatsApp and add the mobile on the case afterwards.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Invitations that have run out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Cases still waiting whose link has expired, or whose last invitation was revoked or replaced.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reminder would point at a link that no longer works.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the Sample ID and send a new invitation from the case page; the case leaves the list and the reminders start again.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Mark as sent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Tells the portal you sent the reminder.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Otherwise the same reminder stays due and could be sent twice.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It is recorded as sent by you and leaves the list.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Asked, no reply yet: phone them</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Organisations sent the introduction and its reminder with no answer, or whose introduction could not be delivered.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Automatic messages have done all they can; a call is next.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the Sample ID; if they agree on the phone, send the invitation from the case page.</w:t>
            </w:r>
          </w:p>
        </w:tc>
      </w:tr>
    </w:tbl>
    <w:p>
      <w:pPr>
        <w:spacing w:after="120"/>
      </w:pPr>
    </w:p>
    <w:p>
      <w:pPr>
        <w:pStyle w:val="Heading2"/>
      </w:pPr>
      <w:r>
        <w:t xml:space="preserve">6.8 Communications</w:t>
      </w:r>
    </w:p>
    <w:p>
      <w:pPr>
        <w:spacing w:after="120" w:line="288"/>
      </w:pPr>
      <w:r>
        <w:rPr>
          <w:b/>
          <w:bCs/>
        </w:rPr>
        <w:t xml:space="preserve">Who can open it:</w:t>
      </w:r>
      <w:r>
        <w:t xml:space="preserve"> PI / System Admin, Field / Digital Coordinator, Contact RA,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/admin/communications</w:t>
      </w:r>
    </w:p>
    <w:p>
      <w:pPr>
        <w:spacing w:after="120" w:line="288"/>
      </w:pPr>
      <w:r>
        <w:t xml:space="preserve">Every message to and from participants in one place: WhatsApp, SMS and email the portal sent, with what happened to each one; WhatsApp messages and email replies received; and the events around them (invitations, the link opened, consent, the questionnaire submitted, follow-ups and calls). A Contact RA sees their own cases, a KII RA the KII records. It replaced Conversations.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Channel cards (WhatsApp, SMS, Email)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Whether each channel is switched on, what is holding it back, and the last seven days' messages.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WhatsApp shows how many templates Meta has approved: until they are, WhatsApp messages the study sends first are refused.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“N of 6 templates approved” for each template's status; select Not delivered to list the conversations whose last message failed.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Waiting / Not delivered / All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conversation list.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Waiting lists people who wrote and need an answer; Not delivered lists conversations whose last message did not arrive.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changes. Search, register and channel narrow it further.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Delivery ticks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One grey tick: sent. Two grey ticks: delivered to the phone. Two blue ticks: read. Red “!”: not delivered, with the reason underneath.</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you know whether a message actually reached them before you chase.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Email only shows sent, or not delivered when it bounces.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Sent by hand from the study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Invitations and reminders sent with Open in WhatsApp.</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portal can't see those reach the phone, so they say “no delivery report”.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to do: it is a record.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WhatsApp / Email / SMS (writing)</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Write to them on a channel and select Send.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Answer from the screen itself; the study's WhatsApp number is on no phone.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Sent and recorded under your name. WhatsApp only within 24 hours of their own last WhatsApp message (otherwise send the introduction or an invitation); SMS once a sender is registered; email to an address on the record. Words like “approved” or “guarantee” are refused.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Mark handled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that what they wrote has been dealt with.</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 colleagues don't answer it twice. Replying does this for you.</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It leaves Waiting, with your name and the time.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Numbers not on any record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WhatsApp messages from numbers on no case or KII record (PI, Field Coordinator, Supervisor).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Someone may have a new phone; add the number to their case and later messages join their conversation.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Reply within 24 hours, or mark handled.</w:t>
            </w:r>
          </w:p>
        </w:tc>
      </w:tr>
    </w:tbl>
    <w:p>
      <w:pPr>
        <w:spacing w:after="120"/>
      </w:pPr>
    </w:p>
    <w:p>
      <w:pPr>
        <w:pStyle w:val="Heading2"/>
      </w:pPr>
      <w:r>
        <w:t xml:space="preserve">6.9 Reserve Activation</w:t>
      </w:r>
    </w:p>
    <w:p>
      <w:pPr>
        <w:spacing w:after="120" w:line="288"/>
      </w:pPr>
      <w:r>
        <w:rPr>
          <w:b/>
          <w:bCs/>
        </w:rPr>
        <w:t xml:space="preserve">Who can open it:</w:t>
      </w:r>
      <w:r>
        <w:t xml:space="preserve"> PI / System Admin, Field / Digital Coordinator, Supervisor.  </w:t>
      </w:r>
      <w:r>
        <w:rPr>
          <w:b/>
          <w:bCs/>
        </w:rPr>
        <w:t xml:space="preserve">Where:</w:t>
      </w:r>
      <w:r>
        <w:t xml:space="preserve"> </w:t>
      </w:r>
      <w:r>
        <w:rPr>
          <w:rFonts w:ascii="Consolas" w:cs="Consolas" w:eastAsia="Consolas" w:hAnsi="Consolas"/>
          <w:b w:val="false"/>
          <w:bCs w:val="false"/>
          <w:color w:val="122238"/>
          <w:sz w:val="19"/>
          <w:szCs w:val="19"/>
        </w:rPr>
        <w:t xml:space="preserve">/admin/reserve</w:t>
      </w:r>
    </w:p>
    <w:p>
      <w:pPr>
        <w:spacing w:after="120" w:line="288"/>
      </w:pPr>
      <w:r>
        <w:t xml:space="preserve">Where a locked Reserve case is activated to replace a Main case that has dropped out: automatically every morning once the PI switches it on, or by hand.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Automatic replacement: outcomes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Tick which outcomes replace a Main case: Refused, Nonresponse exhausted, No reply to the introduction, Ineligible, Duplicate/inactive.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are the authorised reasons; nothing else ever activates a Reserve.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Shows how many Main cases those outcomes would replace at the next 08:00 run. Only the PI can change it.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Switch on automatic replacement (PI)</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morning at 08:00 each such Main case has its own paired Reserve activated and introduced on WhatsApp; a YES sends the invitation link.</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Replaces drop-outs without waiting for someone to do it by hand, while every activation is still recorded under the PI's standing authorisation, with its reason and what happened.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panel shows On and who switched it on. At most the daily limit (20 unless changed) are activated a day. Switch off stops it at once.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Replaced automatically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Each replacement: when, the Main case, the reason, the Reserve, and how contact stands.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you can see which Reserves said yes, said no, did not reply, or need contact details found.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a Sample ID to open the case. “Needs contact details” means no mobile was on record: add one, then send the introduction or an invitation.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ID, organisation or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Finds a locked Reserve case, also by a phone number on file.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There are 400 locked cases.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cases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Select authorised reason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Chooses why: Ineligible, Inactive, Duplicate, Refusal or Nonresponse exhausted.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Reserve case is a scarce, matched replacement. Only these reasons are allowed so replacement cannot be used to swap in a friendlier organisation.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 you also need an evidence note.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Evidence note (required)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Write what shows the reason is true.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activation must be defensible later, in the dissertation or an audit.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 select Activate.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Activate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Unlocks the Reserve case so it can be invited.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one controlled way a Reserve case becomes usable. The reason, note and your name are kept.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leaves the locked list and can be invited; the activation is audited.</w:t>
            </w:r>
          </w:p>
        </w:tc>
      </w:tr>
    </w:tbl>
    <w:p>
      <w:pPr>
        <w:spacing w:after="120"/>
      </w:pPr>
    </w:p>
    <w:p>
      <w:pPr>
        <w:pStyle w:val="Heading1"/>
        <w:pageBreakBefore/>
      </w:pPr>
      <w:r>
        <w:t xml:space="preserve">7. Quality checking</w:t>
      </w:r>
    </w:p>
    <w:p>
      <w:pPr>
        <w:pStyle w:val="Heading2"/>
      </w:pPr>
      <w:r>
        <w:t xml:space="preserve">7.1 QA Queue (with the KoboToolbox sync panel)</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/admin/qa</w:t>
      </w:r>
    </w:p>
    <w:p>
      <w:pPr>
        <w:spacing w:after="120" w:line="288"/>
      </w:pPr>
      <w:r>
        <w:t xml:space="preserve">Every completed questionnaire waits here for a human quality decision. Nothing is ever passed automatically.</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KoboToolbox sync → Sync now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Pulls completed questionnaires from KoboToolbox right now, instead of waiting for the automatic check (every 15 minutes).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KoboToolbox is where the questionnaire is answered; the portal has to fetch what was submitted. A new or edited submission enters the queue when it is fetched.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summary shows how many were new or changed. “Not connected” or “Last sync failed” explains a problem; the automatic check keeps trying.</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Note (required)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Write what you checked and found (for example “duration 28 min plausible, no duplicate”).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decision nobody explained looks the same as one nobody made; the note is what a later reviewer relies 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decision buttons stay off until there is a note.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Accept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submission passed quality checking.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Only a person can pass a questionnaire; even one that triggered no rule is not passed until someone accepts it. If the case has a locked pre-interview profile, every fact on it must first be verified with the respondent and reconciled (or a deviation recorded).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submission is marked QA passed, the case moves on, and the decision is audited. If the profile is not reconciled you are told how many facts are outstanding, and nothing changes.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Re-query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Sends the submission back with a question about what needs confirming or fixing.</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Some problems (an odd answer, a very short time) need the respondent or interviewer to clarify before a decision.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submission is marked as queried and the case moves to “QA query”. If the answers are edited in KoboToolbox, the next sync puts it back in the queue.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Reject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submission fails and will not be used.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Fabricated, duplicate or unusable data must be kept out of the analysis, but never silently deleted.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submission is marked rejected. It is kept and the decision and your note are audited.</w:t>
            </w:r>
          </w:p>
        </w:tc>
      </w:tr>
    </w:tbl>
    <w:p>
      <w:pPr>
        <w:spacing w:after="120"/>
      </w:pPr>
    </w:p>
    <w:p>
      <w:pPr>
        <w:pStyle w:val="Heading2"/>
      </w:pPr>
      <w:r>
        <w:t xml:space="preserve">7.2 QA Exceptions</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/admin/qa/exceptions</w:t>
      </w:r>
    </w:p>
    <w:p>
      <w:pPr>
        <w:spacing w:after="120" w:line="288"/>
      </w:pPr>
      <w:r>
        <w:t xml:space="preserve">Flags the automatic quality rules raised (for example a very short completion time). Each waits for someone to deal with it and explain what was done.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Only mine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just the exceptions assigned to you.</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each QA person work their own list.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narrows and returns to page 1.</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Include resolved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Also shows exceptions that were already closed.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Useful for checking what was done before, or how similar flags were handled.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Closed exceptions appear with who closed them, when and why.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Assign to</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Chooses who deals with the exception, or Unassigned.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each flag has an owner and none is left for “someone”.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exception appears in that person's “Only mine” list.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What was done about it? (required to close)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Write what you did (what you checked, who you contacted).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closure nobody explained looks the same as one nobody looked at.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two closing buttons stay off until there is a note.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Resolved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Closes the exception because you dealt with a real problem.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Distinguishes “there was a problem and it was fixed” from a false alarm, so rules can be tuned.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exception is closed with your name, the time and your note.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Not a real problem</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Closes the exception because the flag was a false alarm.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False alarms are information too: many of them means a rule threshold may be wrong.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exception is closed as dismissed, with your note.</w:t>
            </w:r>
          </w:p>
        </w:tc>
      </w:tr>
    </w:tbl>
    <w:p>
      <w:pPr>
        <w:spacing w:after="120"/>
      </w:pPr>
    </w:p>
    <w:p>
      <w:pPr>
        <w:pStyle w:val="Heading1"/>
        <w:pageBreakBefore/>
      </w:pPr>
      <w:r>
        <w:t xml:space="preserve">8. Key Informant Interviews</w:t>
      </w:r>
    </w:p>
    <w:p>
      <w:pPr>
        <w:pStyle w:val="Heading2"/>
      </w:pPr>
      <w:r>
        <w:t xml:space="preserve">8.1 KII Register</w:t>
      </w:r>
    </w:p>
    <w:p>
      <w:pPr>
        <w:spacing w:after="120" w:line="288"/>
      </w:pPr>
      <w:r>
        <w:rPr>
          <w:b/>
          <w:bCs/>
        </w:rPr>
        <w:t xml:space="preserve">Who can open it:</w:t>
      </w:r>
      <w:r>
        <w:t xml:space="preserve"> PI / System Admin, Field / Digital Coordinator,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/admin/kii</w:t>
      </w:r>
    </w:p>
    <w:p>
      <w:pPr>
        <w:spacing w:after="120" w:line="288"/>
      </w:pPr>
      <w:r>
        <w:t xml:space="preserve">All Key Informant Interview records. Each record identifies a real person, so nothing here leaves the study team.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New KII record</w:t>
            </w:r>
            <w:r>
              <w:rPr>
                <w:b w:val="false"/>
                <w:bCs w:val="false"/>
                <w:sz w:val="19"/>
                <w:szCs w:val="19"/>
              </w:rPr>
              <w:t xml:space="preserve"> (the PI, the Field Coordinator, KII RAs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form to create a KII record.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Each interview gets its own record and KII ID from the start of contact.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New KII Record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KII ID, name, role or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as you type, also by the record's phone or WhatsApp number, including additional numbers. A phone number can be typed any way (0772 123 456, +263772123456 or 772123456): it finds the record whose number on file has those digits.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one participant among dozens, or an informant who rings or messages back.</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records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Send KII invitations: From (Core-60, Reserve-30, Additional organisations, Named informants only), Send by (Email, SMS, WhatsApp), Next in line, How many, Review and send, Send N invitations</w:t>
            </w:r>
            <w:r>
              <w:rPr>
                <w:b w:val="false"/>
                <w:bCs w:val="false"/>
                <w:sz w:val="19"/>
                <w:szCs w:val="19"/>
              </w:rPr>
              <w:t xml:space="preserve"> (the PI, the Field Coordinator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Sends one self-service link, with its own code, to that many KII records never invited (PROSPECT) with a contact and no open link, Core-60 first, on every chosen way each has a contact for. Up to 100 a batch, inside the same daily limits as Main-400 invitations.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Sending links record by record is slow, and an organisation can be missed. Every link goes through the same sending path as the record's own buttons, so the wording and audit trail are the same.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step first. Then progress and the result, record by record. Each sent record moves to INVITED; one where nothing got through is left as it was. WhatsApp is refused while Meta has not approved the KII template.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Send KII invitations → How: Ask first (introduction) / Send the invitation now</w:t>
            </w:r>
            <w:r>
              <w:rPr>
                <w:b w:val="false"/>
                <w:bCs w:val="false"/>
                <w:sz w:val="19"/>
                <w:szCs w:val="19"/>
              </w:rPr>
              <w:t xml:space="preserve"> (the PI, the Field Coordinator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Ask first sends the KII introduction to that many records never invited with a mobile and no introduction yet, Core-60 first; a YES sends each link by itself. Send the invitation now sends the links straight away.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batch of introductions reaches many informants at once while only those who say yes get a link.</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step first, then progress and the result, record by record.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Asked, no reply: phone them</w:t>
            </w:r>
            <w:r>
              <w:rPr>
                <w:b w:val="false"/>
                <w:bCs w:val="false"/>
                <w:sz w:val="19"/>
                <w:szCs w:val="19"/>
              </w:rPr>
              <w:t xml:space="preserve"> (the PI, the Field Coordinator, KII RAs, Supervisors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KII informants who got the introduction and a reminder but never answered, or whose introduction could not be delivered. Shown only when there are some.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are the people to phone; nobody else needs chasing.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Open the record from the list; if they agree on the phone, send their link from the record.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Needs reconciling</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KII informants who finished the KII Guide but corrected a background fact, answered an open question, or skipped the fact check. Shown only when there are some.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Everything else an informant does with their own link is recorded by itself (invited, consent, declined, completed, coding); this list is the only place a person is needed.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Open the record's Interview sheet and record the final value for each, or a protocol deviation if it can't be settled. Coding completes by itself once they are all done.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How many records, Find contacts</w:t>
            </w:r>
            <w:r>
              <w:rPr>
                <w:b w:val="false"/>
                <w:bCs w:val="false"/>
                <w:sz w:val="19"/>
                <w:szCs w:val="19"/>
              </w:rPr>
              <w:t xml:space="preserve"> (the PI, the Field Coordinator, KII RAs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Starts an AI contact search for that many KII records (up to 25, in KII ID order) that are not yet interviewed or declined and have no phone, WhatsApp or email. A record searched in the last 30 days is skipped.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Most KII records start with no contact details; searching each organisation by hand is slow.</w:t>
            </w:r>
          </w:p>
        </w:tc>
        <w:tc>
          <w:tcPr>
            <w:tcW w:type="dxa" w:w="2071"/>
            <w:tcMar>
              <w:top w:type="dxa" w:w="70"/>
              <w:left w:type="dxa" w:w="110"/>
              <w:bottom w:type="dxa" w:w="70"/>
              <w:right w:type="dxa" w:w="110"/>
            </w:tcMar>
            <w:vAlign w:val="top"/>
          </w:tcPr>
          <w:p>
            <w:pPr>
              <w:spacing w:after="40"/>
            </w:pPr>
            <w:r>
              <w:rPr>
                <w:b w:val="false"/>
                <w:bCs w:val="false"/>
                <w:sz w:val="19"/>
                <w:szCs w:val="19"/>
              </w:rPr>
              <w:t xml:space="preserve">“Queued N searches”, then a progress line while they run one at a time. The button stays locked until the batch has finished. Nothing is saved by the batch.</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 Findings to review → Review N findings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every KII record whose findings are waiting for a decision, and opens the chosen record.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batch finishes one record at a time; this is where to pick up what has come in.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KII record opens at its findings.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Import background research (ChatGPT workbook): Check file, Import N records</w:t>
            </w:r>
            <w:r>
              <w:rPr>
                <w:b w:val="false"/>
                <w:bCs w:val="false"/>
                <w:sz w:val="19"/>
                <w:szCs w:val="19"/>
              </w:rPr>
              <w:t xml:space="preserve"> (the PI, the Field Coordinator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Reads the Excel file ChatGPT returned from the KII research pack and adds its contacts and PROIT facts as suggestions for review on each record, and its interview notes to the PROIT gap engine. Check file shows what would be added and keeps nothing.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Typing about 30 researched facts per organisation for 90 organisations by hand is slow and error-prone; review stays one click per fact.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table per KII ID with links to each record. Nothing reaches a record until someone accepts it; locked profiles are never changed.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Manage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KII record.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All work on an interview happens on its own record.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KII record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8.2 New KII Record</w:t>
      </w:r>
    </w:p>
    <w:p>
      <w:pPr>
        <w:spacing w:after="120" w:line="288"/>
      </w:pPr>
      <w:r>
        <w:rPr>
          <w:b/>
          <w:bCs/>
        </w:rPr>
        <w:t xml:space="preserve">Who can open it:</w:t>
      </w:r>
      <w:r>
        <w:t xml:space="preserve"> PI / System Admin, Field / Digital Coordinator, KII RA.  </w:t>
      </w:r>
      <w:r>
        <w:rPr>
          <w:b/>
          <w:bCs/>
        </w:rPr>
        <w:t xml:space="preserve">Where:</w:t>
      </w:r>
      <w:r>
        <w:t xml:space="preserve"> </w:t>
      </w:r>
      <w:r>
        <w:rPr>
          <w:rFonts w:ascii="Consolas" w:cs="Consolas" w:eastAsia="Consolas" w:hAnsi="Consolas"/>
          <w:b w:val="false"/>
          <w:bCs w:val="false"/>
          <w:color w:val="122238"/>
          <w:sz w:val="19"/>
          <w:szCs w:val="19"/>
        </w:rPr>
        <w:t xml:space="preserve">/admin/kii/new</w:t>
      </w:r>
    </w:p>
    <w:p>
      <w:pPr>
        <w:spacing w:after="120" w:line="288"/>
      </w:pPr>
      <w:r>
        <w:t xml:space="preserve">Starts the record for one interview.</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Stakeholder category, Participant name, Participant role, Preferred mode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Say who the participant is and how they prefer to be interviewed.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category places the interview in the KII design; the name and role are needed to arrange it. They stay in the portal and are never put into web addresses.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is saved until you select Create KII record.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Create KII record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record.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KII ID (for example KII-0026) is generated by the system so it is never typed or reused.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record opens at its starting status, with no consent recorded yet.</w:t>
            </w:r>
          </w:p>
        </w:tc>
      </w:tr>
    </w:tbl>
    <w:p>
      <w:pPr>
        <w:spacing w:after="120"/>
      </w:pPr>
    </w:p>
    <w:p>
      <w:pPr>
        <w:pStyle w:val="Heading2"/>
      </w:pPr>
      <w:r>
        <w:t xml:space="preserve">8.3 KII record</w:t>
      </w:r>
    </w:p>
    <w:p>
      <w:pPr>
        <w:spacing w:after="120" w:line="288"/>
      </w:pPr>
      <w:r>
        <w:rPr>
          <w:b/>
          <w:bCs/>
        </w:rPr>
        <w:t xml:space="preserve">Who can open it:</w:t>
      </w:r>
      <w:r>
        <w:t xml:space="preserve"> PI / System Admin, Field / Digital Coordinator,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/admin/kii/{id}</w:t>
      </w:r>
    </w:p>
    <w:p>
      <w:pPr>
        <w:spacing w:after="120" w:line="288"/>
      </w:pPr>
      <w:r>
        <w:t xml:space="preserve">The whole life of one interview: status, consent, the interview itself, transcript and coding.</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Ask first (introduction) → Send introduction</w:t>
            </w:r>
            <w:r>
              <w:rPr>
                <w:b w:val="false"/>
                <w:bCs w:val="false"/>
                <w:sz w:val="19"/>
                <w:szCs w:val="19"/>
              </w:rPr>
              <w:t xml:space="preserve"> (the PI, the Field Coordinator, KII RAs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Sends the informant a short WhatsApp message about a confidential interview of about 30 minutes, asking whether they will take part (by SMS with a reply link until Meta approves the template). Shown only for a record not yet invited; lists the replies afterwards.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Asking before sending a link is more courteous to senior informants, and only people who say yes get 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Status shows Asked. YES sends the personal link automatically and the record moves to INVITED; NO moves it to DECLINED; anything else waits on Communications.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 Find contact details / Search again</w:t>
            </w:r>
            <w:r>
              <w:rPr>
                <w:b w:val="false"/>
                <w:bCs w:val="false"/>
                <w:sz w:val="19"/>
                <w:szCs w:val="19"/>
              </w:rPr>
              <w:t xml:space="preserve"> (the PI, the Field Coordinator, KII RAs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Searches public sources for the organisation's published phone, email and website and the informant's work contact where their organisation publishes it; for an unidentified record, who holds the role.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record needs a phone or email before the informant can be sent a link.</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Findings appear under “To review”, each with its page and quoted passage. Only the organisation's name and type and the informant's name and role are sent to the AI provider.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 Accept / Reject</w:t>
            </w:r>
            <w:r>
              <w:rPr>
                <w:b w:val="false"/>
                <w:bCs w:val="false"/>
                <w:sz w:val="19"/>
                <w:szCs w:val="19"/>
              </w:rPr>
              <w:t xml:space="preserve"> (the PI, the Field Coordinator, KII RAs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Accept puts the finding on the record: a phone or email fills Phone or Email (never over a different one); a person found for an unidentified record replaces its name and role; a website is kept with the record. Reject discards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only proposes; a person checks the page and decides.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finding moves to “Already decided”, and Record details shows the new values.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Status buttons (INVITED, SCHEDULED, COMPLETED, DECLINED, NO_SHOW)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Move the interview to the next status as things happen. Only valid next statuses are shown: a prospect can be invited or decline; an invited person scheduled or decline; a scheduled interview completed, no-show or decline; a no-show can be rescheduled.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status should only follow what really happened, and COMPLETED, DECLINED are final.</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status changes and is audited. A final status shows no more buttons.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Recording made (tick box, when marking COMPLETED)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Tick it only if the interview was audio-recorded.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recorded interview needs the participant's separate recording consent; the portal refuses to complete it as recorded without that.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If recording consent is missing you are told, and the status does not change.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participation consent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that the participant agreed to take part, after you read or summarised the information sheet.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Nobody is interviewed without consent. The interview link stays hidden until this is recorded.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consent is recorded (with the information sheet version). Continue this interview appears.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Record recording consent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participant agreed to be audio-recorded.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Recording consent is always a separate decision; it is never assumed from taking part.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Recording consent is recorded and a recorded interview can be completed.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Continue this interview</w:t>
            </w:r>
            <w:r>
              <w:rPr>
                <w:b w:val="false"/>
                <w:bCs w:val="false"/>
                <w:sz w:val="19"/>
                <w:szCs w:val="19"/>
              </w:rPr>
              <w:t xml:space="preserve"> (the PI, the Field Coordinator, KII RAs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KoboToolbox KII Guide in a new tab with this record's KII ID already filled in.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 the completed form always matches this record and the ID can never be mistyped. Only the ID and your username are sent, never the participant's name.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KoboToolbox form opens. When submitted, the completed form appears under Completed KII form.</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Transcript status (NOT_STARTED, IN_PROGRESS, VERIFIED, ANONYMISED)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 how far the transcript has got.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transcript must be verified and anonymised before it can be analysed or quoted.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changes and cannot go backwards.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Coding status (NOT_STARTED, IN_PROGRESS, COMPLETE)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how far the coding has got. It moves to COMPLETE by itself when the completed KII Guide is synced for this KII ID.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what has and has not been analysed. If the interview had a locked pre-interview profile, COMPLETE is refused until it is reconciled; a synced KII Guide then completes it at the next sync.</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status changes and cannot go backwards. If the profile is not reconciled you are told what is outstanding.</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Completed KII form → Download PDF</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the completed KII Guide for this record as a readable PDF.</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readable copy without opening KoboToolbox.</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PDF downloads; the download is audited.</w:t>
            </w:r>
          </w:p>
        </w:tc>
      </w:tr>
    </w:tbl>
    <w:p>
      <w:pPr>
        <w:spacing w:after="120"/>
      </w:pPr>
    </w:p>
    <w:p>
      <w:pPr>
        <w:pStyle w:val="Heading1"/>
        <w:pageBreakBefore/>
      </w:pPr>
      <w:r>
        <w:t xml:space="preserve">9. Documentary evidence</w:t>
      </w:r>
    </w:p>
    <w:p>
      <w:pPr>
        <w:pStyle w:val="Heading2"/>
      </w:pPr>
      <w:r>
        <w:t xml:space="preserve">9.1 Documents (the corpus)</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w:t>
      </w:r>
    </w:p>
    <w:p>
      <w:pPr>
        <w:spacing w:after="120" w:line="288"/>
      </w:pPr>
      <w:r>
        <w:t xml:space="preserve">The register of documentary evidence (target 50–75 coded, included documents).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New document</w:t>
            </w:r>
            <w:r>
              <w:rPr>
                <w:b w:val="false"/>
                <w:bCs w:val="false"/>
                <w:sz w:val="19"/>
                <w:szCs w:val="19"/>
              </w:rPr>
              <w:t xml:space="preserve"> (the PI, the Field Coordinator, Documentary RAs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New Documentary Evidence Record screen.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source needs a record with a document ID before it can be coded.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New document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title, ID or author</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as you type.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one document in 100 or more.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documents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Manage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document record.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All work on a document happens on its own record.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document record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9.2 New Documentary Evidence Record</w:t>
      </w:r>
    </w:p>
    <w:p>
      <w:pPr>
        <w:spacing w:after="120" w:line="288"/>
      </w:pPr>
      <w:r>
        <w:rPr>
          <w:b/>
          <w:bCs/>
        </w:rPr>
        <w:t xml:space="preserve">Who can open it:</w:t>
      </w:r>
      <w:r>
        <w:t xml:space="preserve"> PI / System Admin, Field / Digital Coordinator, Documentary RA.  </w:t>
      </w:r>
      <w:r>
        <w:rPr>
          <w:b/>
          <w:bCs/>
        </w:rPr>
        <w:t xml:space="preserve">Where:</w:t>
      </w:r>
      <w:r>
        <w:t xml:space="preserve"> </w:t>
      </w:r>
      <w:r>
        <w:rPr>
          <w:rFonts w:ascii="Consolas" w:cs="Consolas" w:eastAsia="Consolas" w:hAnsi="Consolas"/>
          <w:b w:val="false"/>
          <w:bCs w:val="false"/>
          <w:color w:val="122238"/>
          <w:sz w:val="19"/>
          <w:szCs w:val="19"/>
        </w:rPr>
        <w:t xml:space="preserve">/admin/documents/new</w:t>
      </w:r>
    </w:p>
    <w:p>
      <w:pPr>
        <w:spacing w:after="120" w:line="288"/>
      </w:pPr>
      <w:r>
        <w:t xml:space="preserve">Creates a document record. The fastest way is to upload the file and let the AI fill in the record and draft the coding form.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Choose file (Fastest: upload the document)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 the document: PDF, Word, Excel, text or CSV, or a JPG/PNG scan or photo (up to 20 MB).</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can read all of these, so you do not retype details that are already on the first page.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is sent until you select Upload and auto-fill.</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Optional: Title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a title of your own.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 may want a specific name, for example for one chapter of a report.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typed title is kept; the AI does not replace it.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Optional: Pages to read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Enter the pages of a long PDF that make up this evidence unit, for example 290-340.</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reads at most 100 pages at a time, and a long report holds several evidence units.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Only those pages are read. With no title, the AI names the part.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Optional: Read the whole document in parts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Ticks the option to read a PDF longer than 100 pages in parts of about 80 pages, then combine them.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a document you want coded as one unit; slower and dearer, and the ratings need extra checking.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screen shows how many parts and asks you to confirm before it starts.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Upload and auto-fill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Creates the record, uploads the file, and starts the AI: first it fills in the record's details, then it drafts the whole coding form.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Saves typing every detail and every answer; a person still reviews and submits.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review screen opens and shows “Step 1 of 2… Step 2 of 2”. If the file cannot be used, nothing is created.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Title, Author / speaker, Source URL / reference, Document type, Geographic scope, Evidence extract → Create document record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The manual way: type the details yourself and save.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a source with no file yet, or when AI drafting is switched off.</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record is created with a document ID (for example DOC-0025) and opens.</w:t>
            </w:r>
          </w:p>
        </w:tc>
      </w:tr>
    </w:tbl>
    <w:p>
      <w:pPr>
        <w:spacing w:after="120"/>
      </w:pPr>
    </w:p>
    <w:p>
      <w:pPr>
        <w:pStyle w:val="Heading2"/>
      </w:pPr>
      <w:r>
        <w:t xml:space="preserve">9.3 Document record</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/admin/documents/{id}</w:t>
      </w:r>
    </w:p>
    <w:p>
      <w:pPr>
        <w:spacing w:after="120" w:line="288"/>
      </w:pPr>
      <w:r>
        <w:t xml:space="preserve">Everything about one document: authenticity, the decision to include it, its file, its details, its coding and its memo.</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Mark verified / Mark disputed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your judgement of whether the document is what it claims to be: the right author, date and content.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Documents are evidence; a forged or doubtful one must not enter the corpus unnoticed. Disputed documents are kept and explained, not deleted.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authenticity changes and is audited. Include becomes available once assessed.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Include / Exclude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Decides whether the document counts in the corpus.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document cannot be Included until authenticity has been assessed, so unassessed evidence never counts.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QA status changes; Include stays greyed out while authenticity is Unverified.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Source file → Choose File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Uploads or replaces the source (up to 20 MB). Replacing removes the old file and any unsubmitted draft made from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record keeps one current source. A draft of the wrong document must never be submitted for the right 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bar shows progress, then the file name appears. With Start Auto-fill ticked, the review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Start Auto-fill as soon as the file is uploaded (tick box)</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When ticked, uploading immediately starts the AI draft.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a step for the common case.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After the upload, the review screen opens and the AI starts reading.</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Remove file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Deletes the source file from the server.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For a wrong upload. It also discards the unsubmitted AI draft made from it; a draft already submitted is kept as the record of what was filed.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names what goes. The record says “No file uploaded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Copy for another chapter (Chapter title, Pages to read, Copy and auto-fill)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Makes another record for a different part of the same source: same author, date, source and type, and its own copy of the file.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long report holds several evidence units, each of which should be coded, judged and exported on its own.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new record is created (and, with AI on, drafted) and opens. Authenticity and inclusion are not copied.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Record details → Save details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Edits the title, author, date, source, scope, value chain and type.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feed Section A of the coding form; if the AI filled them in from the document, this is where you check and correct them.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“Details saved.” The draft and the submission use the corrected values.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Code this document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KoboToolbox Document Analysis Tool with the document ID and details filled in.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coding by hand, or when the AI cannot read the source.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KoboToolbox form opens in a new tab.</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Auto-fill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review screen for the AI draft of the whole coding form.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fast first draft that a person then checks.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Auto-fill review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Interpretive memo → Save memo</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Writes down your reasoning: why authenticity was disputed, how you read the document.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memo is the audit trail of your judgement, needed for the dissertation.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“saved” message; the memo stays on the record.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Completed coding form → Download PDF</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the completed coding form for this document.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readable copy of what was submitted.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PDF downloads (only if a form was submitted with this document ID).</w:t>
            </w:r>
          </w:p>
        </w:tc>
      </w:tr>
    </w:tbl>
    <w:p>
      <w:pPr>
        <w:spacing w:after="120"/>
      </w:pPr>
    </w:p>
    <w:p>
      <w:pPr>
        <w:pStyle w:val="Heading2"/>
      </w:pPr>
      <w:r>
        <w:t xml:space="preserve">9.4 Auto-fill review screen</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/admin/documents/{id}/ai-draft</w:t>
      </w:r>
    </w:p>
    <w:p>
      <w:pPr>
        <w:spacing w:after="120" w:line="288"/>
      </w:pPr>
      <w:r>
        <w:t xml:space="preserve">Where you review the AI's draft of the KoboToolbox coding form, edit it and submit it. Nothing reaches KoboToolbox until you select Submit.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Pages to read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For a PDF over 100 pages, enter the pages that make up this evidence unit.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reads at most 100 pages at a time.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Only those pages are drafted; locators keep the original page numbers.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Read the whole document in parts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Reads the whole PDF (or a long range) in parts of about 80 pages and combines them.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one coding of a long document; costs about the number of parts plus one times an ordinary draft.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You are asked to confirm. Progress shows “Read part 3 of 8”, then “Combining the parts”.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Generate AI draft / Regenerate draft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Starts the AI reading the source. Regenerate replaces the current draft and any unsaved edits.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Each draft is a paid request, so it starts only when you ask; regenerating asks first because it discards your edits.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AI works in the background (usually one to five minutes) and you can leave the page. The draft appears here when ready.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The draft fields (sections A to 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question of the form, with the AI's answer. Edit any grey-free field: text, choices, tick boxes, dates.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drafts; you are responsible for the judgements (strength ratings, hypothesis codes) that are the study's documentary analysis.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Edits are kept in the browser until you select Save changes.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Section A grey fields (DOC ID, author, title, date, source)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Come from the record and cannot be edited here; use “edit the record details”.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draft must agree with the record it is attached to.</w:t>
            </w:r>
          </w:p>
        </w:tc>
        <w:tc>
          <w:tcPr>
            <w:tcW w:type="dxa" w:w="2071"/>
            <w:tcMar>
              <w:top w:type="dxa" w:w="70"/>
              <w:left w:type="dxa" w:w="110"/>
              <w:bottom w:type="dxa" w:w="70"/>
              <w:right w:type="dxa" w:w="110"/>
            </w:tcMar>
            <w:vAlign w:val="top"/>
          </w:tcPr>
          <w:p>
            <w:pPr>
              <w:spacing w:after="40"/>
            </w:pPr>
            <w:r>
              <w:rPr>
                <w:b w:val="false"/>
                <w:bCs w:val="false"/>
                <w:sz w:val="19"/>
                <w:szCs w:val="19"/>
              </w:rPr>
              <w:t xml:space="preserve">Corrections on the record show here at once and are the values submitted.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Add metric / Remove this metric (Section J)</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Adds or deletes a row of the quantitative metrics table.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Numbers in the source (percentages, amounts, targets) are recorded one per row with a locator.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row is added or removed in the draft.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Save changes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Saves your edits to the draft on the server.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you stop and finish later without submitting.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“Changes saved.” The button is unavailable after submission.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Submit to KoboToolbox</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Sends the reviewed draft to KoboToolbox as a completed record, after you confirm. It saves your edits first.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one place the portal writes to KoboToolbox, and only on this deliberate click: a person, not the AI, submits the study's documentary analysis. Once only, so no duplicate.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“Submitted to KoboToolbox, and a copy is now held in the portal.” The answers lock and the screen says “Already submitted”. A second click is refused.</w:t>
            </w:r>
          </w:p>
        </w:tc>
      </w:tr>
    </w:tbl>
    <w:p>
      <w:pPr>
        <w:spacing w:after="120"/>
      </w:pPr>
    </w:p>
    <w:p>
      <w:pPr>
        <w:pStyle w:val="Heading1"/>
        <w:pageBreakBefore/>
      </w:pPr>
      <w:r>
        <w:t xml:space="preserve">10. Completed forms and exports</w:t>
      </w:r>
    </w:p>
    <w:p>
      <w:pPr>
        <w:pStyle w:val="Heading2"/>
      </w:pPr>
      <w:r>
        <w:t xml:space="preserve">10.1 Completed forms (Form PDFs)</w:t>
      </w:r>
    </w:p>
    <w:p>
      <w:pPr>
        <w:spacing w:after="120" w:line="288"/>
      </w:pPr>
      <w:r>
        <w:rPr>
          <w:b/>
          <w:bCs/>
        </w:rPr>
        <w:t xml:space="preserve">Who can open it:</w:t>
      </w:r>
      <w:r>
        <w:t xml:space="preserve"> PI / System Admin, Field / Digital Coordinator, QUAN/Kobo QA RA, KII RA,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/admin/submissions</w:t>
      </w:r>
    </w:p>
    <w:p>
      <w:pPr>
        <w:spacing w:after="120" w:line="288"/>
      </w:pPr>
      <w:r>
        <w:t xml:space="preserve">The completed KoboToolbox forms for your role (the questionnaire, the KII Guide or the Document Analysis Tool; the PI, coordinator and supervisor can switch between all three).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Form (drop-down)</w:t>
            </w:r>
            <w:r>
              <w:rPr>
                <w:b w:val="false"/>
                <w:bCs w:val="false"/>
                <w:sz w:val="19"/>
                <w:szCs w:val="19"/>
              </w:rPr>
              <w:t xml:space="preserve"> (the PI, the Field Coordinator, Supervisors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Chooses which form to list. Shown only to roles that may see more than one.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Each role sees only its own form, because raw answers can identify organisations and people.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and the sync panel change to that form.</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Sync panel: “In sync with KoboToolbox”</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how many submissions KoboToolbox holds and how many the portal holds, and when they were last matched.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portal keeps its own copy of the completed forms. If the two numbers differ, the portal is behind.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“Not in sync” means press Sync now.</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Sync now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Pulls that form from KoboToolbox now and updates the portal's copy.</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automatic sync runs every 15 minutes; this brings it up to date immediately. It also notices edits and deletions made in KoboToolbox.</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counts refresh. A KII record's coding can move to COMPLETE; a document whose submission was deleted in KoboToolbox unlocks.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 saved in portal (on each row)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Says the portal holds an identical copy of that submission.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Proof, row by row, that nothing was lost or changed between KoboToolbox and the portal.</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It is missing until the next sync for a new or edited row.</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Download PDF</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that completed form as a readable PDF (sections, questions, answers as words).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readable copy for records, meetings and checking.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PDF downloads; the download is audited.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Email to me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Emails that PDF to the address on your own account.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PDF is a full research record, so it goes only to you, never to a typed-in address.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“Sent to …” (address masked). Recorded in the audit log.</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Email to respondent (questionnaire only)</w:t>
            </w:r>
            <w:r>
              <w:rPr>
                <w:b w:val="false"/>
                <w:bCs w:val="false"/>
                <w:sz w:val="19"/>
                <w:szCs w:val="19"/>
              </w:rPr>
              <w:t xml:space="preserve"> (the PI, the Field Coordinator, QA RAs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Emails the respondent a copy of their own answers, at the address on their case, after you confirm.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Respondents may ask for their answers; the copy goes only to the address on file and only while their consent stands.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first; then “Sent to …”. Refused if consent was withdrawn or no email is on file.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Excel workbook</w:t>
            </w:r>
            <w:r>
              <w:rPr>
                <w:b w:val="false"/>
                <w:bCs w:val="false"/>
                <w:sz w:val="19"/>
                <w:szCs w:val="19"/>
              </w:rPr>
              <w:t xml:space="preserve"> (the PI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every submission of the form as an analysis-ready workbook: answers as codes and as labels, a question dictionary, choice lists, a sheet for each repeating group.</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Analysis in SPSS, Stata or R needs the answers, not just the portal's case data.</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An .xlsx file downloads; the download is audited.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All as PDFs (ZIP)</w:t>
            </w:r>
            <w:r>
              <w:rPr>
                <w:b w:val="false"/>
                <w:bCs w:val="false"/>
                <w:sz w:val="19"/>
                <w:szCs w:val="19"/>
              </w:rPr>
              <w:t xml:space="preserve"> (the PI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every completed form as a PDF in one ZIP with a manifest.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 archive of the completed forms for the data lock.</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download starts at once and grows as each form is added.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1"/>
        <w:pageBreakBefore/>
      </w:pPr>
      <w:r>
        <w:t xml:space="preserve">11. Study administration</w:t>
      </w:r>
    </w:p>
    <w:p>
      <w:pPr>
        <w:pStyle w:val="Heading2"/>
      </w:pPr>
      <w:r>
        <w:t xml:space="preserve">11.1 Cost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/admin/cost</w:t>
      </w:r>
    </w:p>
    <w:p>
      <w:pPr>
        <w:spacing w:after="120" w:line="288"/>
      </w:pPr>
      <w:r>
        <w:t xml:space="preserve">What the fieldwork has cost, by category, so cost per completed case can be reported.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Spend by category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spend for RA allowance, airtime/data, transport, accommodation, hosting, messaging and other.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Funders and the dissertation need the real cost of each completed case.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Log a cost event: Date, Category, Amount → Log cost</w:t>
            </w:r>
            <w:r>
              <w:rPr>
                <w:b w:val="false"/>
                <w:bCs w:val="false"/>
                <w:sz w:val="19"/>
                <w:szCs w:val="19"/>
              </w:rPr>
              <w:t xml:space="preserve"> (the PI, the Field Coordinator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one expense.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Costs are logged as they happen so the total stays true, and each event records who approved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event is added and the total increases by that amount.</w:t>
            </w:r>
          </w:p>
        </w:tc>
      </w:tr>
    </w:tbl>
    <w:p>
      <w:pPr>
        <w:spacing w:after="120"/>
      </w:pPr>
    </w:p>
    <w:p>
      <w:pPr>
        <w:pStyle w:val="Heading2"/>
      </w:pPr>
      <w:r>
        <w:t xml:space="preserve">11.2 Audit Log</w:t>
      </w:r>
    </w:p>
    <w:p>
      <w:pPr>
        <w:spacing w:after="120" w:line="288"/>
      </w:pPr>
      <w:r>
        <w:rPr>
          <w:b/>
          <w:bCs/>
        </w:rPr>
        <w:t xml:space="preserve">Who can open it:</w:t>
      </w:r>
      <w:r>
        <w:t xml:space="preserve"> PI / System Admin.  </w:t>
      </w:r>
      <w:r>
        <w:rPr>
          <w:b/>
          <w:bCs/>
        </w:rPr>
        <w:t xml:space="preserve">Where:</w:t>
      </w:r>
      <w:r>
        <w:t xml:space="preserve"> </w:t>
      </w:r>
      <w:r>
        <w:rPr>
          <w:rFonts w:ascii="Consolas" w:cs="Consolas" w:eastAsia="Consolas" w:hAnsi="Consolas"/>
          <w:b w:val="false"/>
          <w:bCs w:val="false"/>
          <w:color w:val="122238"/>
          <w:sz w:val="19"/>
          <w:szCs w:val="19"/>
        </w:rPr>
        <w:t xml:space="preserve">/admin/audit</w:t>
      </w:r>
    </w:p>
    <w:p>
      <w:pPr>
        <w:spacing w:after="120" w:line="288"/>
      </w:pPr>
      <w:r>
        <w:t xml:space="preserve">The permanent record of who did what and when: QA decisions, downloads, emails of copies, submissions to KoboToolbox, withdrawals, reserve activations, status changes and other changes to records.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The list of events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each action with who did it, what it was done to and when, newest first.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Research governance needs to be able to show who handled sensitive data and made key decisions. Entries are added by the system and cannot be edited or deleted.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log grows quickly; a larger page helps when searching for one event.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11.3 Research Clearance</w:t>
      </w:r>
    </w:p>
    <w:p>
      <w:pPr>
        <w:spacing w:after="120" w:line="288"/>
      </w:pPr>
      <w:r>
        <w:rPr>
          <w:b/>
          <w:bCs/>
        </w:rPr>
        <w:t xml:space="preserve">Who can open it:</w:t>
      </w:r>
      <w:r>
        <w:t xml:space="preserve"> PI / System Admin.  </w:t>
      </w:r>
      <w:r>
        <w:rPr>
          <w:b/>
          <w:bCs/>
        </w:rPr>
        <w:t xml:space="preserve">Where:</w:t>
      </w:r>
      <w:r>
        <w:t xml:space="preserve"> </w:t>
      </w:r>
      <w:r>
        <w:rPr>
          <w:rFonts w:ascii="Consolas" w:cs="Consolas" w:eastAsia="Consolas" w:hAnsi="Consolas"/>
          <w:b w:val="false"/>
          <w:bCs w:val="false"/>
          <w:color w:val="122238"/>
          <w:sz w:val="19"/>
          <w:szCs w:val="19"/>
        </w:rPr>
        <w:t xml:space="preserve">/admin/clearance</w:t>
      </w:r>
    </w:p>
    <w:p>
      <w:pPr>
        <w:spacing w:after="120" w:line="288"/>
      </w:pPr>
      <w:r>
        <w:t xml:space="preserve">The study's official approval letters (ethics clearance, institutional approval, supervision confirmation), published for a respondent to check the study is genuine before taking part.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Add a document: Title, Issuing body, Type, Reference number, Date, Description → Add document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Creates a document record. It has no file yet and is not shown to anyone.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record (who issued it, when, what kind) is entered before the file, so the title is right before anything is uploaded.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document appears in the list with “No file uploaded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Upload file / Replace file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Attaches or replaces the letter itself (PDF, JPG or PNG, up to 20MB).</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respondent needs the actual letter to open, not just its description.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file name appears; an already-public document's new file is live immediately.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Shown to respondents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Switches whether this document appears on the Participant Information step of every invitation link.</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document is private by default; nothing reaches a respondent until this is explicitly turned on, and it needs a file first.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 the document appears to every respondent from then on. Off: it stops appearing immediately.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Active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Switches whether the document is current, independently of whether it is shown.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Lets a superseded letter stay on record without being deleted.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 visible change to respondents beyond Shown to respondents.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View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uploaded file.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Checking what was actually uploaded.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file opens in a new tab.</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Delete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Removes a document that has never been shown to a respondent.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Once a document could have been seen by a respondent, there must always be a record of what was shown; disabled, and refused by the server, once it has been public even briefly.</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record is removed. If it was ever public, the server refuses with a message instead.</w:t>
            </w:r>
          </w:p>
        </w:tc>
      </w:tr>
    </w:tbl>
    <w:p>
      <w:pPr>
        <w:spacing w:after="120"/>
      </w:pPr>
    </w:p>
    <w:p>
      <w:pPr>
        <w:pStyle w:val="Heading2"/>
      </w:pPr>
      <w:r>
        <w:t xml:space="preserve">11.4 Export</w:t>
      </w:r>
    </w:p>
    <w:p>
      <w:pPr>
        <w:spacing w:after="120" w:line="288"/>
      </w:pPr>
      <w:r>
        <w:rPr>
          <w:b/>
          <w:bCs/>
        </w:rPr>
        <w:t xml:space="preserve">Who can open it:</w:t>
      </w:r>
      <w:r>
        <w:t xml:space="preserve"> PI / System Admin, Field / Digital Coordinator, Data Analyst.  </w:t>
      </w:r>
      <w:r>
        <w:rPr>
          <w:b/>
          <w:bCs/>
        </w:rPr>
        <w:t xml:space="preserve">Where:</w:t>
      </w:r>
      <w:r>
        <w:t xml:space="preserve"> </w:t>
      </w:r>
      <w:r>
        <w:rPr>
          <w:rFonts w:ascii="Consolas" w:cs="Consolas" w:eastAsia="Consolas" w:hAnsi="Consolas"/>
          <w:b w:val="false"/>
          <w:bCs w:val="false"/>
          <w:color w:val="122238"/>
          <w:sz w:val="19"/>
          <w:szCs w:val="19"/>
        </w:rPr>
        <w:t xml:space="preserve">/admin/export</w:t>
      </w:r>
    </w:p>
    <w:p>
      <w:pPr>
        <w:spacing w:after="120" w:line="288"/>
      </w:pPr>
      <w:r>
        <w:t xml:space="preserve">Downloads of data for analysis and for the data lock. Every download is audited, and the disclaimer at the foot applies to everything exported.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Download analysis export (CSV)</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case-level data with no contact-identifying fields (no names, phone numbers or emails). Withdrawn participants' answers are left out.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version that is safe for analysis and for sharing with the wider research team.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CSV downloads.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 operational export (CSV)</w:t>
            </w:r>
            <w:r>
              <w:rPr>
                <w:b w:val="false"/>
                <w:bCs w:val="false"/>
                <w:sz w:val="19"/>
                <w:szCs w:val="19"/>
              </w:rPr>
              <w:t xml:space="preserve"> (the PI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the full operational data including contact details. PI only.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Needed for fieldwork administration; never to be passed outside the study.</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CSV downloads; the download is audited.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Download respondents and outreach (Excel)</w:t>
            </w:r>
            <w:r>
              <w:rPr>
                <w:b w:val="false"/>
                <w:bCs w:val="false"/>
                <w:sz w:val="19"/>
                <w:szCs w:val="19"/>
              </w:rPr>
              <w:t xml:space="preserve"> (the PI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a workbook of every Main-400 respondent and KII informant with their contact details, and a log of every invitation sent (channel, date, who sent it, status). PI only.</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one record of who has been invited, how, and what happened next; the operational export covers only those who have submitted.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An Excel file downloads; the download is audited.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Analysis packs → Download SmartPLS pack / interviews pack / documents pack</w:t>
            </w:r>
            <w:r>
              <w:rPr>
                <w:b w:val="false"/>
                <w:bCs w:val="false"/>
                <w:sz w:val="19"/>
                <w:szCs w:val="19"/>
              </w:rPr>
              <w:t xml:space="preserve"> (the PI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a ZIP that opens directly in SmartPLS 4 (questionnaire, numeric, -99 for missing) or ATLAS.ti (interviews as Word documents, documents named by ID), each with a README and an attribute or dictionary file. PI only.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Removes the copying and recoding between the portal and the analysis software. No names, organisation, job title or contact details; withdrawn participants left out.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ZIP downloads; the download is audited.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KoboToolbox data → Excel workbook / All completed forms (PDF ZIP), for each form</w:t>
            </w:r>
            <w:r>
              <w:rPr>
                <w:b w:val="false"/>
                <w:bCs w:val="false"/>
                <w:sz w:val="19"/>
                <w:szCs w:val="19"/>
              </w:rPr>
              <w:t xml:space="preserve"> (the PI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the full answers of the Questionnaire, the KII Guide or the Document Analysis Tool, as a workbook or as PDFs. PI only.</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Raw answers can identify organisations and, in the KII Guide, people, so only the PI may take them out.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file downloads; the download is audited.</w:t>
            </w:r>
          </w:p>
        </w:tc>
      </w:tr>
    </w:tbl>
    <w:p>
      <w:pPr>
        <w:spacing w:after="120"/>
      </w:pPr>
    </w:p>
    <w:sectPr>
      <w:headerReference w:type="default" r:id="rId7"/>
      <w:headerReference w:type="first" r:id="rId8"/>
      <w:footerReference w:type="default" r:id="rId9"/>
      <w:footerReference w:type="first" r:id="rId10"/>
      <w:pgSz w:w="11906" w:h="16838" w:orient="portrait"/>
      <w:pgMar w:top="1300" w:right="1247" w:bottom="1200" w:left="124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412"/>
      </w:tabs>
    </w:pPr>
    <w:r>
      <w:rPr>
        <w:color w:val="5B6670"/>
        <w:sz w:val="16"/>
        <w:szCs w:val="16"/>
      </w:rPr>
      <w:t xml:space="preserve">Version 1.43 · 14 October 2026</w:t>
    </w:r>
    <w:r>
      <w:rPr>
        <w:color w:val="5B6670"/>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AE0" w:sz="4" w:space="4"/>
      </w:pBdr>
      <w:tabs>
        <w:tab w:val="right" w:pos="9412"/>
      </w:tabs>
    </w:pPr>
    <w:r>
      <w:rPr>
        <w:b/>
        <w:bCs/>
        <w:color w:val="1B3350"/>
        <w:sz w:val="16"/>
        <w:szCs w:val="16"/>
      </w:rPr>
      <w:t xml:space="preserve">ABF-FST DIGITAL RESPONDENT PORTAL</w:t>
    </w:r>
    <w:r>
      <w:rPr>
        <w:color w:val="5B6670"/>
        <w:sz w:val="16"/>
        <w:szCs w:val="16"/>
      </w:rPr>
      <w:t xml:space="preserve">	Screen and Button Reference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lvl>
    <w:lvl w:ilvl="1" w15:tentative="1">
      <w:start w:val="1"/>
      <w:numFmt w:val="bullet"/>
      <w:lvlText w:val="–"/>
      <w:lvlJc w:val="left"/>
      <w:pPr>
        <w:ind w:left="90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8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67C27" w:sz="8" w:space="6"/>
      </w:pBdr>
      <w:spacing w:after="200" w:before="120"/>
      <w:outlineLvl w:val="0"/>
    </w:pPr>
    <w:rPr>
      <w:rFonts w:ascii="Calibri" w:cs="Calibri" w:eastAsia="Calibri" w:hAnsi="Calibri"/>
      <w:b/>
      <w:bCs/>
      <w:color w:val="122238"/>
      <w:sz w:val="36"/>
      <w:szCs w:val="36"/>
    </w:rPr>
  </w:style>
  <w:style w:type="paragraph" w:styleId="Heading2">
    <w:name w:val="Heading 2"/>
    <w:basedOn w:val="Normal"/>
    <w:next w:val="Normal"/>
    <w:qFormat/>
    <w:pPr>
      <w:keepNext/>
      <w:spacing w:after="120" w:before="300"/>
      <w:outlineLvl w:val="1"/>
    </w:pPr>
    <w:rPr>
      <w:rFonts w:ascii="Calibri" w:cs="Calibri" w:eastAsia="Calibri" w:hAnsi="Calibri"/>
      <w:b/>
      <w:bCs/>
      <w:color w:val="1B3350"/>
      <w:sz w:val="28"/>
      <w:szCs w:val="28"/>
    </w:rPr>
  </w:style>
  <w:style w:type="paragraph" w:styleId="Heading3">
    <w:name w:val="Heading 3"/>
    <w:basedOn w:val="Normal"/>
    <w:next w:val="Normal"/>
    <w:qFormat/>
    <w:pPr>
      <w:keepNext/>
      <w:spacing w:after="80" w:before="220"/>
      <w:outlineLvl w:val="2"/>
    </w:pPr>
    <w:rPr>
      <w:rFonts w:ascii="Calibri" w:cs="Calibri" w:eastAsia="Calibri" w:hAnsi="Calibri"/>
      <w:b/>
      <w:bCs/>
      <w:color w:val="2228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ABF-FST Digital Respondent Portal — Screen and Button Reference</dc:title>
  <dc:creator>ABF-FST research team</dc:creator>
  <dc:description>Every screen and every button: what it does, when to use it, why it exists and what happens next.</dc:description>
  <cp:lastModifiedBy>Un-named</cp:lastModifiedBy>
  <cp:revision>1</cp:revision>
  <dcterms:created xsi:type="dcterms:W3CDTF">2026-10-14T12:05:19.241Z</dcterms:created>
  <dcterms:modified xsi:type="dcterms:W3CDTF">2026-10-14T12:05:19.241Z</dcterms:modified>
</cp:coreProperties>
</file>

<file path=docProps/custom.xml><?xml version="1.0" encoding="utf-8"?>
<Properties xmlns="http://schemas.openxmlformats.org/officeDocument/2006/custom-properties" xmlns:vt="http://schemas.openxmlformats.org/officeDocument/2006/docPropsVTypes"/>
</file>