
<file path=[Content_Types].xml><?xml version="1.0" encoding="utf-8"?>
<Types xmlns="http://schemas.openxmlformats.org/package/2006/content-types">
  <Default Extension="svg" ContentType="image/svg+xml"/>
  <Default Extension="jpg" ContentType="image/jpeg"/>
  <Default Extension="jpeg" ContentType="image/jpeg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
xmlns="http://schemas.openxmlformats.org/package/2006/relationships"
>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tabs>
          <w:tab w:val="end" w:leader="none" w:pos="10080"/>
        </w:tabs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inline distT="0" distB="0" distL="0" distR="0">
                <wp:extent cx="1825879"/>
                <wp:effectExtent l="0" t="0" r="0" b="0"/>
                <wp:docPr id="61" name="Frame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8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Libertinus Sans" w:eastAsia="Libertinus Sans" w:hAnsi="Libertinus Sans"/>
                                <w:i/>
                                <w:sz w:val="20"/>
                                <w:szCs w:val="20"/>
                                <w:color w:val="A9A9A9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i/>
                                <w:sz w:val="20"/>
                                <w:szCs w:val="20"/>
                                <w:color w:val="A9A9A9"/>
                              </w:rPr>
                              <w:t>Journal of Language Evolution</w:t>
                            </w:r>
                          </w:p>
                          <w:p>
                            <w:pP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color w:val="A9A9A9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color w:val="A9A9A9"/>
                              </w:rPr>
                              <w:t>https://doi.org/10.1093/jole/lzag001</w:t>
                            </w:r>
                          </w:p>
                          <w:p>
                            <w:pPr>
                              <w:spacing w:after="200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color w:val="A9A9A9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color w:val="A9A9A9"/>
                              </w:rPr>
                              <w:t xml:space="preserve">Published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color w:val="A9A9A9"/>
                              </w:rPr>
                              <w:t>08 April, 2026</w:t>
                            </w:r>
                          </w:p>
                          <w:p>
                            <w:pP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Research article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</mc:AlternateContent>
      </w:r>
      <w:r>
        <w:rPr>
          <w:rFonts w:ascii="Libertinus Sans" w:eastAsia="Libertinus Sans" w:hAnsi="Libertinus Sans"/>
          <w:sz w:val="20"/>
          <w:szCs w:val="20"/>
        </w:rPr>
        <w:t/>
        <w:tab/>
        <w:t/>
      </w:r>
      <w:r>
        <mc:AlternateContent>
          <mc:Choice Requires="wps">
            <w:drawing>
              <wp:inline distT="0" distB="0" distL="0" distR="0">
                <wp:extent cx="1274674"/>
                <wp:effectExtent l="0" t="0" r="0" b="0"/>
                <wp:docPr id="65" name="Frame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4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CMU Sans Serif" w:eastAsia="CMU Sans Serif" w:hAnsi="CMU Sans Serif"/>
                                <w:spacing w:val="90"/>
                                <w:sz w:val="36"/>
                                <w:szCs w:val="36"/>
                                <w:color w:val="3B3B3B"/>
                              </w:rPr>
                            </w:pPr>
                            <w:r>
                              <w:rPr>
                                <w:rFonts w:ascii="CMU Sans Serif" w:eastAsia="CMU Sans Serif" w:hAnsi="CMU Sans Serif"/>
                                <w:spacing w:val="90"/>
                                <w:sz w:val="36"/>
                                <w:szCs w:val="36"/>
                                <w:color w:val="3B3B3B"/>
                              </w:rPr>
                              <w:t>OXFORD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inline>
            </w:drawing>
          </mc:Choice>
        </mc:AlternateContent>
      </w:r>
    </w:p>
    <w:p>
      <w:pPr>
        <w:pBdr>
          <w:top w:val="single" w:sz="7.9999999998" w:color="000000"/>
        </w:pBdr>
        <w:spacing w:before="200" w:after="40"/>
        <w:rPr>
          <w:rFonts w:ascii="Libertinus Sans" w:eastAsia="Libertinus Sans" w:hAnsi="Libertinus Sans"/>
          <w:sz w:val="20"/>
          <w:szCs w:val="20"/>
        </w:rPr>
      </w:pPr>
    </w:p>
    <w:p>
      <w:pPr>
        <w:spacing w:after="200"/>
        <w:rPr>
          <w:rFonts w:ascii="Libertinus Sans" w:eastAsia="Libertinus Sans" w:hAnsi="Libertinus Sans"/>
          <w:b/>
          <w:sz w:val="44"/>
          <w:szCs w:val="44"/>
        </w:rPr>
      </w:pPr>
      <w:r>
        <w:rPr>
          <w:rFonts w:ascii="Libertinus Sans" w:eastAsia="Libertinus Sans" w:hAnsi="Libertinus Sans"/>
          <w:b/>
          <w:sz w:val="44"/>
          <w:szCs w:val="44"/>
        </w:rPr>
        <w:t>Phylogenetic inference from cognate word forms</w:t>
      </w:r>
    </w:p>
    <w:p>
      <w:pPr>
        <w:spacing w:after="160"/>
        <w:rPr>
          <w:rFonts w:ascii="Libertinus Sans" w:eastAsia="Libertinus Sans" w:hAnsi="Libertinus Sans"/>
          <w:sz w:val="20"/>
          <w:szCs w:val="20"/>
        </w:rPr>
      </w:pPr>
      <w:hyperlink r:id="rId302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David</w:t>
        </w:r>
      </w:hyperlink>
      <w:hyperlink r:id="rId302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2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M.</w:t>
        </w:r>
      </w:hyperlink>
      <w:hyperlink r:id="rId302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2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Goldstein</w:t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hyperlink r:id="rId303" w:history="1">
        <w:r>
          <w:rPr>
            <w:rFonts w:ascii="CMU Sans Serif" w:eastAsia="CMU Sans Serif" w:hAnsi="CMU Sans Serif"/>
            <w:b/>
            <w:sz w:val="20"/>
            <w:szCs w:val="20"/>
            <w:position w:val="-3.5999999999909997"/>
            <w:color w:val="FFFFFF"/>
          </w:rPr>
          <w:drawing>
            <wp:inline distT="0" distB="0" distL="0" distR="0">
              <wp:extent cx="127000" cy="127000"/>
              <wp:effectExtent l="0" t="0" r="0" b="0"/>
              <wp:docPr id="69" name="Image6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" name="Image69"/>
                      <pic:cNvPicPr/>
                    </pic:nvPicPr>
                    <pic:blipFill>
                      <a:blip>
                        <a:extLst>
                          <a:ext uri="{96DAC541-7B7A-43D3-8B79-37D633B846F1}">
                            <asvg:svgBlip xmlns:asvg="http://schemas.microsoft.com/office/drawing/2016/SVG/main" r:embed="rId69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  <a:solidFill>
                        <a:srgbClr val="72BE44"/>
                      </a:solidFill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1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,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*</w:t>
      </w:r>
      <w:r>
        <w:rPr>
          <w:rFonts w:ascii="Libertinus Sans" w:eastAsia="Libertinus Sans" w:hAnsi="Libertinus Sans"/>
          <w:b/>
          <w:sz w:val="20"/>
          <w:szCs w:val="20"/>
        </w:rPr>
        <w:t xml:space="preserve">, </w:t>
      </w:r>
      <w:hyperlink r:id="rId304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Shawn</w:t>
        </w:r>
      </w:hyperlink>
      <w:hyperlink r:id="rId304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4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H.</w:t>
        </w:r>
      </w:hyperlink>
      <w:hyperlink r:id="rId304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4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McCreight</w:t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hyperlink r:id="rId305" w:history="1">
        <w:r>
          <w:rPr>
            <w:rFonts w:ascii="CMU Sans Serif" w:eastAsia="CMU Sans Serif" w:hAnsi="CMU Sans Serif"/>
            <w:b/>
            <w:sz w:val="20"/>
            <w:szCs w:val="20"/>
            <w:position w:val="-3.5999999999909997"/>
            <w:color w:val="FFFFFF"/>
          </w:rPr>
          <w:drawing>
            <wp:inline distT="0" distB="0" distL="0" distR="0">
              <wp:extent cx="127000" cy="127000"/>
              <wp:effectExtent l="0" t="0" r="0" b="0"/>
              <wp:docPr id="70" name="Image7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0" name="Image70"/>
                      <pic:cNvPicPr/>
                    </pic:nvPicPr>
                    <pic:blipFill>
                      <a:blip>
                        <a:extLst>
                          <a:ext uri="{96DAC541-7B7A-43D3-8B79-37D633B846F1}">
                            <asvg:svgBlip xmlns:asvg="http://schemas.microsoft.com/office/drawing/2016/SVG/main" r:embed="rId7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  <a:solidFill>
                        <a:srgbClr val="72BE44"/>
                      </a:solidFill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2</w:t>
      </w:r>
      <w:r>
        <w:rPr>
          <w:rFonts w:ascii="Libertinus Sans" w:eastAsia="Libertinus Sans" w:hAnsi="Libertinus Sans"/>
          <w:b/>
          <w:sz w:val="20"/>
          <w:szCs w:val="20"/>
        </w:rPr>
        <w:t xml:space="preserve">, </w:t>
      </w:r>
      <w:hyperlink r:id="rId306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Éva</w:t>
        </w:r>
      </w:hyperlink>
      <w:hyperlink r:id="rId306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6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Buchi</w:t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hyperlink r:id="rId307" w:history="1">
        <w:r>
          <w:rPr>
            <w:rFonts w:ascii="CMU Sans Serif" w:eastAsia="CMU Sans Serif" w:hAnsi="CMU Sans Serif"/>
            <w:b/>
            <w:sz w:val="20"/>
            <w:szCs w:val="20"/>
            <w:position w:val="-3.5999999999909997"/>
            <w:color w:val="FFFFFF"/>
          </w:rPr>
          <w:drawing>
            <wp:inline distT="0" distB="0" distL="0" distR="0">
              <wp:extent cx="127000" cy="127000"/>
              <wp:effectExtent l="0" t="0" r="0" b="0"/>
              <wp:docPr id="71" name="Image7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1" name="Image71"/>
                      <pic:cNvPicPr/>
                    </pic:nvPicPr>
                    <pic:blipFill>
                      <a:blip>
                        <a:extLst>
                          <a:ext uri="{96DAC541-7B7A-43D3-8B79-37D633B846F1}">
                            <asvg:svgBlip xmlns:asvg="http://schemas.microsoft.com/office/drawing/2016/SVG/main" r:embed="rId71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  <a:solidFill>
                        <a:srgbClr val="72BE44"/>
                      </a:solidFill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3</w:t>
      </w:r>
      <w:r>
        <w:rPr>
          <w:rFonts w:ascii="Libertinus Sans" w:eastAsia="Libertinus Sans" w:hAnsi="Libertinus Sans"/>
          <w:b/>
          <w:sz w:val="20"/>
          <w:szCs w:val="20"/>
        </w:rPr>
        <w:t xml:space="preserve">, and </w:t>
      </w:r>
      <w:hyperlink r:id="rId308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John</w:t>
        </w:r>
      </w:hyperlink>
      <w:hyperlink r:id="rId308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8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P.</w:t>
        </w:r>
      </w:hyperlink>
      <w:hyperlink r:id="rId308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 xml:space="preserve"> </w:t>
        </w:r>
      </w:hyperlink>
      <w:hyperlink r:id="rId308" w:history="1">
        <w:r>
          <w:rPr>
            <w:rFonts w:ascii="Libertinus Sans" w:eastAsia="Libertinus Sans" w:hAnsi="Libertinus Sans"/>
            <w:noProof/>
            <w:b/>
            <w:sz w:val="20"/>
            <w:szCs w:val="20"/>
          </w:rPr>
          <w:t>Huelsenbeck</w:t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hyperlink r:id="rId309" w:history="1">
        <w:r>
          <w:rPr>
            <w:rFonts w:ascii="CMU Sans Serif" w:eastAsia="CMU Sans Serif" w:hAnsi="CMU Sans Serif"/>
            <w:b/>
            <w:sz w:val="20"/>
            <w:szCs w:val="20"/>
            <w:position w:val="-3.5999999999909997"/>
            <w:color w:val="FFFFFF"/>
          </w:rPr>
          <w:drawing>
            <wp:inline distT="0" distB="0" distL="0" distR="0">
              <wp:extent cx="127000" cy="127000"/>
              <wp:effectExtent l="0" t="0" r="0" b="0"/>
              <wp:docPr id="72" name="Image7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2" name="Image72"/>
                      <pic:cNvPicPr/>
                    </pic:nvPicPr>
                    <pic:blipFill>
                      <a:blip>
                        <a:extLst>
                          <a:ext uri="{96DAC541-7B7A-43D3-8B79-37D633B846F1}">
                            <asvg:svgBlip xmlns:asvg="http://schemas.microsoft.com/office/drawing/2016/SVG/main" r:embed="rId72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  <a:solidFill>
                        <a:srgbClr val="72BE44"/>
                      </a:solidFill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>
        <w:rPr>
          <w:rFonts w:ascii="Libertinus Sans" w:eastAsia="Libertinus Sans" w:hAnsi="Libertinus Sans"/>
          <w:b/>
          <w:sz w:val="20"/>
          <w:szCs w:val="20"/>
        </w:rPr>
        <w:t xml:space="preserve"> </w:t>
      </w:r>
      <w:r>
        <w:rPr>
          <w:rFonts w:ascii="Libertinus Sans" w:eastAsia="Libertinus Sans" w:hAnsi="Libertinus Sans"/>
          <w:b/>
          <w:sz w:val="20"/>
          <w:szCs w:val="20"/>
          <w:vertAlign w:val="superscript"/>
        </w:rPr>
        <w:t>4</w:t>
      </w:r>
    </w:p>
    <w:p>
      <w:pPr>
        <w:pBdr>
          <w:top w:val="single" w:sz="7.9999999998" w:color="000000"/>
        </w:pBdr>
        <w:spacing w:before="200" w:after="40"/>
        <w:rPr>
          <w:rFonts w:ascii="Libertinus Sans" w:eastAsia="Libertinus Sans" w:hAnsi="Libertinus Sans"/>
          <w:sz w:val="20"/>
          <w:szCs w:val="20"/>
        </w:rPr>
      </w:pPr>
    </w:p>
    <w:p>
      <w:pPr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  <w:vertAlign w:val="superscript"/>
        </w:rPr>
        <w:t>1</w:t>
      </w:r>
      <w:r>
        <w:rPr>
          <w:rFonts w:ascii="Libertinus Sans" w:eastAsia="Libertinus Sans" w:hAnsi="Libertinus Sans"/>
          <w:sz w:val="20"/>
          <w:szCs w:val="20"/>
        </w:rPr>
        <w:t>Department of Linguistics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University of California, Los Angeles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UCLA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Los Angeles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CA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 </w:t>
      </w:r>
      <w:r>
        <w:rPr>
          <w:rFonts w:ascii="Libertinus Sans" w:eastAsia="Libertinus Sans" w:hAnsi="Libertinus Sans"/>
          <w:noProof/>
          <w:sz w:val="20"/>
          <w:szCs w:val="20"/>
        </w:rPr>
        <w:t>90095-1543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USA</w:t>
      </w:r>
      <w:r>
        <w:rPr>
          <w:rFonts w:ascii="Libertinus Sans" w:eastAsia="Libertinus Sans" w:hAnsi="Libertinus Sans"/>
          <w:sz w:val="20"/>
          <w:szCs w:val="20"/>
        </w:rPr>
        <w:t xml:space="preserve">; </w:t>
      </w:r>
      <w:r>
        <w:rPr>
          <w:rFonts w:ascii="Libertinus Sans" w:eastAsia="Libertinus Sans" w:hAnsi="Libertinus Sans"/>
          <w:sz w:val="20"/>
          <w:szCs w:val="20"/>
          <w:vertAlign w:val="super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>Nytril LLC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2904 Horsehead Bay Dr. NW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Gig Harbor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WA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 </w:t>
      </w:r>
      <w:r>
        <w:rPr>
          <w:rFonts w:ascii="Libertinus Sans" w:eastAsia="Libertinus Sans" w:hAnsi="Libertinus Sans"/>
          <w:noProof/>
          <w:sz w:val="20"/>
          <w:szCs w:val="20"/>
        </w:rPr>
        <w:t>98335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USA</w:t>
      </w:r>
      <w:r>
        <w:rPr>
          <w:rFonts w:ascii="Libertinus Sans" w:eastAsia="Libertinus Sans" w:hAnsi="Libertinus Sans"/>
          <w:sz w:val="20"/>
          <w:szCs w:val="20"/>
        </w:rPr>
        <w:t xml:space="preserve">; </w:t>
      </w:r>
      <w:r>
        <w:rPr>
          <w:rFonts w:ascii="Libertinus Sans" w:eastAsia="Libertinus Sans" w:hAnsi="Libertinus Sans"/>
          <w:sz w:val="20"/>
          <w:szCs w:val="20"/>
          <w:vertAlign w:val="super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>Centre national de la recherche scientifique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ans" w:eastAsia="Libertinus Sans" w:hAnsi="Libertinus Sans"/>
          <w:sz w:val="20"/>
          <w:szCs w:val="20"/>
        </w:rPr>
        <w:t>Université de Lorraine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Paris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FR</w:t>
      </w:r>
      <w:r>
        <w:rPr>
          <w:rFonts w:ascii="Libertinus Sans" w:eastAsia="Libertinus Sans" w:hAnsi="Libertinus Sans"/>
          <w:sz w:val="20"/>
          <w:szCs w:val="20"/>
        </w:rPr>
        <w:t xml:space="preserve">; </w:t>
      </w:r>
      <w:r>
        <w:rPr>
          <w:rFonts w:ascii="Libertinus Sans" w:eastAsia="Libertinus Sans" w:hAnsi="Libertinus Sans"/>
          <w:sz w:val="20"/>
          <w:szCs w:val="20"/>
          <w:vertAlign w:val="superscript"/>
        </w:rPr>
        <w:t>4</w:t>
      </w:r>
      <w:r>
        <w:rPr>
          <w:rFonts w:ascii="Libertinus Sans" w:eastAsia="Libertinus Sans" w:hAnsi="Libertinus Sans"/>
          <w:sz w:val="20"/>
          <w:szCs w:val="20"/>
        </w:rPr>
        <w:t>Department of Integrative Biology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University of California, Berkeley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UC Berkeley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Berkeley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CA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 </w:t>
      </w:r>
      <w:r>
        <w:rPr>
          <w:rFonts w:ascii="Libertinus Sans" w:eastAsia="Libertinus Sans" w:hAnsi="Libertinus Sans"/>
          <w:noProof/>
          <w:sz w:val="20"/>
          <w:szCs w:val="20"/>
        </w:rPr>
        <w:t>94720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noProof/>
          <w:sz w:val="20"/>
          <w:szCs w:val="20"/>
        </w:rPr>
        <w:t>USA</w:t>
      </w:r>
      <w:r>
        <w:rPr>
          <w:rFonts w:ascii="Libertinus Sans" w:eastAsia="Libertinus Sans" w:hAnsi="Libertinus Sans"/>
          <w:sz w:val="20"/>
          <w:szCs w:val="20"/>
        </w:rPr>
        <w:t xml:space="preserve">; </w:t>
      </w:r>
    </w:p>
    <w:p>
      <w:pPr>
        <w:ind w:left="120" w:firstLine="-120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  <w:vertAlign w:val="superscript"/>
        </w:rPr>
        <w:t>*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Libertinus Sans" w:eastAsia="Libertinus Sans" w:hAnsi="Libertinus Sans"/>
          <w:sz w:val="20"/>
          <w:szCs w:val="20"/>
        </w:rPr>
        <w:t>Corresponding author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hyperlink r:id="rId310" w:history="1">
        <w:r>
          <w:rPr>
            <w:rFonts w:ascii="Libertinus Sans" w:eastAsia="Libertinus Sans" w:hAnsi="Libertinus Sans"/>
            <w:sz w:val="20"/>
            <w:szCs w:val="20"/>
          </w:rPr>
          <w:t>dgoldstein@humnet.ucla.edu</w:t>
        </w:r>
      </w:hyperlink>
    </w:p>
    <w:p>
      <w:pPr>
        <w:rPr>
          <w:rFonts w:ascii="Libertinus Sans" w:eastAsia="Libertinus Sans" w:hAnsi="Libertinus Sans"/>
          <w:sz w:val="20"/>
          <w:szCs w:val="20"/>
        </w:rPr>
      </w:pPr>
    </w:p>
    <w:p>
      <w:pPr>
        <w:spacing w:after="80"/>
        <w:jc w:val="both"/>
        <w:rPr>
          <w:rFonts w:ascii="Libertinus Sans" w:eastAsia="Libertinus Sans" w:hAnsi="Libertinus Sans"/>
          <w:b/>
          <w:sz w:val="20"/>
          <w:szCs w:val="20"/>
        </w:rPr>
      </w:pPr>
      <w:bookmarkStart w:id="0" w:name="PaperSections_Abstract"/>
      <w:bookmarkEnd w:id="0"/>
      <w:r>
        <w:rPr>
          <w:rFonts w:ascii="Libertinus Sans" w:eastAsia="Libertinus Sans" w:hAnsi="Libertinus Sans"/>
          <w:b/>
          <w:sz w:val="20"/>
          <w:szCs w:val="20"/>
        </w:rPr>
        <w:t xml:space="preserve">Linguistic phylogenies are commonly inferred from abstract cognate classifications that encode relationships among lexemes. </w:t>
      </w:r>
      <w:r>
        <w:rPr>
          <w:rFonts w:ascii="Libertinus Sans" w:eastAsia="Libertinus Sans" w:hAnsi="Libertinus Sans"/>
          <w:b/>
          <w:sz w:val="20"/>
          <w:szCs w:val="20"/>
        </w:rPr>
        <w:t xml:space="preserve">Although widespread, this practice has well-recognized limitations: it discards the phylogenetic signal contained in segmental word forms; restricts the range of evolutionary questions that can be addressed; and treats cognacy judgments, which are hypotheses, as observed data. </w:t>
      </w:r>
      <w:r>
        <w:rPr>
          <w:rFonts w:ascii="Libertinus Sans" w:eastAsia="Libertinus Sans" w:hAnsi="Libertinus Sans"/>
          <w:b/>
          <w:sz w:val="20"/>
          <w:szCs w:val="20"/>
        </w:rPr>
        <w:t xml:space="preserve">We introduce a comparative framework that addresses these limitations by modeling the evolution of aligned cognate word forms directly. </w:t>
      </w:r>
      <w:r>
        <w:rPr>
          <w:rFonts w:ascii="Libertinus Sans" w:eastAsia="Libertinus Sans" w:hAnsi="Libertinus Sans"/>
          <w:b/>
          <w:sz w:val="20"/>
          <w:szCs w:val="20"/>
        </w:rPr>
        <w:t xml:space="preserve">Our approach adapts the TKF91 model of molecular evolution, originally developed to account for insertion and deletion events in DNA sequences, to the domain of linguistic data. </w:t>
      </w:r>
      <w:r>
        <w:rPr>
          <w:rFonts w:ascii="Libertinus Sans" w:eastAsia="Libertinus Sans" w:hAnsi="Libertinus Sans"/>
          <w:b/>
          <w:sz w:val="20"/>
          <w:szCs w:val="20"/>
        </w:rPr>
        <w:t xml:space="preserve">By operating on segmental strings rather than abstract character codings, the framework enables phylogenetic inference from observable word forms and supports quantitative investigation of sound change. </w:t>
      </w:r>
      <w:r>
        <w:rPr>
          <w:rFonts w:ascii="Libertinus Sans" w:eastAsia="Libertinus Sans" w:hAnsi="Libertinus Sans"/>
          <w:b/>
          <w:sz w:val="20"/>
          <w:szCs w:val="20"/>
        </w:rPr>
        <w:t>We demonstrate its utility through analyses that illuminate patterns of segmental stability and the evolution of phonological inventories.</w:t>
      </w:r>
    </w:p>
    <w:p>
      <w:pPr>
        <w:spacing w:before="160" w:after="320"/>
        <w:jc w:val="both"/>
        <w:rPr>
          <w:rFonts w:ascii="Libertinus Sans" w:eastAsia="Libertinus Sans" w:hAnsi="Libertinus Sans"/>
          <w:sz w:val="20"/>
          <w:szCs w:val="20"/>
        </w:rPr>
      </w:pPr>
      <w:bookmarkStart w:id="1" w:name="PaperSections_Abstract"/>
      <w:bookmarkEnd w:id="1"/>
      <w:bookmarkStart w:id="2" w:name="MainPaper"/>
      <w:bookmarkEnd w:id="2"/>
      <w:r>
        <w:rPr>
          <w:rFonts w:ascii="Libertinus Sans" w:eastAsia="Libertinus Sans" w:hAnsi="Libertinus Sans"/>
          <w:b/>
          <w:sz w:val="20"/>
          <w:szCs w:val="20"/>
        </w:rPr>
        <w:t>Keywords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Libertinus Sans" w:eastAsia="Libertinus Sans" w:hAnsi="Libertinus Sans"/>
          <w:sz w:val="20"/>
          <w:szCs w:val="20"/>
        </w:rPr>
        <w:t>Bayesian inference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Historical linguistics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Historical phonology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Phylogenetics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Romance</w:t>
      </w:r>
    </w:p>
    <w:p>
      <w:pPr>
        <w:sectPr>
          <w:titlePg/>
          <w:evenAndOddHeaders/>
          <w:headerReference w:type="default" r:id="rId54"/>
          <w:headerReference w:type="even" r:id="rId53"/>
          <w:headerReference w:type="first" r:id="rId52"/>
          <w:titlePg/>
          <w:evenAndOddHeaders/>
          <w:footerReference w:type="default" r:id="rId57"/>
          <w:footerReference w:type="even" r:id="rId56"/>
          <w:footerReference w:type="first" r:id="rId55"/>
          <w:type w:val="continuous"/>
          <w:pgSz w:w="12240" w:h="15840"/>
          <w:pgMar w:top="720" w:right="1080" w:bottom="720" w:left="1080" w:header="720" w:footer="864" w:gutter="0"/>
          <w:cols w:space="0"/>
          <w:docGrid w:linePitch="360"/>
        </w:sectPr>
      </w:pP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3" w:name="PaperSections_Introduction"/>
      <w:bookmarkEnd w:id="3"/>
      <w:r>
        <w:rPr>
          <w:rFonts w:ascii="Libertinus Sans" w:eastAsia="Libertinus Sans" w:hAnsi="Libertinus Sans"/>
          <w:b/>
          <w:sz w:val="32"/>
          <w:szCs w:val="32"/>
        </w:rPr>
        <w:t>1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Introduction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4" w:name="PaperSections_Introduction"/>
      <w:bookmarkEnd w:id="4"/>
      <w:r>
        <w:rPr>
          <w:rFonts w:ascii="Libertinus Sans" w:eastAsia="Libertinus Sans" w:hAnsi="Libertinus Sans"/>
          <w:sz w:val="20"/>
          <w:szCs w:val="20"/>
        </w:rPr>
        <w:t>Natural languages exhibit the property of descent with modification, which allows their histories to be represented as phylogenetic trees and inferred using methods originally developed in evolutionary biology</w:t>
      </w:r>
      <w:sdt>
        <w:sdtPr>
          <w:citation/>
        </w:sdtPr>
        <w:sdtContent>
          <w:r>
            <w:fldChar w:fldCharType="begin"/>
          </w:r>
          <w:r>
            <w:instrText>CITATION Atkinson2005</w:instrText>
          </w:r>
          <w:r>
            <w:fldChar w:fldCharType="separate"/>
          </w:r>
          <w:r>
            <w:t>[1]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Croft2008</w:instrText>
          </w:r>
          <w:r>
            <w:fldChar w:fldCharType="separate"/>
          </w:r>
          <w:r>
            <w:t>[2]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Pagel2009</w:instrText>
          </w:r>
          <w:r>
            <w:fldChar w:fldCharType="separate"/>
          </w:r>
          <w:r>
            <w:t>[3]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Borchesius2017</w:instrText>
          </w:r>
          <w:r>
            <w:fldChar w:fldCharType="separate"/>
          </w:r>
          <w:r>
            <w:t>[4]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Bromham2017</w:instrText>
          </w:r>
          <w:r>
            <w:fldChar w:fldCharType="separate"/>
          </w:r>
          <w:r>
            <w:t>[5]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Pagel2017</w:instrText>
          </w:r>
          <w:r>
            <w:fldChar w:fldCharType="separate"/>
          </w:r>
          <w:r>
            <w:t>[6]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Over the past two decades, such methods have become central to historical and evolutionary linguistics. </w:t>
      </w:r>
      <w:r>
        <w:rPr>
          <w:rFonts w:ascii="Libertinus Sans" w:eastAsia="Libertinus Sans" w:hAnsi="Libertinus Sans"/>
          <w:sz w:val="20"/>
          <w:szCs w:val="20"/>
        </w:rPr>
        <w:t>Bayesian phylogenetic methods in particular are increasingly used to infer tree topologies, ancestral states, and divergence times</w:t>
      </w:r>
      <w:sdt>
        <w:sdtPr>
          <w:citation/>
        </w:sdtPr>
        <w:sdtContent>
          <w:r>
            <w:fldChar w:fldCharType="begin"/>
          </w:r>
          <w:r>
            <w:instrText>CITATION Bouckaert2012</w:instrText>
          </w:r>
          <w:r>
            <w:fldChar w:fldCharType="separate"/>
          </w:r>
          <w:r>
            <w:t>[7]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Bowern2012</w:instrText>
          </w:r>
          <w:r>
            <w:fldChar w:fldCharType="separate"/>
          </w:r>
          <w:r>
            <w:t>[8]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Chang2015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Dunn2017</w:instrText>
          </w:r>
          <w:r>
            <w:fldChar w:fldCharType="separate"/>
          </w:r>
          <w:r>
            <w:t>[10]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Sagart2019</w:instrText>
          </w:r>
          <w:r>
            <w:fldChar w:fldCharType="separate"/>
          </w:r>
          <w:r>
            <w:t>[11]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Carling2021</w:instrText>
          </w:r>
          <w:r>
            <w:fldChar w:fldCharType="separate"/>
          </w:r>
          <w:r>
            <w:t>[12]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Auderset2023</w:instrText>
          </w:r>
          <w:r>
            <w:fldChar w:fldCharType="separate"/>
          </w:r>
          <w:r>
            <w:t>[13]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Heggarty2023</w:instrText>
          </w:r>
          <w:r>
            <w:fldChar w:fldCharType="separate"/>
          </w:r>
          <w:r>
            <w:t>[14]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Despite the undeniable advances of these methods, a foundational issue remains unresolved: the nature of the observations. </w:t>
      </w:r>
      <w:r>
        <w:rPr>
          <w:rFonts w:ascii="Libertinus Sans" w:eastAsia="Libertinus Sans" w:hAnsi="Libertinus Sans"/>
          <w:sz w:val="20"/>
          <w:szCs w:val="20"/>
        </w:rPr>
        <w:t xml:space="preserve">We argue that modeling linguistic evolution as a sequence of explicit segmental events yields richer and more coherent inferences than current trait-based approaches.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5" w:name="PaperSections_RootMeaningTraits"/>
      <w:bookmarkEnd w:id="5"/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Root-meaning traits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6" w:name="PaperSections_RootMeaningTraits"/>
      <w:bookmarkEnd w:id="6"/>
      <w:r>
        <w:rPr>
          <w:rFonts w:ascii="Libertinus Sans" w:eastAsia="Libertinus Sans" w:hAnsi="Libertinus Sans"/>
          <w:sz w:val="20"/>
          <w:szCs w:val="20"/>
        </w:rPr>
        <w:t>Most linguistic phylogenies are inferred from abstract cognate relationships</w:t>
      </w:r>
      <w:sdt>
        <w:sdtPr>
          <w:citation/>
        </w:sdtPr>
        <w:sdtContent>
          <w:r>
            <w:fldChar w:fldCharType="begin"/>
          </w:r>
          <w:r>
            <w:instrText>CITATION Gray2000</w:instrText>
          </w:r>
          <w:r>
            <w:fldChar w:fldCharType="separate"/>
          </w:r>
          <w:r>
            <w:t>[15]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Holden2002</w:instrText>
          </w:r>
          <w:r>
            <w:fldChar w:fldCharType="separate"/>
          </w:r>
          <w:r>
            <w:t>[16]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Ringe2002</w:instrText>
          </w:r>
          <w:r>
            <w:fldChar w:fldCharType="separate"/>
          </w:r>
          <w:r>
            <w:t>[17]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Gray2003</w:instrText>
          </w:r>
          <w:r>
            <w:fldChar w:fldCharType="separate"/>
          </w:r>
          <w:r>
            <w:t>[18]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Bouckaert2012</w:instrText>
          </w:r>
          <w:r>
            <w:fldChar w:fldCharType="separate"/>
          </w:r>
          <w:r>
            <w:t>[7]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Bowern2012</w:instrText>
          </w:r>
          <w:r>
            <w:fldChar w:fldCharType="separate"/>
          </w:r>
          <w:r>
            <w:t>[8]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Chang2015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Cognates are linguistic units at different levels (e.g., segments, morphemes, words) that share a common ancestor. An example from the lexical domain is Spanish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mano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hand</w:t>
      </w:r>
      <w:r>
        <w:rPr>
          <w:rFonts w:ascii="Libertinus Sans" w:eastAsia="Libertinus Sans" w:hAnsi="Libertinus Sans"/>
          <w:sz w:val="20"/>
          <w:szCs w:val="20"/>
        </w:rPr>
        <w:t xml:space="preserve">,’ </w:t>
      </w:r>
      <w:r>
        <w:rPr>
          <w:rFonts w:ascii="Libertinus Sans" w:eastAsia="Libertinus Sans" w:hAnsi="Libertinus Sans"/>
          <w:sz w:val="20"/>
          <w:szCs w:val="20"/>
        </w:rPr>
        <w:t xml:space="preserve">French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main</w:t>
      </w:r>
      <w:r>
        <w:rPr>
          <w:rFonts w:ascii="Libertinus Sans" w:eastAsia="Libertinus Sans" w:hAnsi="Libertinus Sans"/>
          <w:sz w:val="20"/>
          <w:szCs w:val="20"/>
        </w:rPr>
        <w:t xml:space="preserve">, and Italian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mano</w:t>
      </w:r>
      <w:r>
        <w:rPr>
          <w:rFonts w:ascii="Libertinus Sans" w:eastAsia="Libertinus Sans" w:hAnsi="Libertinus Sans"/>
          <w:sz w:val="20"/>
          <w:szCs w:val="20"/>
        </w:rPr>
        <w:t xml:space="preserve">, which all descend from Proto-Romance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manu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Four types of lexical cognacy have been identified in the literature</w:t>
      </w:r>
      <w:sdt>
        <w:sdtPr>
          <w:citation/>
        </w:sdtPr>
        <w:sdtContent>
          <w:r>
            <w:fldChar w:fldCharType="begin"/>
          </w:r>
          <w:r>
            <w:instrText>CITATION Chang2015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>, but phylogenetic studies rely overwhelmingly on one: root-meaning traits.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80" name="Frame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8" w:name="CognateCoding"/>
                            <w:fldSimple w:instr="SEQ Table \* ARABIC " w:dirty="1">
                              <w:r>
                                <w:t>1</w:t>
                              </w:r>
                            </w:fldSimple>
                            <w:bookmarkEnd w:id="8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A root-meaning trait for the concept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hand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.’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098800" cy="1689100"/>
                                  <wp:effectExtent l="0" t="0" r="0" b="0"/>
                                  <wp:docPr id="86" name="Image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" name="Image86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6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168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Root-meaning traits encode the ancestral relationships of the root of the most semantically general and stylistically neutral word associated with a given concept, such as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hand</w:t>
      </w:r>
      <w:r>
        <w:rPr>
          <w:rFonts w:ascii="Libertinus Sans" w:eastAsia="Libertinus Sans" w:hAnsi="Libertinus Sans"/>
          <w:sz w:val="20"/>
          <w:szCs w:val="20"/>
        </w:rPr>
        <w:t>’</w:t>
      </w:r>
      <w:sdt>
        <w:sdtPr>
          <w:citation/>
        </w:sdtPr>
        <w:sdtContent>
          <w:r>
            <w:fldChar w:fldCharType="begin"/>
          </w:r>
          <w:r>
            <w:instrText>CITATION Heggarty2023</w:instrText>
          </w:r>
          <w:r>
            <w:fldChar w:fldCharType="separate"/>
          </w:r>
          <w:r>
            <w:t>[14]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 concepts are drawn from a restricted subset of the lexicon commonly referred to as the </w:t>
      </w:r>
      <w:r>
        <w:rPr>
          <w:rFonts w:ascii="Libertinus Sans" w:eastAsia="Libertinus Sans" w:hAnsi="Libertinus Sans"/>
          <w:sz w:val="20"/>
          <w:szCs w:val="20"/>
        </w:rPr>
        <w:t>“</w:t>
      </w:r>
      <w:r>
        <w:rPr>
          <w:rFonts w:ascii="Libertinus Sans" w:eastAsia="Libertinus Sans" w:hAnsi="Libertinus Sans"/>
          <w:sz w:val="20"/>
          <w:szCs w:val="20"/>
        </w:rPr>
        <w:t>basic vocabulary,</w:t>
      </w:r>
      <w:r>
        <w:rPr>
          <w:rFonts w:ascii="Libertinus Sans" w:eastAsia="Libertinus Sans" w:hAnsi="Libertinus Sans"/>
          <w:sz w:val="20"/>
          <w:szCs w:val="20"/>
        </w:rPr>
        <w:t>”</w:t>
      </w:r>
      <w:r>
        <w:rPr>
          <w:rFonts w:ascii="Libertinus Sans" w:eastAsia="Libertinus Sans" w:hAnsi="Libertinus Sans"/>
          <w:sz w:val="20"/>
          <w:szCs w:val="20"/>
        </w:rPr>
        <w:t xml:space="preserve"> which includes terms for body parts, basic actions, natural phenomena, and other central domains of daily life that are assumed to be comparatively resistant to borrowing and replacement. </w:t>
      </w:r>
      <w:r>
        <w:rPr>
          <w:rFonts w:ascii="Libertinus Sans" w:eastAsia="Libertinus Sans" w:hAnsi="Libertinus Sans"/>
          <w:sz w:val="20"/>
          <w:szCs w:val="20"/>
        </w:rPr>
        <w:t>These basic vocabulary items are typically organized into Swadesh lists, which now exist in several versions</w:t>
      </w:r>
      <w:sdt>
        <w:sdtPr>
          <w:citation/>
        </w:sdtPr>
        <w:sdtContent>
          <w:r>
            <w:fldChar w:fldCharType="begin"/>
          </w:r>
          <w:r>
            <w:instrText>CITATION Tadmor2010</w:instrText>
          </w:r>
          <w:r>
            <w:fldChar w:fldCharType="separate"/>
          </w:r>
          <w:r>
            <w:t>[19]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CognateCoding" w:history="1">
        <w:fldSimple w:instr="REF Cognate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presents a root-meaning trait for the concept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hand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in a sample of Indo-European languages. </w:t>
      </w:r>
      <w:r>
        <w:rPr>
          <w:rFonts w:ascii="Libertinus Sans" w:eastAsia="Libertinus Sans" w:hAnsi="Libertinus Sans"/>
          <w:sz w:val="20"/>
          <w:szCs w:val="20"/>
        </w:rPr>
        <w:t xml:space="preserve">Lexical items that descend from a common ancestor are grouped into the same cognate class, with class membership determined on the basis of regular sound correspondences. </w:t>
      </w:r>
      <w:r>
        <w:rPr>
          <w:rFonts w:ascii="Libertinus Sans" w:eastAsia="Libertinus Sans" w:hAnsi="Libertinus Sans"/>
          <w:sz w:val="20"/>
          <w:szCs w:val="20"/>
        </w:rPr>
        <w:t xml:space="preserve">The resulting multistate cognate classifications are typically recoded as a set of binary characters, where 0 and 1 indicate the absence or presence, respectively, of a lexeme belonging to a given cognate class. </w:t>
      </w:r>
      <w:r>
        <w:rPr>
          <w:rFonts w:ascii="Libertinus Sans" w:eastAsia="Libertinus Sans" w:hAnsi="Libertinus Sans"/>
          <w:sz w:val="20"/>
          <w:szCs w:val="20"/>
        </w:rPr>
        <w:t xml:space="preserve">These binary values constitute the observed data used for subsequent phylogenetic inference.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Despite their widespread use, root-meaning traits exhibit several well-known limitations. </w:t>
      </w:r>
      <w:r>
        <w:rPr>
          <w:rFonts w:ascii="Libertinus Sans" w:eastAsia="Libertinus Sans" w:hAnsi="Libertinus Sans"/>
          <w:sz w:val="20"/>
          <w:szCs w:val="20"/>
        </w:rPr>
        <w:t xml:space="preserve">The most serious is that the reduction of word forms to abstract cognate classes results in substantial information loss. </w:t>
      </w:r>
      <w:r>
        <w:rPr>
          <w:rFonts w:ascii="Libertinus Sans" w:eastAsia="Libertinus Sans" w:hAnsi="Libertinus Sans"/>
          <w:sz w:val="20"/>
          <w:szCs w:val="20"/>
        </w:rPr>
        <w:t xml:space="preserve">For example, the lexemes for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hand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in Spanish, French, and Italian are assigned the same state in </w:t>
      </w:r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CognateCoding" w:history="1">
        <w:fldSimple w:instr="REF Cognate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Since this representation exhibits no variation across these languages, no inferences can be drawn about their historical relationships. </w:t>
      </w:r>
      <w:r>
        <w:rPr>
          <w:rFonts w:ascii="Libertinus Sans" w:eastAsia="Libertinus Sans" w:hAnsi="Libertinus Sans"/>
          <w:sz w:val="20"/>
          <w:szCs w:val="20"/>
        </w:rPr>
        <w:t xml:space="preserve">The segmental forms themselves, however, preserve phylogenetic signal: French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mɛ̃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Spanish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mano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and Italian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mano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each represent distinct reflexes of Latin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manum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Standard trait-based methods in linguistic phylogenetics are not designed to incorporate such fine-grained segmental divergence into the inference process.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Second, since root-meaning traits are analyzed analogously to morphological characters in biology</w:t>
      </w:r>
      <w:sdt>
        <w:sdtPr>
          <w:citation/>
        </w:sdtPr>
        <w:sdtContent>
          <w:r>
            <w:fldChar w:fldCharType="begin"/>
          </w:r>
          <w:r>
            <w:instrText>CITATION Lewis2001</w:instrText>
          </w:r>
          <w:r>
            <w:fldChar w:fldCharType="separate"/>
          </w:r>
          <w:r>
            <w:t>[20]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they inherit the same methodological constraints. </w:t>
      </w:r>
      <w:r>
        <w:rPr>
          <w:rFonts w:ascii="Libertinus Sans" w:eastAsia="Libertinus Sans" w:hAnsi="Libertinus Sans"/>
          <w:noProof/>
          <w:sz w:val="20"/>
          <w:szCs w:val="20"/>
        </w:rPr>
        <w:t>(i)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The state labels, whether binary or multistate, are arbitrary and carry no intrinsic interpretation beyond distinguishing cognate classes. </w:t>
      </w:r>
      <w:r>
        <w:rPr>
          <w:rFonts w:ascii="Libertinus Sans" w:eastAsia="Libertinus Sans" w:hAnsi="Libertinus Sans"/>
          <w:sz w:val="20"/>
          <w:szCs w:val="20"/>
        </w:rPr>
        <w:t xml:space="preserve">Consequently, linguistic phylogenetic analyses are effectively limited to models with symmetric transition rates, so that the likelihood is invariant to permutations of the state labels. </w:t>
      </w:r>
      <w:r>
        <w:rPr>
          <w:rFonts w:ascii="Libertinus Sans" w:eastAsia="Libertinus Sans" w:hAnsi="Libertinus Sans"/>
          <w:sz w:val="20"/>
          <w:szCs w:val="20"/>
        </w:rPr>
        <w:t xml:space="preserve">That is, the probability of the data must remain unchanged if 0s and 1s are interchanged. </w:t>
      </w:r>
      <w:r>
        <w:rPr>
          <w:rFonts w:ascii="Libertinus Sans" w:eastAsia="Libertinus Sans" w:hAnsi="Libertinus Sans"/>
          <w:noProof/>
          <w:sz w:val="20"/>
          <w:szCs w:val="20"/>
        </w:rPr>
        <w:t>(ii)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Moreover, state labels are not comparable across lexical items. </w:t>
      </w:r>
      <w:r>
        <w:rPr>
          <w:rFonts w:ascii="Libertinus Sans" w:eastAsia="Libertinus Sans" w:hAnsi="Libertinus Sans"/>
          <w:sz w:val="20"/>
          <w:szCs w:val="20"/>
        </w:rPr>
        <w:t xml:space="preserve">State 0 for one concept does not correspond to state 0 for another, which precludes pooling information across characters to estimate shared evolutionary dynamics. </w:t>
      </w:r>
      <w:r>
        <w:rPr>
          <w:rFonts w:ascii="Libertinus Sans" w:eastAsia="Libertinus Sans" w:hAnsi="Libertinus Sans"/>
          <w:noProof/>
          <w:sz w:val="20"/>
          <w:szCs w:val="20"/>
        </w:rPr>
        <w:t>(iii)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Invariant root-meaning traits (those exhibiting a single state across all languages) are relatively rare. </w:t>
      </w:r>
      <w:r>
        <w:rPr>
          <w:rFonts w:ascii="Libertinus Sans" w:eastAsia="Libertinus Sans" w:hAnsi="Libertinus Sans"/>
          <w:sz w:val="20"/>
          <w:szCs w:val="20"/>
        </w:rPr>
        <w:t xml:space="preserve">Likelihood calculations must therefore condition on the exclusion of constant patterns from the data matrix. </w:t>
      </w:r>
      <w:r>
        <w:rPr>
          <w:rFonts w:ascii="Libertinus Sans" w:eastAsia="Libertinus Sans" w:hAnsi="Libertinus Sans"/>
          <w:sz w:val="20"/>
          <w:szCs w:val="20"/>
        </w:rPr>
        <w:t xml:space="preserve">As a result, phylogenetic analyses based on such traits are largely confined to estimating tree topology and divergence times, while providing limited access to the dynamics of segmental change.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Third, recoding multistate cognate relationships as binary characters induces statistical dependencies among the resulting variables. </w:t>
      </w:r>
      <w:r>
        <w:rPr>
          <w:rFonts w:ascii="Libertinus Sans" w:eastAsia="Libertinus Sans" w:hAnsi="Libertinus Sans"/>
          <w:sz w:val="20"/>
          <w:szCs w:val="20"/>
        </w:rPr>
        <w:t xml:space="preserve">For any given concept, the presence of one cognate class in a language entails the absence of the others, except in cases of polymorphism. </w:t>
      </w:r>
      <w:r>
        <w:rPr>
          <w:rFonts w:ascii="Libertinus Sans" w:eastAsia="Libertinus Sans" w:hAnsi="Libertinus Sans"/>
          <w:sz w:val="20"/>
          <w:szCs w:val="20"/>
        </w:rPr>
        <w:t xml:space="preserve">However, the continuous-time Markov models typically employed assume that characters evolve independently and identically distributed </w:t>
      </w:r>
      <w:r>
        <w:rPr>
          <w:rFonts w:ascii="Libertinus Sans" w:eastAsia="Libertinus Sans" w:hAnsi="Libertinus Sans"/>
          <w:noProof/>
          <w:sz w:val="20"/>
          <w:szCs w:val="20"/>
        </w:rPr>
        <w:t>(i.i.d.)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Binary characters derived from multistate cognate data violate this independence assumption.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Finally, cognate-class assignments such as those in </w:t>
      </w:r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CognateCoding" w:history="1">
        <w:fldSimple w:instr="REF Cognate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are treated as observed data, even though they are inferred. </w:t>
      </w:r>
      <w:r>
        <w:rPr>
          <w:rFonts w:ascii="Libertinus Sans" w:eastAsia="Libertinus Sans" w:hAnsi="Libertinus Sans"/>
          <w:sz w:val="20"/>
          <w:szCs w:val="20"/>
        </w:rPr>
        <w:t xml:space="preserve">Cognacy judgments are hypotheses about ancestral relationships among lexical items and cannot be observed any more than a phylogenetic tree can. </w:t>
      </w:r>
      <w:r>
        <w:rPr>
          <w:rFonts w:ascii="Libertinus Sans" w:eastAsia="Libertinus Sans" w:hAnsi="Libertinus Sans"/>
          <w:sz w:val="20"/>
          <w:szCs w:val="20"/>
        </w:rPr>
        <w:t xml:space="preserve">This practice sits uneasily with the principles of Bayesian inference, under which posterior distributions are conditioned on observable data. </w:t>
      </w:r>
      <w:r>
        <w:rPr>
          <w:rFonts w:ascii="Libertinus Sans" w:eastAsia="Libertinus Sans" w:hAnsi="Libertinus Sans"/>
          <w:sz w:val="20"/>
          <w:szCs w:val="20"/>
        </w:rPr>
        <w:t xml:space="preserve">Our approach mitigates this tension by conditioning inference on attested word forms rather than abstract cognate classes. </w:t>
      </w:r>
      <w:r>
        <w:rPr>
          <w:rFonts w:ascii="Libertinus Sans" w:eastAsia="Libertinus Sans" w:hAnsi="Libertinus Sans"/>
          <w:sz w:val="20"/>
          <w:szCs w:val="20"/>
        </w:rPr>
        <w:t xml:space="preserve">The selection of word forms, however, remains guided by prior assumptions of cognacy.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9" w:name="PaperSections_TKF91Approach"/>
      <w:bookmarkEnd w:id="9"/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2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The TKF91 approach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94" name="Frame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400800" cy="1701242"/>
                                  <wp:effectExtent l="0" t="0" r="0" b="0"/>
                                  <wp:docPr id="100" name="Image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" name="Image100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170124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11" w:name="LanguageDistribution"/>
                            <w:fldSimple w:instr="SEQ Figure \* ARABIC " w:dirty="1">
                              <w:r>
                                <w:t>1</w:t>
                              </w:r>
                            </w:fldSimple>
                            <w:bookmarkEnd w:id="11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Approximate geographic distribution of the Romance languages in the study group.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We introduce an approach to linguistic phylogenetics in which the observations are aligned cognate word forms</w:t>
      </w:r>
      <w:sdt>
        <w:sdtPr>
          <w:citation/>
        </w:sdtPr>
        <w:sdtContent>
          <w:r>
            <w:fldChar w:fldCharType="begin"/>
          </w:r>
          <w:r>
            <w:instrText>CITATION BouchardCote2013</w:instrText>
          </w:r>
          <w:r>
            <w:fldChar w:fldCharType="separate"/>
          </w:r>
          <w:r>
            <w:t>[21]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Abner2024</w:instrText>
          </w:r>
          <w:r>
            <w:fldChar w:fldCharType="separate"/>
          </w:r>
          <w:r>
            <w:t>[22]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 segmental evolution of these forms is modeled as a continuous-time Markov process that permits three types of instantaneous events: </w:t>
      </w:r>
      <w:r>
        <w:rPr>
          <w:rFonts w:ascii="Libertinus Sans" w:eastAsia="Libertinus Sans" w:hAnsi="Libertinus Sans"/>
          <w:noProof/>
          <w:sz w:val="20"/>
          <w:szCs w:val="20"/>
        </w:rPr>
        <w:t>(i)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substitution of one segment by another; </w:t>
      </w:r>
      <w:r>
        <w:rPr>
          <w:rFonts w:ascii="Libertinus Sans" w:eastAsia="Libertinus Sans" w:hAnsi="Libertinus Sans"/>
          <w:noProof/>
          <w:sz w:val="20"/>
          <w:szCs w:val="20"/>
        </w:rPr>
        <w:t>(ii)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insertion of a segment; </w:t>
      </w:r>
      <w:r>
        <w:rPr>
          <w:rFonts w:ascii="Libertinus Sans" w:eastAsia="Libertinus Sans" w:hAnsi="Libertinus Sans"/>
          <w:noProof/>
          <w:sz w:val="20"/>
          <w:szCs w:val="20"/>
        </w:rPr>
        <w:t>(iii)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 xml:space="preserve">deletion of a segment. </w:t>
      </w:r>
      <w:r>
        <w:rPr>
          <w:rFonts w:ascii="Libertinus Sans" w:eastAsia="Libertinus Sans" w:hAnsi="Libertinus Sans"/>
          <w:sz w:val="20"/>
          <w:szCs w:val="20"/>
        </w:rPr>
        <w:t xml:space="preserve">This framework enables analysis in a manner directly analogous to molecular phylogenetic inference. </w:t>
      </w:r>
      <w:r>
        <w:rPr>
          <w:rFonts w:ascii="Libertinus Sans" w:eastAsia="Libertinus Sans" w:hAnsi="Libertinus Sans"/>
          <w:sz w:val="20"/>
          <w:szCs w:val="20"/>
        </w:rPr>
        <w:t>The model, first introduced by</w:t>
      </w:r>
      <w:sdt>
        <w:sdtPr>
          <w:citation/>
        </w:sdtPr>
        <w:sdtContent>
          <w:r>
            <w:fldChar w:fldCharType="begin"/>
          </w:r>
          <w:r>
            <w:instrText>CITATION Thorne1991</w:instrText>
          </w:r>
          <w:r>
            <w:fldChar w:fldCharType="separate"/>
          </w:r>
          <w:r>
            <w:t>[23]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is known in the molecular evolution literature as TKF91. </w:t>
      </w:r>
      <w:r>
        <w:rPr>
          <w:rFonts w:ascii="Libertinus Sans" w:eastAsia="Libertinus Sans" w:hAnsi="Libertinus Sans"/>
          <w:sz w:val="20"/>
          <w:szCs w:val="20"/>
        </w:rPr>
        <w:t xml:space="preserve">Just as nucleotides are treated as equivalent states irrespective of genomic position, our method treats segments as equivalent states across words. </w:t>
      </w:r>
      <w:r>
        <w:rPr>
          <w:rFonts w:ascii="Libertinus Sans" w:eastAsia="Libertinus Sans" w:hAnsi="Libertinus Sans"/>
          <w:sz w:val="20"/>
          <w:szCs w:val="20"/>
        </w:rPr>
        <w:t xml:space="preserve">This permits estimation of event rates by pooling information across lexical items and segmental positions. </w:t>
      </w:r>
      <w:r>
        <w:rPr>
          <w:rFonts w:ascii="Libertinus Sans" w:eastAsia="Libertinus Sans" w:hAnsi="Libertinus Sans"/>
          <w:sz w:val="20"/>
          <w:szCs w:val="20"/>
        </w:rPr>
        <w:t xml:space="preserve">By operating directly on segmental strings, the approach overcomes the principal limitations of trait-based coding. </w:t>
      </w:r>
      <w:r>
        <w:rPr>
          <w:rFonts w:ascii="Libertinus Sans" w:eastAsia="Libertinus Sans" w:hAnsi="Libertinus Sans"/>
          <w:sz w:val="20"/>
          <w:szCs w:val="20"/>
        </w:rPr>
        <w:t xml:space="preserve">It preserves segmental structure, avoids arbitrary state labels, accommodates invariant data, and conditions inference on observable word forms.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Although the TKF91 model can be used for tree estimation, we focus on its capacity to estimate rates of change among segments, a central question in both linguistic theory and phonological typology. </w:t>
      </w:r>
      <w:r>
        <w:rPr>
          <w:rFonts w:ascii="Libertinus Sans" w:eastAsia="Libertinus Sans" w:hAnsi="Libertinus Sans"/>
          <w:sz w:val="20"/>
          <w:szCs w:val="20"/>
        </w:rPr>
        <w:t>Several quantitative measures of diachronic segment stability have been proposed</w:t>
      </w:r>
      <w:sdt>
        <w:sdtPr>
          <w:citation/>
        </w:sdtPr>
        <w:sdtContent>
          <w:r>
            <w:fldChar w:fldCharType="begin"/>
          </w:r>
          <w:r>
            <w:instrText>CITATION Wichmann2009</w:instrText>
          </w:r>
          <w:r>
            <w:fldChar w:fldCharType="separate"/>
          </w:r>
          <w:r>
            <w:t>[24]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Moran2018</w:instrText>
          </w:r>
          <w:r>
            <w:fldChar w:fldCharType="separate"/>
          </w:r>
          <w:r>
            <w:t>[25]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Moran2021</w:instrText>
          </w:r>
          <w:r>
            <w:fldChar w:fldCharType="separate"/>
          </w:r>
          <w:r>
            <w:t>[26]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but these approaches are not embedded within an explicit phylogenetic framework and do not model segment-to-segment transitions. </w:t>
      </w:r>
      <w:r>
        <w:rPr>
          <w:rFonts w:ascii="Libertinus Sans" w:eastAsia="Libertinus Sans" w:hAnsi="Libertinus Sans"/>
          <w:sz w:val="20"/>
          <w:szCs w:val="20"/>
        </w:rPr>
        <w:t xml:space="preserve">A key advantage of our method is that it accommodates a broad class of transition models unconstrained by arbitrary state codings. </w:t>
      </w:r>
      <w:r>
        <w:rPr>
          <w:rFonts w:ascii="Libertinus Sans" w:eastAsia="Libertinus Sans" w:hAnsi="Libertinus Sans"/>
          <w:sz w:val="20"/>
          <w:szCs w:val="20"/>
        </w:rPr>
        <w:t xml:space="preserve">We demonstrate the power of the TKF91 model with a sample of </w:t>
      </w:r>
      <w:r>
        <w:rPr>
          <w:rFonts w:ascii="Libertinus Sans" w:eastAsia="Libertinus Sans" w:hAnsi="Libertinus Sans"/>
          <w:sz w:val="20"/>
          <w:szCs w:val="20"/>
        </w:rPr>
        <w:t>eight</w:t>
      </w:r>
      <w:r>
        <w:rPr>
          <w:rFonts w:ascii="Libertinus Sans" w:eastAsia="Libertinus Sans" w:hAnsi="Libertinus Sans"/>
          <w:sz w:val="20"/>
          <w:szCs w:val="20"/>
        </w:rPr>
        <w:t xml:space="preserve"> Romance languages together with Latin. </w:t>
      </w:r>
      <w:r>
        <w:rPr>
          <w:rFonts w:ascii="Libertinus Sans" w:eastAsia="Libertinus Sans" w:hAnsi="Libertinus Sans"/>
          <w:sz w:val="20"/>
          <w:szCs w:val="20"/>
        </w:rPr>
        <w:t xml:space="preserve">The analysis yields three principal findings concerning sound change from Latin to Romance. </w:t>
      </w:r>
      <w:r>
        <w:rPr>
          <w:rFonts w:ascii="Libertinus Sans" w:eastAsia="Libertinus Sans" w:hAnsi="Libertinus Sans"/>
          <w:sz w:val="20"/>
          <w:szCs w:val="20"/>
        </w:rPr>
        <w:t xml:space="preserve">First, vowels exhibit greater diachronic volatility than consonants. </w:t>
      </w:r>
      <w:r>
        <w:rPr>
          <w:rFonts w:ascii="Libertinus Sans" w:eastAsia="Libertinus Sans" w:hAnsi="Libertinus Sans"/>
          <w:sz w:val="20"/>
          <w:szCs w:val="20"/>
        </w:rPr>
        <w:t xml:space="preserve">Second, models that parameterize transition rates over phonological natural classes provide a substantially better fit than simpler alternatives. </w:t>
      </w:r>
      <w:r>
        <w:rPr>
          <w:rFonts w:ascii="Libertinus Sans" w:eastAsia="Libertinus Sans" w:hAnsi="Libertinus Sans"/>
          <w:sz w:val="20"/>
          <w:szCs w:val="20"/>
        </w:rPr>
        <w:t xml:space="preserve">Third, the inferred equilibrium frequencies indicate a disproportionate representation of stops and short vowels in Romance lexical forms relative to other segment classes.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remainder of this paper is structured as follows. </w:t>
      </w:r>
      <w:r>
        <w:rPr>
          <w:rFonts w:ascii="Libertinus Sans" w:eastAsia="Libertinus Sans" w:hAnsi="Libertinus Sans"/>
          <w:sz w:val="20"/>
          <w:szCs w:val="20"/>
        </w:rPr>
        <w:t xml:space="preserve">Sections </w:t>
      </w:r>
      <w:hyperlink w:anchor="PaperSections_Data" w:history="1">
        <w:r>
          <w:rPr>
            <w:rFonts w:ascii="Libertinus Sans" w:eastAsia="Libertinus Sans" w:hAnsi="Libertinus Sans"/>
            <w:sz w:val="20"/>
            <w:szCs w:val="20"/>
          </w:rPr>
          <w:t>2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and </w:t>
      </w:r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3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describe the data and methodological framework. </w:t>
      </w:r>
      <w:hyperlink w:anchor="PaperSections_Results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Results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Results" w:history="1">
        <w:r>
          <w:rPr>
            <w:rFonts w:ascii="Libertinus Sans" w:eastAsia="Libertinus Sans" w:hAnsi="Libertinus Sans"/>
            <w:sz w:val="20"/>
            <w:szCs w:val="20"/>
          </w:rPr>
          <w:t>4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presents the empirical results. </w:t>
      </w:r>
      <w:hyperlink w:anchor="PaperSections_DiscussionSection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DiscussionSect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DiscussionSection" w:history="1">
        <w:r>
          <w:rPr>
            <w:rFonts w:ascii="Libertinus Sans" w:eastAsia="Libertinus Sans" w:hAnsi="Libertinus Sans"/>
            <w:sz w:val="20"/>
            <w:szCs w:val="20"/>
          </w:rPr>
          <w:t>5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situates these results within historical phonology and phonological typology and compares our approach to the other views of sound change. </w:t>
      </w:r>
      <w:hyperlink w:anchor="PaperSections_Conclusion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Conclus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Conclusion" w:history="1">
        <w:r>
          <w:rPr>
            <w:rFonts w:ascii="Libertinus Sans" w:eastAsia="Libertinus Sans" w:hAnsi="Libertinus Sans"/>
            <w:sz w:val="20"/>
            <w:szCs w:val="20"/>
          </w:rPr>
          <w:t>6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concludes with a summary of the principal contributions and outlines directions for further development of the TKF91 approach.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12" w:name="PaperSections_Data"/>
      <w:bookmarkEnd w:id="12"/>
      <w:r>
        <w:rPr>
          <w:rFonts w:ascii="Libertinus Sans" w:eastAsia="Libertinus Sans" w:hAnsi="Libertinus Sans"/>
          <w:b/>
          <w:sz w:val="32"/>
          <w:szCs w:val="32"/>
        </w:rPr>
        <w:t>2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Data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13" w:name="PaperSections_Data"/>
      <w:bookmarkEnd w:id="13"/>
      <w:r>
        <w:rPr>
          <w:rFonts w:ascii="Libertinus Sans" w:eastAsia="Libertinus Sans" w:hAnsi="Libertinus Sans"/>
          <w:sz w:val="20"/>
          <w:szCs w:val="20"/>
        </w:rPr>
        <w:t xml:space="preserve">The dataset consists of cognate word forms drawn from a sample of </w:t>
      </w:r>
      <w:r>
        <w:rPr>
          <w:rFonts w:ascii="Libertinus Sans" w:eastAsia="Libertinus Sans" w:hAnsi="Libertinus Sans"/>
          <w:sz w:val="20"/>
          <w:szCs w:val="20"/>
        </w:rPr>
        <w:t>eight</w:t>
      </w:r>
      <w:r>
        <w:rPr>
          <w:rFonts w:ascii="Libertinus Sans" w:eastAsia="Libertinus Sans" w:hAnsi="Libertinus Sans"/>
          <w:sz w:val="20"/>
          <w:szCs w:val="20"/>
        </w:rPr>
        <w:t xml:space="preserve"> Romance languages and Latin, </w:t>
      </w:r>
      <w:r>
        <w:rPr>
          <w:rFonts w:ascii="Libertinus Sans" w:eastAsia="Libertinus Sans" w:hAnsi="Libertinus Sans"/>
          <w:sz w:val="20"/>
          <w:szCs w:val="20"/>
        </w:rPr>
        <w:t xml:space="preserve">whose geographic distribution is presented in </w:t>
      </w:r>
      <w:hyperlink w:anchor="LanguageDistribution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LanguageDistribut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LanguageDistribution" w:history="1">
        <w:fldSimple w:instr="REF LanguageDistribution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The word forms are cognate in the traditional sense: they descend from a common ancestor</w:t>
      </w:r>
      <w:sdt>
        <w:sdtPr>
          <w:citation/>
        </w:sdtPr>
        <w:sdtContent>
          <w:r>
            <w:fldChar w:fldCharType="begin"/>
          </w:r>
          <w:r>
            <w:instrText>CITATION Chang2015</w:instrText>
          </w:r>
          <w:r>
            <w:fldChar w:fldCharType="separate"/>
          </w:r>
          <w:r>
            <w:t>[27]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In contrast to root-meaning traits (such as the one illustrated in </w:t>
      </w:r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Cognate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CognateCoding" w:history="1">
        <w:fldSimple w:instr="REF Cognate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), cognacy does not depend on semantic equivalence. </w:t>
      </w:r>
      <w:r>
        <w:rPr>
          <w:rFonts w:ascii="Libertinus Sans" w:eastAsia="Libertinus Sans" w:hAnsi="Libertinus Sans"/>
          <w:sz w:val="20"/>
          <w:szCs w:val="20"/>
        </w:rPr>
        <w:t xml:space="preserve">For instance, the Latin adjective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gravis</w:t>
      </w:r>
      <w:r>
        <w:rPr>
          <w:rFonts w:ascii="Libertinus Sans" w:eastAsia="Libertinus Sans" w:hAnsi="Libertinus Sans"/>
          <w:sz w:val="20"/>
          <w:szCs w:val="20"/>
        </w:rPr>
        <w:t xml:space="preserve"> means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heavy</w:t>
      </w:r>
      <w:r>
        <w:rPr>
          <w:rFonts w:ascii="Libertinus Sans" w:eastAsia="Libertinus Sans" w:hAnsi="Libertinus Sans"/>
          <w:sz w:val="20"/>
          <w:szCs w:val="20"/>
        </w:rPr>
        <w:t xml:space="preserve">,’ </w:t>
      </w:r>
      <w:r>
        <w:rPr>
          <w:rFonts w:ascii="Libertinus Sans" w:eastAsia="Libertinus Sans" w:hAnsi="Libertinus Sans"/>
          <w:sz w:val="20"/>
          <w:szCs w:val="20"/>
        </w:rPr>
        <w:t xml:space="preserve">but French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grave</w:t>
      </w:r>
      <w:r>
        <w:rPr>
          <w:rFonts w:ascii="Libertinus Sans" w:eastAsia="Libertinus Sans" w:hAnsi="Libertinus Sans"/>
          <w:sz w:val="20"/>
          <w:szCs w:val="20"/>
        </w:rPr>
        <w:t xml:space="preserve"> means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serious</w:t>
      </w:r>
      <w:r>
        <w:rPr>
          <w:rFonts w:ascii="Libertinus Sans" w:eastAsia="Libertinus Sans" w:hAnsi="Libertinus Sans"/>
          <w:sz w:val="20"/>
          <w:szCs w:val="20"/>
        </w:rPr>
        <w:t xml:space="preserve">.’ </w:t>
      </w:r>
      <w:r>
        <w:rPr>
          <w:rFonts w:ascii="Libertinus Sans" w:eastAsia="Libertinus Sans" w:hAnsi="Libertinus Sans"/>
          <w:sz w:val="20"/>
          <w:szCs w:val="20"/>
        </w:rPr>
        <w:t xml:space="preserve">Despite this semantic divergence, they are assigned to the same cognate set because they are segmentally homologous.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108" name="Frame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15" w:name="ManualAlignment"/>
                            <w:fldSimple w:instr="SEQ Table \* ARABIC " w:dirty="1">
                              <w:r>
                                <w:t>2</w:t>
                              </w:r>
                            </w:fldSimple>
                            <w:bookmarkEnd w:id="15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Manual alignment of the words for the concept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what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.’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098800" cy="1534160"/>
                                  <wp:effectExtent l="0" t="0" r="0" b="0"/>
                                  <wp:docPr id="114" name="Image1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4" name="Image114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4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15341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Cognate sets were assembled as follows. </w:t>
      </w:r>
      <w:r>
        <w:rPr>
          <w:rFonts w:ascii="Libertinus Sans" w:eastAsia="Libertinus Sans" w:hAnsi="Libertinus Sans"/>
          <w:sz w:val="20"/>
          <w:szCs w:val="20"/>
        </w:rPr>
        <w:t xml:space="preserve">We began by identifying basic-vocabulary items in Latin using the Swadesh 207-item list. </w:t>
      </w:r>
      <w:r>
        <w:rPr>
          <w:rFonts w:ascii="Libertinus Sans" w:eastAsia="Libertinus Sans" w:hAnsi="Libertinus Sans"/>
          <w:sz w:val="20"/>
          <w:szCs w:val="20"/>
        </w:rPr>
        <w:t xml:space="preserve">Although cognates of any semantic domain could in principle have been selected, the Swadesh list was employed solely to minimize the likelihood of borrowing. </w:t>
      </w:r>
      <w:r>
        <w:rPr>
          <w:rFonts w:ascii="Libertinus Sans" w:eastAsia="Libertinus Sans" w:hAnsi="Libertinus Sans"/>
          <w:sz w:val="20"/>
          <w:szCs w:val="20"/>
        </w:rPr>
        <w:t xml:space="preserve">For each Latin lexeme, corresponding cognates in the </w:t>
      </w:r>
      <w:r>
        <w:rPr>
          <w:rFonts w:ascii="Libertinus Sans" w:eastAsia="Libertinus Sans" w:hAnsi="Libertinus Sans"/>
          <w:sz w:val="20"/>
          <w:szCs w:val="20"/>
        </w:rPr>
        <w:t>eight</w:t>
      </w:r>
      <w:r>
        <w:rPr>
          <w:rFonts w:ascii="Libertinus Sans" w:eastAsia="Libertinus Sans" w:hAnsi="Libertinus Sans"/>
          <w:sz w:val="20"/>
          <w:szCs w:val="20"/>
        </w:rPr>
        <w:t xml:space="preserve"> Romance languages were collected from etymological dictionaries. </w:t>
      </w:r>
      <w:r>
        <w:rPr>
          <w:rFonts w:ascii="Libertinus Sans" w:eastAsia="Libertinus Sans" w:hAnsi="Libertinus Sans"/>
          <w:sz w:val="20"/>
          <w:szCs w:val="20"/>
        </w:rPr>
        <w:t xml:space="preserve">Forms identified as borrowings, whether from Latin or among Romance varieties, were excluded. </w:t>
      </w:r>
      <w:r>
        <w:rPr>
          <w:rFonts w:ascii="Libertinus Sans" w:eastAsia="Libertinus Sans" w:hAnsi="Libertinus Sans"/>
          <w:sz w:val="20"/>
          <w:szCs w:val="20"/>
        </w:rPr>
        <w:t xml:space="preserve">The decision to anchor the dataset in Latin was motivated by practical considerations. </w:t>
      </w:r>
      <w:r>
        <w:rPr>
          <w:rFonts w:ascii="Libertinus Sans" w:eastAsia="Libertinus Sans" w:hAnsi="Libertinus Sans"/>
          <w:sz w:val="20"/>
          <w:szCs w:val="20"/>
        </w:rPr>
        <w:t xml:space="preserve">Since we only used complete cognate sets, </w:t>
      </w:r>
      <w:r>
        <w:rPr>
          <w:rFonts w:ascii="Libertinus Sans" w:eastAsia="Libertinus Sans" w:hAnsi="Libertinus Sans"/>
          <w:sz w:val="20"/>
          <w:szCs w:val="20"/>
        </w:rPr>
        <w:t xml:space="preserve">beginning with Latin maximized the chances of having cognates in all of the Romance languages in our sample. </w:t>
      </w:r>
      <w:r>
        <w:rPr>
          <w:rFonts w:ascii="Libertinus Sans" w:eastAsia="Libertinus Sans" w:hAnsi="Libertinus Sans"/>
          <w:sz w:val="20"/>
          <w:szCs w:val="20"/>
        </w:rPr>
        <w:t>(In principle, incomplete cognate sets, i.e., those lacking a reflex in one or more languages, could be incorporated. However, restricting the dataset to complete sets simplifies parameter estimation and was therefore adopted for this initial investigation.)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dataset comprises </w:t>
      </w:r>
      <w:r>
        <w:rPr>
          <w:rFonts w:ascii="Libertinus Sans" w:eastAsia="Libertinus Sans" w:hAnsi="Libertinus Sans"/>
          <w:sz w:val="20"/>
          <w:szCs w:val="20"/>
        </w:rPr>
        <w:t>102</w:t>
      </w:r>
      <w:r>
        <w:rPr>
          <w:rFonts w:ascii="Libertinus Sans" w:eastAsia="Libertinus Sans" w:hAnsi="Libertinus Sans"/>
          <w:sz w:val="20"/>
          <w:szCs w:val="20"/>
        </w:rPr>
        <w:t xml:space="preserve"> cognate sets, totaling </w:t>
      </w:r>
      <w:r>
        <w:rPr>
          <w:rFonts w:ascii="Libertinus Sans" w:eastAsia="Libertinus Sans" w:hAnsi="Libertinus Sans"/>
          <w:sz w:val="20"/>
          <w:szCs w:val="20"/>
        </w:rPr>
        <w:t>918</w:t>
      </w:r>
      <w:r>
        <w:rPr>
          <w:rFonts w:ascii="Libertinus Sans" w:eastAsia="Libertinus Sans" w:hAnsi="Libertinus Sans"/>
          <w:sz w:val="20"/>
          <w:szCs w:val="20"/>
        </w:rPr>
        <w:t xml:space="preserve"> word forms and </w:t>
      </w:r>
      <w:r>
        <w:rPr>
          <w:rFonts w:ascii="Libertinus Sans" w:eastAsia="Libertinus Sans" w:hAnsi="Libertinus Sans"/>
          <w:sz w:val="20"/>
          <w:szCs w:val="20"/>
        </w:rPr>
        <w:t>79</w:t>
      </w:r>
      <w:r>
        <w:rPr>
          <w:rFonts w:ascii="Libertinus Sans" w:eastAsia="Libertinus Sans" w:hAnsi="Libertinus Sans"/>
          <w:sz w:val="20"/>
          <w:szCs w:val="20"/>
        </w:rPr>
        <w:t xml:space="preserve"> distinct segments distributed across </w:t>
      </w:r>
      <w:r>
        <w:rPr>
          <w:rFonts w:ascii="Libertinus Sans" w:eastAsia="Libertinus Sans" w:hAnsi="Libertinus Sans"/>
          <w:sz w:val="20"/>
          <w:szCs w:val="20"/>
        </w:rPr>
        <w:t>98</w:t>
      </w:r>
      <w:r>
        <w:rPr>
          <w:rFonts w:ascii="Libertinus Sans" w:eastAsia="Libertinus Sans" w:hAnsi="Libertinus Sans"/>
          <w:sz w:val="20"/>
          <w:szCs w:val="20"/>
        </w:rPr>
        <w:t xml:space="preserve"> concepts. </w:t>
      </w:r>
      <w:r>
        <w:rPr>
          <w:rFonts w:ascii="Libertinus Sans" w:eastAsia="Libertinus Sans" w:hAnsi="Libertinus Sans"/>
          <w:sz w:val="20"/>
          <w:szCs w:val="20"/>
        </w:rPr>
        <w:t xml:space="preserve">Word forms may be represented either phonetically or phonemically; in this study, we adopt phonemic representations for two reasons. </w:t>
      </w:r>
      <w:r>
        <w:rPr>
          <w:rFonts w:ascii="Libertinus Sans" w:eastAsia="Libertinus Sans" w:hAnsi="Libertinus Sans"/>
          <w:sz w:val="20"/>
          <w:szCs w:val="20"/>
        </w:rPr>
        <w:t xml:space="preserve">First, detailed phonetic transcriptions are not consistently available, particularly for a corpus language such as Latin. </w:t>
      </w:r>
      <w:r>
        <w:rPr>
          <w:rFonts w:ascii="Libertinus Sans" w:eastAsia="Libertinus Sans" w:hAnsi="Libertinus Sans"/>
          <w:sz w:val="20"/>
          <w:szCs w:val="20"/>
        </w:rPr>
        <w:t xml:space="preserve">Second, the current implementation of the model does not accommodate within-language phonetic variation. </w:t>
      </w:r>
      <w:r>
        <w:rPr>
          <w:rFonts w:ascii="Libertinus Sans" w:eastAsia="Libertinus Sans" w:hAnsi="Libertinus Sans"/>
          <w:sz w:val="20"/>
          <w:szCs w:val="20"/>
        </w:rPr>
        <w:t xml:space="preserve">Accordingly, reliance on phonetic data would have necessitated selecting a single, potentially arbitrary, surface realization for each form. </w:t>
      </w:r>
      <w:r>
        <w:rPr>
          <w:rFonts w:ascii="Libertinus Sans" w:eastAsia="Libertinus Sans" w:hAnsi="Libertinus Sans"/>
          <w:sz w:val="20"/>
          <w:szCs w:val="20"/>
        </w:rPr>
        <w:t xml:space="preserve">All representations are strictly segmental. </w:t>
      </w:r>
      <w:r>
        <w:rPr>
          <w:rFonts w:ascii="Libertinus Sans" w:eastAsia="Libertinus Sans" w:hAnsi="Libertinus Sans"/>
          <w:sz w:val="20"/>
          <w:szCs w:val="20"/>
        </w:rPr>
        <w:t xml:space="preserve">Suprasegmental properties, including stress and syllable structure, are not encoded. </w:t>
      </w:r>
      <w:r>
        <w:rPr>
          <w:rFonts w:ascii="Libertinus Sans" w:eastAsia="Libertinus Sans" w:hAnsi="Libertinus Sans"/>
          <w:sz w:val="20"/>
          <w:szCs w:val="20"/>
        </w:rPr>
        <w:t>Segments are transcribed using standard Unicode IPA conventions</w:t>
      </w:r>
      <w:sdt>
        <w:sdtPr>
          <w:citation/>
        </w:sdtPr>
        <w:sdtContent>
          <w:r>
            <w:fldChar w:fldCharType="begin"/>
          </w:r>
          <w:r>
            <w:instrText>CITATION IPA1999</w:instrText>
          </w:r>
          <w:r>
            <w:fldChar w:fldCharType="separate"/>
          </w:r>
          <w:r>
            <w:t>[28]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Within each cognate set, word forms were manually aligned. An illustrative example is provided in </w:t>
      </w:r>
      <w:hyperlink w:anchor="ManualAlignment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ManualAlignment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ManualAlignment" w:history="1">
        <w:fldSimple w:instr="REF ManualAlignment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for the concept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what</w:t>
      </w:r>
      <w:r>
        <w:rPr>
          <w:rFonts w:ascii="Libertinus Sans" w:eastAsia="Libertinus Sans" w:hAnsi="Libertinus Sans"/>
          <w:sz w:val="20"/>
          <w:szCs w:val="20"/>
        </w:rPr>
        <w:t xml:space="preserve">.’ </w:t>
      </w:r>
      <w:r>
        <w:rPr>
          <w:rFonts w:ascii="Libertinus Sans" w:eastAsia="Libertinus Sans" w:hAnsi="Libertinus Sans"/>
          <w:sz w:val="20"/>
          <w:szCs w:val="20"/>
        </w:rPr>
        <w:t>Dashes (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-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>) indicate the absence of a segment homologous to one present in other forms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For example, the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i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of Latin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kʷ-id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corresponds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wa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in French and Walloon. To represent the emergence of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w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an empty segmental position is introduced before the vowel in the remaining languages. </w:t>
      </w:r>
      <w:r>
        <w:rPr>
          <w:rFonts w:ascii="Libertinus Sans" w:eastAsia="Libertinus Sans" w:hAnsi="Libertinus Sans"/>
          <w:sz w:val="20"/>
          <w:szCs w:val="20"/>
        </w:rPr>
        <w:t xml:space="preserve">As discussed in </w:t>
      </w:r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3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, however, these manual alignments serve only as initial configurations for the Markov chain Monte Carlo procedure. </w:t>
      </w:r>
      <w:r>
        <w:rPr>
          <w:rFonts w:ascii="Libertinus Sans" w:eastAsia="Libertinus Sans" w:hAnsi="Libertinus Sans"/>
          <w:sz w:val="20"/>
          <w:szCs w:val="20"/>
        </w:rPr>
        <w:t xml:space="preserve">Inference does not condition on any fixed alignment and the posterior distribution integrates over alternative homology assignments. </w:t>
      </w:r>
      <w:r>
        <w:rPr>
          <w:rFonts w:ascii="Libertinus Sans" w:eastAsia="Libertinus Sans" w:hAnsi="Libertinus Sans"/>
          <w:sz w:val="20"/>
          <w:szCs w:val="20"/>
        </w:rPr>
        <w:t xml:space="preserve">Accordingly, explicit gap symbols are not required elements of the input.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Latin is a highly synthetic language in which most lexical items exhibit multiple inflected forms. </w:t>
      </w:r>
      <w:r>
        <w:rPr>
          <w:rFonts w:ascii="Libertinus Sans" w:eastAsia="Libertinus Sans" w:hAnsi="Libertinus Sans"/>
          <w:sz w:val="20"/>
          <w:szCs w:val="20"/>
        </w:rPr>
        <w:t xml:space="preserve">For purposes of analysis, each lexical item in the dataset is represented by a single form. </w:t>
      </w:r>
      <w:r>
        <w:rPr>
          <w:rFonts w:ascii="Libertinus Sans" w:eastAsia="Libertinus Sans" w:hAnsi="Libertinus Sans"/>
          <w:sz w:val="20"/>
          <w:szCs w:val="20"/>
        </w:rPr>
        <w:t xml:space="preserve">Verbs are represented by the present active infinitive. </w:t>
      </w:r>
      <w:r>
        <w:rPr>
          <w:rFonts w:ascii="Libertinus Sans" w:eastAsia="Libertinus Sans" w:hAnsi="Libertinus Sans"/>
          <w:sz w:val="20"/>
          <w:szCs w:val="20"/>
        </w:rPr>
        <w:t xml:space="preserve">Nouns, adjectives, and pronouns are represented by singular forms in either the accusative or, less frequently, the nominative case, as these are the case forms directly continued in the Romance languages. </w:t>
      </w:r>
      <w:r>
        <w:rPr>
          <w:rFonts w:ascii="Libertinus Sans" w:eastAsia="Libertinus Sans" w:hAnsi="Libertinus Sans"/>
          <w:sz w:val="20"/>
          <w:szCs w:val="20"/>
        </w:rPr>
        <w:t xml:space="preserve">The selection of citation form is not methodologically neutral, as it can influence estimated transition rates. </w:t>
      </w:r>
      <w:r>
        <w:rPr>
          <w:rFonts w:ascii="Libertinus Sans" w:eastAsia="Libertinus Sans" w:hAnsi="Libertinus Sans"/>
          <w:sz w:val="20"/>
          <w:szCs w:val="20"/>
        </w:rPr>
        <w:t xml:space="preserve">For example, most masculine singular nominative adjectives in Latin end in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-us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whereas feminine singular nominative adjectives end in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-a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Systematic inclusion of feminine forms would increase the number of transitions originating in this vowel.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The lexical histories of the Romance languages are complex</w:t>
      </w:r>
      <w:sdt>
        <w:sdtPr>
          <w:citation/>
        </w:sdtPr>
        <w:sdtContent>
          <w:r>
            <w:fldChar w:fldCharType="begin"/>
          </w:r>
          <w:r>
            <w:instrText>CITATION Stefenelli1992</w:instrText>
          </w:r>
          <w:r>
            <w:fldChar w:fldCharType="separate"/>
          </w:r>
          <w:r>
            <w:t>[29]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Dworkin2016b</w:instrText>
          </w:r>
          <w:r>
            <w:fldChar w:fldCharType="separate"/>
          </w:r>
          <w:r>
            <w:t>[30]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as they reflect not only vertical inheritance but also substantial borrowing both from within Romance and from Latin itself. </w:t>
      </w:r>
      <w:r>
        <w:rPr>
          <w:rFonts w:ascii="Libertinus Sans" w:eastAsia="Libertinus Sans" w:hAnsi="Libertinus Sans"/>
          <w:sz w:val="20"/>
          <w:szCs w:val="20"/>
        </w:rPr>
        <w:t xml:space="preserve">Given this non-tree-like component of their evolution, one might question the suitability of Romance data for phylogenetic modeling. </w:t>
      </w:r>
      <w:r>
        <w:rPr>
          <w:rFonts w:ascii="Libertinus Sans" w:eastAsia="Libertinus Sans" w:hAnsi="Libertinus Sans"/>
          <w:sz w:val="20"/>
          <w:szCs w:val="20"/>
        </w:rPr>
        <w:t xml:space="preserve">In fact, Romance cognates are particularly well suited to our objectives for two reasons. </w:t>
      </w:r>
      <w:r>
        <w:rPr>
          <w:rFonts w:ascii="Libertinus Sans" w:eastAsia="Libertinus Sans" w:hAnsi="Libertinus Sans"/>
          <w:sz w:val="20"/>
          <w:szCs w:val="20"/>
        </w:rPr>
        <w:t>First, the dataset is restricted to basic vocabulary, a domain in which borrowing is relatively infrequent</w:t>
      </w:r>
      <w:sdt>
        <w:sdtPr>
          <w:citation/>
        </w:sdtPr>
        <w:sdtContent>
          <w:r>
            <w:fldChar w:fldCharType="begin"/>
          </w:r>
          <w:r>
            <w:instrText>CITATION Tadmor2010</w:instrText>
          </w:r>
          <w:r>
            <w:fldChar w:fldCharType="separate"/>
          </w:r>
          <w:r>
            <w:t>[19]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Carling2019</w:instrText>
          </w:r>
          <w:r>
            <w:fldChar w:fldCharType="separate"/>
          </w:r>
          <w:r>
            <w:t>[31]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Second, the phonological development of the Romance languages, which are attested in written sources from as early as the 9</w:t>
      </w:r>
      <w:r>
        <w:rPr>
          <w:rFonts w:ascii="Libertinus Sans" w:eastAsia="Libertinus Sans" w:hAnsi="Libertinus Sans"/>
          <w:sz w:val="20"/>
          <w:szCs w:val="20"/>
          <w:vertAlign w:val="superscript"/>
        </w:rPr>
        <w:t>th</w:t>
      </w:r>
      <w:r>
        <w:rPr>
          <w:rFonts w:ascii="Libertinus Sans" w:eastAsia="Libertinus Sans" w:hAnsi="Libertinus Sans"/>
          <w:sz w:val="20"/>
          <w:szCs w:val="20"/>
        </w:rPr>
        <w:t xml:space="preserve"> and 10</w:t>
      </w:r>
      <w:r>
        <w:rPr>
          <w:rFonts w:ascii="Libertinus Sans" w:eastAsia="Libertinus Sans" w:hAnsi="Libertinus Sans"/>
          <w:sz w:val="20"/>
          <w:szCs w:val="20"/>
          <w:vertAlign w:val="superscript"/>
        </w:rPr>
        <w:t>th</w:t>
      </w:r>
      <w:r>
        <w:rPr>
          <w:rFonts w:ascii="Libertinus Sans" w:eastAsia="Libertinus Sans" w:hAnsi="Libertinus Sans"/>
          <w:sz w:val="20"/>
          <w:szCs w:val="20"/>
        </w:rPr>
        <w:t xml:space="preserve"> centuries, is sufficiently well understood that borrowings and Latinisms can often be identified. </w:t>
      </w:r>
      <w:r>
        <w:rPr>
          <w:rFonts w:ascii="Libertinus Sans" w:eastAsia="Libertinus Sans" w:hAnsi="Libertinus Sans"/>
          <w:sz w:val="20"/>
          <w:szCs w:val="20"/>
        </w:rPr>
        <w:t xml:space="preserve">All forms for which evidence of borrowing was detected were excluded. </w:t>
      </w:r>
      <w:r>
        <w:rPr>
          <w:rFonts w:ascii="Libertinus Sans" w:eastAsia="Libertinus Sans" w:hAnsi="Libertinus Sans"/>
          <w:sz w:val="20"/>
          <w:szCs w:val="20"/>
        </w:rPr>
        <w:t xml:space="preserve">Romance cognates are thus appropriate for our analysis for the same reason that the traditional comparative method has successfully reconstructed Proto-Romance forms. </w:t>
      </w:r>
      <w:r>
        <w:rPr>
          <w:rFonts w:ascii="Libertinus Sans" w:eastAsia="Libertinus Sans" w:hAnsi="Libertinus Sans"/>
          <w:sz w:val="20"/>
          <w:szCs w:val="20"/>
        </w:rPr>
        <w:t xml:space="preserve">For example, the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Dictionnaire Étymologique Roman</w:t>
      </w:r>
      <w:sdt>
        <w:sdtPr>
          <w:citation/>
        </w:sdtPr>
        <w:sdtContent>
          <w:r>
            <w:fldChar w:fldCharType="begin"/>
          </w:r>
          <w:r>
            <w:instrText>CITATION Derom</w:instrText>
          </w:r>
          <w:r>
            <w:fldChar w:fldCharType="separate"/>
          </w:r>
          <w:r>
            <w:t>[32]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 reconstructs portions of the Proto-Romance lexicon from a dataset comparable in scope and design to ours.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16" w:name="PaperSections_MethodsSection"/>
      <w:bookmarkEnd w:id="16"/>
      <w:r>
        <w:rPr>
          <w:rFonts w:ascii="Libertinus Sans" w:eastAsia="Libertinus Sans" w:hAnsi="Libertinus Sans"/>
          <w:b/>
          <w:sz w:val="32"/>
          <w:szCs w:val="32"/>
        </w:rPr>
        <w:t>3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Methods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17" w:name="PaperSections_MethodsSection"/>
      <w:bookmarkEnd w:id="17"/>
      <w:r>
        <w:rPr>
          <w:rFonts w:ascii="Libertinus Sans" w:eastAsia="Libertinus Sans" w:hAnsi="Libertinus Sans"/>
          <w:sz w:val="20"/>
          <w:szCs w:val="20"/>
        </w:rPr>
        <w:t xml:space="preserve">A comprehensive account of the model specification and computational implementation is provided in the Supplemental Material. </w:t>
      </w:r>
      <w:r>
        <w:rPr>
          <w:rFonts w:ascii="Libertinus Sans" w:eastAsia="Libertinus Sans" w:hAnsi="Libertinus Sans"/>
          <w:sz w:val="20"/>
          <w:szCs w:val="20"/>
        </w:rPr>
        <w:t xml:space="preserve">The discussion here summarizes the essential components of the framework and the structure of the empirical analyses.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18" w:name="PaperSections_ModelInference"/>
      <w:bookmarkEnd w:id="18"/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Model and Statistical Inference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19" w:name="PaperSections_ModelInference"/>
      <w:bookmarkEnd w:id="19"/>
      <w:r>
        <w:rPr>
          <w:rFonts w:ascii="Libertinus Sans" w:eastAsia="Libertinus Sans" w:hAnsi="Libertinus Sans"/>
          <w:sz w:val="20"/>
          <w:szCs w:val="20"/>
        </w:rPr>
        <w:t xml:space="preserve">We assume that the languages in our sample are related by an unknown phylogenetic tree, </w:t>
      </w:r>
      <w:r>
        <w:rPr>
          <w:rFonts w:ascii="CMU Serif" w:eastAsia="CMU Serif" w:hAnsi="CMU Serif"/>
          <w:noProof/>
          <w:sz w:val="20"/>
          <w:szCs w:val="20"/>
        </w:rPr>
        <w:t>Ψ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erif" w:eastAsia="CMU Serif" w:hAnsi="CMU Serif"/>
          <w:noProof/>
          <w:sz w:val="20"/>
          <w:szCs w:val="20"/>
        </w:rPr>
        <w:t>(</w:t>
      </w:r>
      <w:r>
        <w:rPr>
          <w:rFonts w:ascii="CMU Serif" w:eastAsia="CMU Serif" w:hAnsi="CMU Serif"/>
          <w:noProof/>
          <w:sz w:val="20"/>
          <w:szCs w:val="20"/>
        </w:rPr>
        <w:t>τ</w:t>
      </w:r>
      <w:r>
        <w:rPr>
          <w:rFonts w:ascii="CMU Serif" w:eastAsia="CMU Serif" w:hAnsi="CMU Serif"/>
          <w:noProof/>
          <w:sz w:val="20"/>
          <w:szCs w:val="20"/>
        </w:rPr>
        <w:t xml:space="preserve">, </w:t>
      </w:r>
      <w:r>
        <w:rPr>
          <w:rFonts w:ascii="CMU Serif" w:eastAsia="CMU Serif" w:hAnsi="CMU Serif"/>
          <w:noProof/>
          <w:sz w:val="20"/>
          <w:szCs w:val="20"/>
        </w:rPr>
        <w:t>ν</w:t>
      </w:r>
      <w:r>
        <w:rPr>
          <w:rFonts w:ascii="CMU Serif" w:eastAsia="CMU Serif" w:hAnsi="CMU Serif"/>
          <w:noProof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, which encodes both their branching structure </w:t>
      </w:r>
      <w:r>
        <w:rPr>
          <w:rFonts w:ascii="CMU Serif" w:eastAsia="CMU Serif" w:hAnsi="CMU Serif"/>
          <w:sz w:val="20"/>
          <w:szCs w:val="20"/>
        </w:rPr>
        <w:t>(</w:t>
      </w:r>
      <w:r>
        <w:rPr>
          <w:rFonts w:ascii="CMU Serif" w:eastAsia="CMU Serif" w:hAnsi="CMU Serif"/>
          <w:noProof/>
          <w:sz w:val="20"/>
          <w:szCs w:val="20"/>
        </w:rPr>
        <w:t>τ</w:t>
      </w:r>
      <w:r>
        <w:rPr>
          <w:rFonts w:ascii="CMU Serif" w:eastAsia="CMU Serif" w:hAnsi="CMU Serif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 and the expected number of phonemic transition events </w:t>
      </w:r>
      <w:r>
        <w:rPr>
          <w:rFonts w:ascii="CMU Serif" w:eastAsia="CMU Serif" w:hAnsi="CMU Serif"/>
          <w:noProof/>
          <w:sz w:val="20"/>
          <w:szCs w:val="20"/>
        </w:rPr>
        <w:t>ν</w:t>
      </w:r>
      <w:r>
        <w:rPr>
          <w:rFonts w:ascii="Libertinus Sans" w:eastAsia="Libertinus Sans" w:hAnsi="Libertinus Sans"/>
          <w:sz w:val="20"/>
          <w:szCs w:val="20"/>
        </w:rPr>
        <w:t xml:space="preserve"> along each branch. </w:t>
      </w:r>
      <w:r>
        <w:rPr>
          <w:rFonts w:ascii="Libertinus Sans" w:eastAsia="Libertinus Sans" w:hAnsi="Libertinus Sans"/>
          <w:sz w:val="20"/>
          <w:szCs w:val="20"/>
        </w:rPr>
        <w:t>Evolution of word forms along the tree is modeled under TKF91</w:t>
      </w:r>
      <w:sdt>
        <w:sdtPr>
          <w:citation/>
        </w:sdtPr>
        <w:sdtContent>
          <w:r>
            <w:fldChar w:fldCharType="begin"/>
          </w:r>
          <w:r>
            <w:instrText>CITATION Thorne1991</w:instrText>
          </w:r>
          <w:r>
            <w:fldChar w:fldCharType="separate"/>
          </w:r>
          <w:r>
            <w:t>[23]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an event-based continuous-time process in which three instantaneous operations are permitted: segmental substitution, insertion, and deletion. </w:t>
      </w:r>
      <w:r>
        <w:rPr>
          <w:rFonts w:ascii="Libertinus Sans" w:eastAsia="Libertinus Sans" w:hAnsi="Libertinus Sans"/>
          <w:sz w:val="20"/>
          <w:szCs w:val="20"/>
        </w:rPr>
        <w:t xml:space="preserve">Insertions and deletions occur at rates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Libertinus Sans" w:eastAsia="Libertinus Sans" w:hAnsi="Libertinus Sans"/>
          <w:sz w:val="20"/>
          <w:szCs w:val="20"/>
        </w:rPr>
        <w:t xml:space="preserve">, respectively, subject to the constraint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ans Serif" w:eastAsia="CMU Sans Serif" w:hAnsi="CMU Sans Serif"/>
          <w:noProof/>
          <w:sz w:val="20"/>
          <w:szCs w:val="20"/>
        </w:rPr>
        <w:t> &lt; 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Segmental substitution is modeled as a continuous-time Markov process whose states correspond to phonemes (the inventory comprises </w:t>
      </w:r>
      <w:r>
        <w:rPr>
          <w:rFonts w:ascii="Libertinus Sans" w:eastAsia="Libertinus Sans" w:hAnsi="Libertinus Sans"/>
          <w:sz w:val="20"/>
          <w:szCs w:val="20"/>
        </w:rPr>
        <w:t>79</w:t>
      </w:r>
      <w:r>
        <w:rPr>
          <w:rFonts w:ascii="Libertinus Sans" w:eastAsia="Libertinus Sans" w:hAnsi="Libertinus Sans"/>
          <w:sz w:val="20"/>
          <w:szCs w:val="20"/>
        </w:rPr>
        <w:t xml:space="preserve"> distinct segments). </w:t>
      </w:r>
      <w:r>
        <w:rPr>
          <w:rFonts w:ascii="Libertinus Sans" w:eastAsia="Libertinus Sans" w:hAnsi="Libertinus Sans"/>
          <w:sz w:val="20"/>
          <w:szCs w:val="20"/>
        </w:rPr>
        <w:t xml:space="preserve">All pairwise substitution rates are specified by the rate matrix </w:t>
      </w:r>
      <w:r>
        <w:rPr>
          <w:rFonts w:ascii="CMU Serif" w:eastAsia="CMU Serif" w:hAnsi="CMU Serif"/>
          <w:noProof/>
          <w:b/>
          <w:sz w:val="20"/>
          <w:szCs w:val="20"/>
        </w:rPr>
        <w:t>Q</w:t>
      </w:r>
      <w:r>
        <w:rPr>
          <w:rFonts w:ascii="Libertinus Sans" w:eastAsia="Libertinus Sans" w:hAnsi="Libertinus Sans"/>
          <w:sz w:val="20"/>
          <w:szCs w:val="20"/>
        </w:rPr>
        <w:t xml:space="preserve">, which is governed by parameters </w:t>
      </w:r>
      <w:r>
        <w:rPr>
          <w:rFonts w:ascii="Libertinus Serif" w:eastAsia="Libertinus Serif" w:hAnsi="Libertinus Serif"/>
          <w:noProof/>
          <w:i/>
          <w:sz w:val="20"/>
          <w:szCs w:val="20"/>
        </w:rPr>
        <w:t>θ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122" name="Frame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Table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21" w:name="PartitionAssignments"/>
                            <w:fldSimple w:instr="SEQ Table \* ARABIC " w:dirty="1">
                              <w:r>
                                <w:t>3</w:t>
                              </w:r>
                            </w:fldSimple>
                            <w:bookmarkEnd w:id="21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Model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“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Natural Class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098800" cy="1577975"/>
                                  <wp:effectExtent l="0" t="0" r="0" b="0"/>
                                  <wp:docPr id="128" name="Image1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" name="Image128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8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1577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Parameter estimation is conducted within a Bayesian framework, with inference based on the joint posterior distribution of all model parameters: </w:t>
      </w:r>
    </w:p>
    <w:tbl>
      <w:tblPr>
        <w:jc w:val="center"/>
        <w:rPr>
          <w:rFonts w:ascii="Libertinus Sans" w:eastAsia="Libertinus Sans" w:hAnsi="Libertinus Sans"/>
          <w:sz w:val="18"/>
          <w:szCs w:val="18"/>
        </w:rPr>
        <w:tblW w:w="0" w:type="dxa"/>
        <w:tblLayout w:type="fixed"/>
        <w:tblCellMar>
          <w:left w:w="0" w:type="dxa"/>
          <w:right w:w="0" w:type="dxa"/>
        </w:tblCellMar>
      </w:tblPr>
      <w:tblGrid>
        <w:gridCol w:w="4400" w:type="dxa"/>
        <w:gridCol w:w="480" w:type="dxa"/>
      </w:tblGrid>
      <w:tr>
        <w:tc>
          <w:tcPr>
            <w:vAlign w:val="bottom"/>
            <w:tcW w:w="4400" w:type="dxa"/>
          </w:tcPr>
          <w:p>
            <w:pPr>
              <w:spacing w:before="200" w:after="160"/>
              <w:jc w:val="center"/>
              <w:rPr>
                <w:rFonts w:ascii="CMU Serif" w:eastAsia="CMU Serif" w:hAnsi="CMU Serif"/>
                <w:sz w:val="18"/>
                <w:szCs w:val="18"/>
              </w:rPr>
            </w:pPr>
            <w:r>
              <w:rPr>
                <w:rFonts w:ascii="CMU Serif" w:eastAsia="CMU Serif" w:hAnsi="CMU Serif"/>
                <w:sz w:val="18"/>
                <w:szCs w:val="18"/>
                <w:position w:val="-18.838600000042888"/>
              </w:rPr>
              <w:drawing>
                <wp:inline distT="0" distB="0" distL="0" distR="0">
                  <wp:extent cx="2177078" cy="522974"/>
                  <wp:effectExtent l="0" t="0" r="0" b="0"/>
                  <wp:docPr id="136" name="Image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136"/>
                          <pic:cNvPicPr/>
                        </pic:nvPicPr>
                        <pic:blipFill>
                          <a:blip>
                            <a:extLst>
                              <a:ext uri="{96DAC541-7B7A-43D3-8B79-37D633B846F1}">
                                <asvg:svgBlip xmlns:asvg="http://schemas.microsoft.com/office/drawing/2016/SVG/main" r:embed="rId13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7078" cy="522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bottom"/>
            <w:tcW w:w="480" w:type="dxa"/>
          </w:tcPr>
          <w:p>
            <w:pPr>
              <w:rPr>
                <w:rFonts w:ascii="Libertinus Sans" w:eastAsia="Libertinus Sans" w:hAnsi="Libertinus Sans"/>
                <w:sz w:val="18"/>
                <w:szCs w:val="18"/>
              </w:rPr>
            </w:pPr>
            <w:r>
              <w:rPr>
                <w:rFonts w:ascii="Libertinus Sans" w:eastAsia="Libertinus Sans" w:hAnsi="Libertinus Sans"/>
                <w:sz w:val="18"/>
                <w:szCs w:val="18"/>
              </w:rPr>
              <w:t>(1)</w:t>
            </w:r>
          </w:p>
        </w:tc>
      </w:tr>
    </w:tbl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22" w:name="PartitionAssignments"/>
      <w:bookmarkEnd w:id="22"/>
      <w:r>
        <w:rPr>
          <w:rFonts w:ascii="CMU Serif" w:eastAsia="CMU Serif" w:hAnsi="CMU Serif"/>
          <w:noProof/>
          <w:b/>
          <w:sz w:val="20"/>
          <w:szCs w:val="20"/>
        </w:rPr>
        <w:t>S</w:t>
      </w:r>
      <w:r>
        <w:rPr>
          <w:rFonts w:ascii="Libertinus Sans" w:eastAsia="Libertinus Sans" w:hAnsi="Libertinus Sans"/>
          <w:sz w:val="20"/>
          <w:szCs w:val="20"/>
        </w:rPr>
        <w:t xml:space="preserve"> denotes the observed segmental sequences of the cognate word forms. </w:t>
      </w:r>
      <w:r>
        <w:rPr>
          <w:rFonts w:ascii="Libertinus Sans" w:eastAsia="Libertinus Sans" w:hAnsi="Libertinus Sans"/>
          <w:sz w:val="20"/>
          <w:szCs w:val="20"/>
        </w:rPr>
        <w:t xml:space="preserve">The likelihood function, </w:t>
      </w:r>
      <w:r>
        <w:rPr>
          <w:rFonts w:ascii="CMU Classical Serif" w:eastAsia="CMU Classical Serif" w:hAnsi="CMU Classical Serif"/>
          <w:noProof/>
          <w:sz w:val="20"/>
          <w:szCs w:val="20"/>
        </w:rPr>
        <w:t>f</w:t>
      </w:r>
      <w:r>
        <w:rPr>
          <w:rFonts w:ascii="CMU Serif" w:eastAsia="CMU Serif" w:hAnsi="CMU Serif"/>
          <w:noProof/>
          <w:sz w:val="20"/>
          <w:szCs w:val="20"/>
        </w:rPr>
        <w:t>(</w:t>
      </w:r>
      <w:r>
        <w:rPr>
          <w:rFonts w:ascii="CMU Serif" w:eastAsia="CMU Serif" w:hAnsi="CMU Serif"/>
          <w:noProof/>
          <w:b/>
          <w:sz w:val="20"/>
          <w:szCs w:val="20"/>
        </w:rPr>
        <w:t>S</w:t>
      </w:r>
      <w:r>
        <w:rPr>
          <w:rFonts w:ascii="CMU Sans Serif" w:eastAsia="CMU Sans Serif" w:hAnsi="CMU Sans Serif"/>
          <w:noProof/>
          <w:sz w:val="20"/>
          <w:szCs w:val="20"/>
        </w:rPr>
        <w:t>|</w:t>
      </w:r>
      <w:r>
        <w:rPr>
          <w:rFonts w:ascii="CMU Serif" w:eastAsia="CMU Serif" w:hAnsi="CMU Serif"/>
          <w:noProof/>
          <w:sz w:val="20"/>
          <w:szCs w:val="20"/>
        </w:rPr>
        <w:t>Ψ</w:t>
      </w:r>
      <w:r>
        <w:rPr>
          <w:rFonts w:ascii="CMU Serif" w:eastAsia="CMU Serif" w:hAnsi="CMU Serif"/>
          <w:noProof/>
          <w:sz w:val="20"/>
          <w:szCs w:val="20"/>
        </w:rPr>
        <w:t xml:space="preserve">,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erif" w:eastAsia="CMU Serif" w:hAnsi="CMU Serif"/>
          <w:noProof/>
          <w:sz w:val="20"/>
          <w:szCs w:val="20"/>
        </w:rPr>
        <w:t xml:space="preserve">, 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CMU Serif" w:eastAsia="CMU Serif" w:hAnsi="CMU Serif"/>
          <w:noProof/>
          <w:sz w:val="20"/>
          <w:szCs w:val="20"/>
        </w:rPr>
        <w:t xml:space="preserve">, </w:t>
      </w:r>
      <w:r>
        <w:rPr>
          <w:rFonts w:ascii="Libertinus Serif" w:eastAsia="Libertinus Serif" w:hAnsi="Libertinus Serif"/>
          <w:noProof/>
          <w:i/>
          <w:sz w:val="20"/>
          <w:szCs w:val="20"/>
        </w:rPr>
        <w:t>θ</w:t>
      </w:r>
      <w:r>
        <w:rPr>
          <w:rFonts w:ascii="CMU Serif" w:eastAsia="CMU Serif" w:hAnsi="CMU Serif"/>
          <w:noProof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>, is evaluated using the dynamic programming algorithm of</w:t>
      </w:r>
      <w:sdt>
        <w:sdtPr>
          <w:citation/>
        </w:sdtPr>
        <w:sdtContent>
          <w:r>
            <w:fldChar w:fldCharType="begin"/>
          </w:r>
          <w:r>
            <w:instrText>CITATION Lunter2003</w:instrText>
          </w:r>
          <w:r>
            <w:fldChar w:fldCharType="separate"/>
          </w:r>
          <w:r>
            <w:t>[33]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Prior distributions for most parameters follow conventions standard in phylogenetic modeling. </w:t>
      </w:r>
      <w:r>
        <w:rPr>
          <w:rFonts w:ascii="Libertinus Sans" w:eastAsia="Libertinus Sans" w:hAnsi="Libertinus Sans"/>
          <w:sz w:val="20"/>
          <w:szCs w:val="20"/>
        </w:rPr>
        <w:t xml:space="preserve">The insertion and deletion rate parameters, however, are assigned independent exponential priors subject to the constraint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ans Serif" w:eastAsia="CMU Sans Serif" w:hAnsi="CMU Sans Serif"/>
          <w:noProof/>
          <w:sz w:val="20"/>
          <w:szCs w:val="20"/>
        </w:rPr>
        <w:t> &lt; 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An alignment of length </w:t>
      </w:r>
      <w:r>
        <w:rPr>
          <w:rFonts w:ascii="CMU Classical Serif" w:eastAsia="CMU Classical Serif" w:hAnsi="CMU Classical Serif"/>
          <w:noProof/>
          <w:sz w:val="20"/>
          <w:szCs w:val="20"/>
        </w:rPr>
        <w:t>L</w:t>
      </w:r>
      <w:r>
        <w:rPr>
          <w:rFonts w:ascii="Libertinus Sans" w:eastAsia="Libertinus Sans" w:hAnsi="Libertinus Sans"/>
          <w:sz w:val="20"/>
          <w:szCs w:val="20"/>
        </w:rPr>
        <w:t xml:space="preserve"> is assigned a geometric prior with parameter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ans Serif" w:eastAsia="CMU Sans Serif" w:hAnsi="CMU Sans Serif"/>
          <w:noProof/>
          <w:sz w:val="20"/>
          <w:szCs w:val="20"/>
        </w:rPr>
        <w:t>/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Under the TKF91 process, the equilibrium distribution of alignment lengths is geometric with parameter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ans Serif" w:eastAsia="CMU Sans Serif" w:hAnsi="CMU Sans Serif"/>
          <w:noProof/>
          <w:sz w:val="20"/>
          <w:szCs w:val="20"/>
        </w:rPr>
        <w:t>/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Libertinus Sans" w:eastAsia="Libertinus Sans" w:hAnsi="Libertinus Sans"/>
          <w:sz w:val="20"/>
          <w:szCs w:val="20"/>
        </w:rPr>
        <w:t xml:space="preserve">, which motivates this choice. </w:t>
      </w:r>
      <w:r>
        <w:rPr>
          <w:rFonts w:ascii="Libertinus Sans" w:eastAsia="Libertinus Sans" w:hAnsi="Libertinus Sans"/>
          <w:sz w:val="20"/>
          <w:szCs w:val="20"/>
        </w:rPr>
        <w:t xml:space="preserve">A more principled alternative would specify a fully generative prior over alignments conditional on the insertion and deletion rates, derived directly from the TKF91 process. </w:t>
      </w:r>
      <w:r>
        <w:rPr>
          <w:rFonts w:ascii="Libertinus Sans" w:eastAsia="Libertinus Sans" w:hAnsi="Libertinus Sans"/>
          <w:sz w:val="20"/>
          <w:szCs w:val="20"/>
        </w:rPr>
        <w:t xml:space="preserve">The development of such priors for segmental homology structures remains an important objective for future research.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The posterior distribution is approximated numerically using Markov chain Monte Carlo, or MCMC</w:t>
      </w:r>
      <w:sdt>
        <w:sdtPr>
          <w:citation/>
        </w:sdtPr>
        <w:sdtContent>
          <w:r>
            <w:fldChar w:fldCharType="begin"/>
          </w:r>
          <w:r>
            <w:instrText>CITATION Metropolis1953</w:instrText>
          </w:r>
          <w:r>
            <w:fldChar w:fldCharType="separate"/>
          </w:r>
          <w:r>
            <w:t>[34]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Hastings1970</w:instrText>
          </w:r>
          <w:r>
            <w:fldChar w:fldCharType="separate"/>
          </w:r>
          <w:r>
            <w:t>[35]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We construct a Markov chain whose state space consists of the full set of model parameters and whose stationary distribution coincides with the posterior distribution of interest. </w:t>
      </w:r>
      <w:r>
        <w:rPr>
          <w:rFonts w:ascii="Libertinus Sans" w:eastAsia="Libertinus Sans" w:hAnsi="Libertinus Sans"/>
          <w:sz w:val="20"/>
          <w:szCs w:val="20"/>
        </w:rPr>
        <w:t xml:space="preserve">After convergence, the samples drawn from this chain constitute dependent but valid draws from the posterior. </w:t>
      </w:r>
      <w:r>
        <w:rPr>
          <w:rFonts w:ascii="Libertinus Sans" w:eastAsia="Libertinus Sans" w:hAnsi="Libertinus Sans"/>
          <w:sz w:val="20"/>
          <w:szCs w:val="20"/>
        </w:rPr>
        <w:t>In addition to phylogenetic parameters, the MCMC algorithm jointly samples segmental alignments</w:t>
      </w:r>
      <w:sdt>
        <w:sdtPr>
          <w:citation/>
        </w:sdtPr>
        <w:sdtContent>
          <w:r>
            <w:fldChar w:fldCharType="begin"/>
          </w:r>
          <w:r>
            <w:instrText>CITATION Lunter2005a</w:instrText>
          </w:r>
          <w:r>
            <w:fldChar w:fldCharType="separate"/>
          </w:r>
          <w:r>
            <w:t>[36]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Segmental substitution is parameterized with reference to phonological natural classes, which are defined as sets of segments sharing phonetic features. </w:t>
      </w:r>
      <w:r>
        <w:rPr>
          <w:rFonts w:ascii="Libertinus Sans" w:eastAsia="Libertinus Sans" w:hAnsi="Libertinus Sans"/>
          <w:sz w:val="20"/>
          <w:szCs w:val="20"/>
        </w:rPr>
        <w:t xml:space="preserve">The segment inventory is exhaustively partitioned into </w:t>
      </w:r>
      <w:r>
        <w:rPr>
          <w:rFonts w:ascii="Libertinus Sans" w:eastAsia="Libertinus Sans" w:hAnsi="Libertinus Sans"/>
          <w:sz w:val="20"/>
          <w:szCs w:val="20"/>
        </w:rPr>
        <w:t>ten</w:t>
      </w:r>
      <w:r>
        <w:rPr>
          <w:rFonts w:ascii="Libertinus Sans" w:eastAsia="Libertinus Sans" w:hAnsi="Libertinus Sans"/>
          <w:sz w:val="20"/>
          <w:szCs w:val="20"/>
        </w:rPr>
        <w:t xml:space="preserve"> such classes, listed in </w:t>
      </w:r>
      <w:hyperlink w:anchor="PartitionAssignments" w:history="1">
        <w:r>
          <w:rPr>
            <w:rFonts w:ascii="Libertinus Sans" w:eastAsia="Libertinus Sans" w:hAnsi="Libertinus Sans"/>
            <w:sz w:val="20"/>
            <w:szCs w:val="20"/>
          </w:rPr>
          <w:t>Table</w:t>
        </w:r>
      </w:hyperlink>
      <w:hyperlink w:anchor="PartitionAssignments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rtitionAssignments" w:history="1">
        <w:fldSimple w:instr="REF PartitionAssignments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, transition rates are allowed to vary across these </w:t>
      </w:r>
      <w:r>
        <w:rPr>
          <w:rFonts w:ascii="Libertinus Sans" w:eastAsia="Libertinus Sans" w:hAnsi="Libertinus Sans"/>
          <w:sz w:val="20"/>
          <w:szCs w:val="20"/>
        </w:rPr>
        <w:t>ten</w:t>
      </w:r>
      <w:r>
        <w:rPr>
          <w:rFonts w:ascii="Libertinus Sans" w:eastAsia="Libertinus Sans" w:hAnsi="Libertinus Sans"/>
          <w:sz w:val="20"/>
          <w:szCs w:val="20"/>
        </w:rPr>
        <w:t xml:space="preserve"> classes. </w:t>
      </w:r>
      <w:r>
        <w:rPr>
          <w:rFonts w:ascii="Libertinus Sans" w:eastAsia="Libertinus Sans" w:hAnsi="Libertinus Sans"/>
          <w:sz w:val="20"/>
          <w:szCs w:val="20"/>
        </w:rPr>
        <w:t xml:space="preserve">The model includes </w:t>
      </w:r>
      <w:r>
        <w:rPr>
          <w:rFonts w:ascii="Libertinus Sans" w:eastAsia="Libertinus Sans" w:hAnsi="Libertinus Sans"/>
          <w:sz w:val="20"/>
          <w:szCs w:val="20"/>
        </w:rPr>
        <w:t>79</w:t>
      </w:r>
      <w:r>
        <w:rPr>
          <w:rFonts w:ascii="Libertinus Sans" w:eastAsia="Libertinus Sans" w:hAnsi="Libertinus Sans"/>
          <w:sz w:val="20"/>
          <w:szCs w:val="20"/>
        </w:rPr>
        <w:t xml:space="preserve"> parameters governing the equilibrium distribution and </w:t>
      </w:r>
      <w:r>
        <w:rPr>
          <w:rFonts w:ascii="Libertinus Sans" w:eastAsia="Libertinus Sans" w:hAnsi="Libertinus Sans"/>
          <w:sz w:val="20"/>
          <w:szCs w:val="20"/>
        </w:rPr>
        <w:t>80</w:t>
      </w:r>
      <w:r>
        <w:rPr>
          <w:rFonts w:ascii="Libertinus Sans" w:eastAsia="Libertinus Sans" w:hAnsi="Libertinus Sans"/>
          <w:sz w:val="20"/>
          <w:szCs w:val="20"/>
        </w:rPr>
        <w:t xml:space="preserve"> parameters specifying exchange rates among natural classes. </w:t>
      </w:r>
      <w:r>
        <w:rPr>
          <w:rFonts w:ascii="Libertinus Sans" w:eastAsia="Libertinus Sans" w:hAnsi="Libertinus Sans"/>
          <w:sz w:val="20"/>
          <w:szCs w:val="20"/>
        </w:rPr>
        <w:t xml:space="preserve">Equilibrium frequencies are treated as random variables with a flat Dirichlet prior.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23" w:name="PaperSections_CognateWordForms"/>
      <w:bookmarkEnd w:id="23"/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2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Modeling linguistic history with cognate word-forms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24" w:name="PaperSections_CognateWordForms"/>
      <w:bookmarkEnd w:id="24"/>
      <w:r>
        <w:rPr>
          <w:rFonts w:ascii="Libertinus Sans" w:eastAsia="Libertinus Sans" w:hAnsi="Libertinus Sans"/>
          <w:sz w:val="20"/>
          <w:szCs w:val="20"/>
        </w:rPr>
        <w:t xml:space="preserve">Working with cognate word forms presents specific methodological challenges, most notably the alignment of homologous segments across languages. </w:t>
      </w:r>
      <w:r>
        <w:rPr>
          <w:rFonts w:ascii="Libertinus Sans" w:eastAsia="Libertinus Sans" w:hAnsi="Libertinus Sans"/>
          <w:sz w:val="20"/>
          <w:szCs w:val="20"/>
        </w:rPr>
        <w:t xml:space="preserve">In molecular phylogenetics, fine-grained homology among nucleotides is typically inferred using automated sequence-alignment algorithms. </w:t>
      </w:r>
      <w:r>
        <w:rPr>
          <w:rFonts w:ascii="Libertinus Sans" w:eastAsia="Libertinus Sans" w:hAnsi="Libertinus Sans"/>
          <w:sz w:val="20"/>
          <w:szCs w:val="20"/>
        </w:rPr>
        <w:t>Even with long nucleotide sequences, however, alignment uncertainty can be substantial</w:t>
      </w:r>
      <w:sdt>
        <w:sdtPr>
          <w:citation/>
        </w:sdtPr>
        <w:sdtContent>
          <w:r>
            <w:fldChar w:fldCharType="begin"/>
          </w:r>
          <w:r>
            <w:instrText>CITATION Wong2008</w:instrText>
          </w:r>
          <w:r>
            <w:fldChar w:fldCharType="separate"/>
          </w:r>
          <w:r>
            <w:t>[37]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This problem is amplified in lexical data, where word forms often contain only a small number of segments. </w:t>
      </w:r>
      <w:r>
        <w:rPr>
          <w:rFonts w:ascii="Libertinus Sans" w:eastAsia="Libertinus Sans" w:hAnsi="Libertinus Sans"/>
          <w:sz w:val="20"/>
          <w:szCs w:val="20"/>
        </w:rPr>
        <w:t xml:space="preserve">To accommodate this uncertainty, we marginalize over possible segmental alignments rather than conditioning on a single fixed alignment. </w:t>
      </w:r>
      <w:r>
        <w:rPr>
          <w:rFonts w:ascii="Libertinus Sans" w:eastAsia="Libertinus Sans" w:hAnsi="Libertinus Sans"/>
          <w:sz w:val="20"/>
          <w:szCs w:val="20"/>
        </w:rPr>
        <w:t xml:space="preserve">Concretely, all candidate alignments are integrated over, each weighted by its probability under the model. </w:t>
      </w:r>
      <w:r>
        <w:rPr>
          <w:rFonts w:ascii="Libertinus Sans" w:eastAsia="Libertinus Sans" w:hAnsi="Libertinus Sans"/>
          <w:sz w:val="20"/>
          <w:szCs w:val="20"/>
        </w:rPr>
        <w:t>This integration is achieved within a Bayesian framework using MCMC</w:t>
      </w:r>
      <w:r>
        <w:rPr>
          <w:rFonts w:ascii="Libertinus Sans" w:eastAsia="Libertinus Sans" w:hAnsi="Libertinus Sans"/>
          <w:sz w:val="20"/>
          <w:szCs w:val="20"/>
        </w:rPr>
        <w:t>, which jointly samples model parameters and segmental alignments in proportion to their posterior probabilities.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25" w:name="PaperSections_SegmentModels"/>
      <w:bookmarkEnd w:id="25"/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Models of segmental change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26" w:name="PaperSections_SegmentModels"/>
      <w:bookmarkEnd w:id="26"/>
      <w:r>
        <w:rPr>
          <w:rFonts w:ascii="Libertinus Sans" w:eastAsia="Libertinus Sans" w:hAnsi="Libertinus Sans"/>
          <w:sz w:val="20"/>
          <w:szCs w:val="20"/>
        </w:rPr>
        <w:t xml:space="preserve">We evaluate three models of segmental change.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1</w:t>
      </w:r>
      <w:r>
        <w:rPr>
          <w:rFonts w:ascii="Libertinus Sans" w:eastAsia="Libertinus Sans" w:hAnsi="Libertinus Sans"/>
          <w:sz w:val="20"/>
          <w:szCs w:val="20"/>
        </w:rPr>
        <w:t xml:space="preserve"> is isomorphic to the Jukes-Cantor model of DNA sequence evolution</w:t>
      </w:r>
      <w:sdt>
        <w:sdtPr>
          <w:citation/>
        </w:sdtPr>
        <w:sdtContent>
          <w:r>
            <w:fldChar w:fldCharType="begin"/>
          </w:r>
          <w:r>
            <w:instrText>CITATION Jukes1969</w:instrText>
          </w:r>
          <w:r>
            <w:fldChar w:fldCharType="separate"/>
          </w:r>
          <w:r>
            <w:t>[38]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which specifies equal transition rates among all pairs of states, with substitutions occurring according to a Poisson process (hereafter the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Poisson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model).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>, corresponds to the Felsenstein model</w:t>
      </w:r>
      <w:sdt>
        <w:sdtPr>
          <w:citation/>
        </w:sdtPr>
        <w:sdtContent>
          <w:r>
            <w:fldChar w:fldCharType="begin"/>
          </w:r>
          <w:r>
            <w:instrText>CITATION Felsenstein1981</w:instrText>
          </w:r>
          <w:r>
            <w:fldChar w:fldCharType="separate"/>
          </w:r>
          <w:r>
            <w:t>[39]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in which the substitution rate from one segment to another is proportional to the equilibrium frequency of the destination segment. </w:t>
      </w:r>
      <w:r>
        <w:rPr>
          <w:rFonts w:ascii="Libertinus Sans" w:eastAsia="Libertinus Sans" w:hAnsi="Libertinus Sans"/>
          <w:sz w:val="20"/>
          <w:szCs w:val="20"/>
        </w:rPr>
        <w:t xml:space="preserve">Finally,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 xml:space="preserve">,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, partitions segments into articulatorily defined natural classes and permits distinct rates of change within and between these classes. </w:t>
      </w:r>
      <w:r>
        <w:rPr>
          <w:rFonts w:ascii="Libertinus Sans" w:eastAsia="Libertinus Sans" w:hAnsi="Libertinus Sans"/>
          <w:sz w:val="20"/>
          <w:szCs w:val="20"/>
        </w:rPr>
        <w:t xml:space="preserve">Model complexity differs substantially across these specifications.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1</w:t>
      </w:r>
      <w:r>
        <w:rPr>
          <w:rFonts w:ascii="Libertinus Sans" w:eastAsia="Libertinus Sans" w:hAnsi="Libertinus Sans"/>
          <w:sz w:val="20"/>
          <w:szCs w:val="20"/>
        </w:rPr>
        <w:t xml:space="preserve"> contains no free parameters.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 xml:space="preserve"> includes </w:t>
      </w:r>
      <w:r>
        <w:rPr>
          <w:rFonts w:ascii="Libertinus Sans" w:eastAsia="Libertinus Sans" w:hAnsi="Libertinus Sans"/>
          <w:sz w:val="20"/>
          <w:szCs w:val="20"/>
        </w:rPr>
        <w:t>78</w:t>
      </w:r>
      <w:r>
        <w:rPr>
          <w:rFonts w:ascii="Libertinus Sans" w:eastAsia="Libertinus Sans" w:hAnsi="Libertinus Sans"/>
          <w:sz w:val="20"/>
          <w:szCs w:val="20"/>
        </w:rPr>
        <w:t xml:space="preserve"> free parameters corresponding to the equilibrium frequencies (one fewer than the number of segments). </w:t>
      </w:r>
      <w:r>
        <w:rPr>
          <w:rFonts w:ascii="Libertinus Sans" w:eastAsia="Libertinus Sans" w:hAnsi="Libertinus Sans"/>
          <w:sz w:val="20"/>
          <w:szCs w:val="20"/>
        </w:rPr>
        <w:t xml:space="preserve">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 xml:space="preserve">, has </w:t>
      </w:r>
      <w:r>
        <w:rPr>
          <w:rFonts w:ascii="Libertinus Sans" w:eastAsia="Libertinus Sans" w:hAnsi="Libertinus Sans"/>
          <w:sz w:val="20"/>
          <w:szCs w:val="20"/>
        </w:rPr>
        <w:t>55</w:t>
      </w:r>
      <w:r>
        <w:rPr>
          <w:rFonts w:ascii="Libertinus Sans" w:eastAsia="Libertinus Sans" w:hAnsi="Libertinus Sans"/>
          <w:sz w:val="20"/>
          <w:szCs w:val="20"/>
        </w:rPr>
        <w:t xml:space="preserve"> additional rate parameters governing transitions among natural classes, which yields a total of </w:t>
      </w:r>
      <w:r>
        <w:rPr>
          <w:rFonts w:ascii="CMU Serif" w:eastAsia="CMU Serif" w:hAnsi="CMU Serif"/>
          <w:noProof/>
          <w:sz w:val="20"/>
          <w:szCs w:val="20"/>
        </w:rPr>
        <w:t>78</w:t>
      </w:r>
      <w:r>
        <w:rPr>
          <w:rFonts w:ascii="CMU Sans Serif" w:eastAsia="CMU Sans Serif" w:hAnsi="CMU Sans Serif"/>
          <w:noProof/>
          <w:sz w:val="20"/>
          <w:szCs w:val="20"/>
        </w:rPr>
        <w:t> + </w:t>
      </w:r>
      <w:r>
        <w:rPr>
          <w:rFonts w:ascii="CMU Serif" w:eastAsia="CMU Serif" w:hAnsi="CMU Serif"/>
          <w:noProof/>
          <w:sz w:val="20"/>
          <w:szCs w:val="20"/>
        </w:rPr>
        <w:t>55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erif" w:eastAsia="CMU Serif" w:hAnsi="CMU Serif"/>
          <w:noProof/>
          <w:sz w:val="20"/>
          <w:szCs w:val="20"/>
        </w:rPr>
        <w:t>133</w:t>
      </w:r>
      <w:r>
        <w:rPr>
          <w:rFonts w:ascii="Libertinus Sans" w:eastAsia="Libertinus Sans" w:hAnsi="Libertinus Sans"/>
          <w:sz w:val="20"/>
          <w:szCs w:val="20"/>
        </w:rPr>
        <w:t xml:space="preserve"> free parameters.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27" w:name="PaperSections_DataCuration"/>
      <w:bookmarkEnd w:id="27"/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Data Curation and Analysis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137" name="Frame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24.015624999962554"/>
                              </w:rPr>
                              <w:drawing>
                                <wp:inline distT="0" distB="0" distL="0" distR="0">
                                  <wp:extent cx="3098800" cy="1814576"/>
                                  <wp:effectExtent l="0" t="0" r="0" b="0"/>
                                  <wp:docPr id="144" name="Image1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" name="Image144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4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18145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29" w:name="ConceptEncoding"/>
                            <w:fldSimple w:instr="SEQ Figure \* ARABIC " w:dirty="1">
                              <w:r>
                                <w:t>2</w:t>
                              </w:r>
                            </w:fldSimple>
                            <w:bookmarkEnd w:id="29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concept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mountain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’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as coded in the data file.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All analyses are orchestrated by a control program written in the Nytril programming language</w:t>
      </w:r>
      <w:sdt>
        <w:sdtPr>
          <w:citation/>
        </w:sdtPr>
        <w:sdtContent>
          <w:r>
            <w:fldChar w:fldCharType="begin"/>
          </w:r>
          <w:r>
            <w:instrText>CITATION Nytrilprogram</w:instrText>
          </w:r>
          <w:r>
            <w:fldChar w:fldCharType="separate"/>
          </w:r>
          <w:r>
            <w:t>[40]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We developed an automated experimental pipeline comprising a reusable IPA library, curated word-form datasets, data-validation routines, typeset output generation, and input-file construction for the MCMC engine, which is implemented in C++.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Word forms from the </w:t>
      </w:r>
      <w:r>
        <w:rPr>
          <w:rFonts w:ascii="Libertinus Sans" w:eastAsia="Libertinus Sans" w:hAnsi="Libertinus Sans"/>
          <w:sz w:val="20"/>
          <w:szCs w:val="20"/>
        </w:rPr>
        <w:t>nine</w:t>
      </w:r>
      <w:r>
        <w:rPr>
          <w:rFonts w:ascii="Libertinus Sans" w:eastAsia="Libertinus Sans" w:hAnsi="Libertinus Sans"/>
          <w:sz w:val="20"/>
          <w:szCs w:val="20"/>
        </w:rPr>
        <w:t xml:space="preserve"> languages are organized hierarchically by concept and cognate class. </w:t>
      </w:r>
      <w:hyperlink w:anchor="ConceptEncoding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ConceptEn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ConceptEncoding" w:history="1">
        <w:fldSimple w:instr="REF ConceptEn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illustrates the raw encoding for the concept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mountain</w:t>
      </w:r>
      <w:r>
        <w:rPr>
          <w:rFonts w:ascii="Libertinus Sans" w:eastAsia="Libertinus Sans" w:hAnsi="Libertinus Sans"/>
          <w:sz w:val="20"/>
          <w:szCs w:val="20"/>
        </w:rPr>
        <w:t xml:space="preserve">.’ </w:t>
      </w:r>
      <w:r>
        <w:rPr>
          <w:rFonts w:ascii="Libertinus Sans" w:eastAsia="Libertinus Sans" w:hAnsi="Libertinus Sans"/>
          <w:sz w:val="20"/>
          <w:szCs w:val="20"/>
        </w:rPr>
        <w:t xml:space="preserve">A central technical challenge arises from the fact that IPA transcriptions are encoded in Unicode (UCS), which cannot be represented in single-byte encodings such as ASCII. </w:t>
      </w:r>
      <w:r>
        <w:rPr>
          <w:rFonts w:ascii="Libertinus Sans" w:eastAsia="Libertinus Sans" w:hAnsi="Libertinus Sans"/>
          <w:sz w:val="20"/>
          <w:szCs w:val="20"/>
        </w:rPr>
        <w:t xml:space="preserve">Accordingly, all data are stored in UTF-8, a cross-platform multibyte encoding of UCS. </w:t>
      </w:r>
      <w:r>
        <w:rPr>
          <w:rFonts w:ascii="Libertinus Sans" w:eastAsia="Libertinus Sans" w:hAnsi="Libertinus Sans"/>
          <w:sz w:val="20"/>
          <w:szCs w:val="20"/>
        </w:rPr>
        <w:t xml:space="preserve">To ensure reliable string comparison, diacritic composition must be standardized; we adopt Unicode Normalization Form C, although consistency across files is the critical requirement. </w:t>
      </w:r>
      <w:r>
        <w:rPr>
          <w:rFonts w:ascii="Libertinus Sans" w:eastAsia="Libertinus Sans" w:hAnsi="Libertinus Sans"/>
          <w:sz w:val="20"/>
          <w:szCs w:val="20"/>
        </w:rPr>
        <w:t xml:space="preserve">Moreover, a single IPA segment may consist of multiple UCS code points, so the correspondence between characters and phonological segments is not one-to-one.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153" name="Frame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4.919999999987702"/>
                              </w:rPr>
                              <w:drawing>
                                <wp:inline distT="0" distB="0" distL="0" distR="0">
                                  <wp:extent cx="3098800" cy="722122"/>
                                  <wp:effectExtent l="0" t="0" r="0" b="0"/>
                                  <wp:docPr id="160" name="Image1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0" name="Image160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7221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31" w:name="SegmentEncoding"/>
                            <w:fldSimple w:instr="SEQ Figure \* ARABIC " w:dirty="1">
                              <w:r>
                                <w:t>3</w:t>
                              </w:r>
                            </w:fldSimple>
                            <w:bookmarkEnd w:id="31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The IPA-Unicode encoding of a segment.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hyperlink w:anchor="SegmentEncoding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SegmentEncoding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SegmentEncoding" w:history="1">
        <w:fldSimple w:instr="REF SegmentEncoding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provides an example of a complex encoding in which the grey numerals indicate hexadecimal UCS code points for base characters and diacritics. </w:t>
      </w:r>
      <w:r>
        <w:rPr>
          <w:rFonts w:ascii="Libertinus Sans" w:eastAsia="Libertinus Sans" w:hAnsi="Libertinus Sans"/>
          <w:sz w:val="20"/>
          <w:szCs w:val="20"/>
        </w:rPr>
        <w:t xml:space="preserve">Since the analysis operates at the segmental level, a parser converts each word string into an array of segment objects. </w:t>
      </w:r>
      <w:r>
        <w:rPr>
          <w:rFonts w:ascii="Libertinus Sans" w:eastAsia="Libertinus Sans" w:hAnsi="Libertinus Sans"/>
          <w:sz w:val="20"/>
          <w:szCs w:val="20"/>
        </w:rPr>
        <w:t xml:space="preserve">These objects are implemented in a reusable library that associates each segment with linguistic features. </w:t>
      </w:r>
      <w:r>
        <w:rPr>
          <w:rFonts w:ascii="Libertinus Sans" w:eastAsia="Libertinus Sans" w:hAnsi="Libertinus Sans"/>
          <w:sz w:val="20"/>
          <w:szCs w:val="20"/>
        </w:rPr>
        <w:t xml:space="preserve">Subsequent processing steps operate on abstract properties such as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vowel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nasal</w:t>
      </w:r>
      <w:r>
        <w:rPr>
          <w:rFonts w:ascii="Libertinus Sans" w:eastAsia="Libertinus Sans" w:hAnsi="Libertinus Sans"/>
          <w:sz w:val="20"/>
          <w:szCs w:val="20"/>
        </w:rPr>
        <w:t xml:space="preserve">,’ </w:t>
      </w:r>
      <w:r>
        <w:rPr>
          <w:rFonts w:ascii="Libertinus Sans" w:eastAsia="Libertinus Sans" w:hAnsi="Libertinus Sans"/>
          <w:sz w:val="20"/>
          <w:szCs w:val="20"/>
        </w:rPr>
        <w:t xml:space="preserve"> rather than on raw character strings.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Following parsing, the control program aggregates and partitions the data and generates the input required for Bayesian inference under the TKF91 model. </w:t>
      </w:r>
      <w:r>
        <w:rPr>
          <w:rFonts w:ascii="Libertinus Sans" w:eastAsia="Libertinus Sans" w:hAnsi="Libertinus Sans"/>
          <w:sz w:val="20"/>
          <w:szCs w:val="20"/>
        </w:rPr>
        <w:t xml:space="preserve">The MCMC analysis runs for </w:t>
      </w:r>
      <w:r>
        <w:rPr>
          <w:rFonts w:ascii="Libertinus Sans" w:eastAsia="Libertinus Sans" w:hAnsi="Libertinus Sans"/>
          <w:sz w:val="20"/>
          <w:szCs w:val="20"/>
        </w:rPr>
        <w:t>5,000,000</w:t>
      </w:r>
      <w:r>
        <w:rPr>
          <w:rFonts w:ascii="Libertinus Sans" w:eastAsia="Libertinus Sans" w:hAnsi="Libertinus Sans"/>
          <w:sz w:val="20"/>
          <w:szCs w:val="20"/>
        </w:rPr>
        <w:t xml:space="preserve"> cycles, with independent runs performed to assess convergence. </w:t>
      </w:r>
      <w:r>
        <w:rPr>
          <w:rFonts w:ascii="Libertinus Sans" w:eastAsia="Libertinus Sans" w:hAnsi="Libertinus Sans"/>
          <w:sz w:val="20"/>
          <w:szCs w:val="20"/>
        </w:rPr>
        <w:t xml:space="preserve">Samples taken during the first </w:t>
      </w:r>
      <w:r>
        <w:rPr>
          <w:rFonts w:ascii="Libertinus Sans" w:eastAsia="Libertinus Sans" w:hAnsi="Libertinus Sans"/>
          <w:sz w:val="20"/>
          <w:szCs w:val="20"/>
        </w:rPr>
        <w:t>15,000</w:t>
      </w:r>
      <w:r>
        <w:rPr>
          <w:rFonts w:ascii="Libertinus Sans" w:eastAsia="Libertinus Sans" w:hAnsi="Libertinus Sans"/>
          <w:sz w:val="20"/>
          <w:szCs w:val="20"/>
        </w:rPr>
        <w:t xml:space="preserve"> cycles of the chain are discarded as burn-in. </w:t>
      </w:r>
      <w:r>
        <w:rPr>
          <w:rFonts w:ascii="Libertinus Sans" w:eastAsia="Libertinus Sans" w:hAnsi="Libertinus Sans"/>
          <w:sz w:val="20"/>
          <w:szCs w:val="20"/>
        </w:rPr>
        <w:t xml:space="preserve">Upon completion, posterior samples are imported back into the control program for post-processing. </w:t>
      </w:r>
      <w:r>
        <w:rPr>
          <w:rFonts w:ascii="Libertinus Sans" w:eastAsia="Libertinus Sans" w:hAnsi="Libertinus Sans"/>
          <w:sz w:val="20"/>
          <w:szCs w:val="20"/>
        </w:rPr>
        <w:t xml:space="preserve">All tables, trees, and graphical outputs are generated automatically from the MCMC results and integrated with author-supplied narrative to produce the final manuscript and supplementary materials.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32" w:name="PaperSections_Results"/>
      <w:bookmarkEnd w:id="32"/>
      <w:r>
        <w:rPr>
          <w:rFonts w:ascii="Libertinus Sans" w:eastAsia="Libertinus Sans" w:hAnsi="Libertinus Sans"/>
          <w:b/>
          <w:sz w:val="32"/>
          <w:szCs w:val="32"/>
        </w:rPr>
        <w:t>4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Results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33" w:name="PaperSections_PhylogenyResults"/>
      <w:bookmarkEnd w:id="33"/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Phylogeny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169" name="Frame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10.000000000049994"/>
                              </w:rPr>
                              <w:drawing>
                                <wp:inline distT="0" distB="0" distL="0" distR="0">
                                  <wp:extent cx="6400800" cy="2050034"/>
                                  <wp:effectExtent l="0" t="0" r="0" b="0"/>
                                  <wp:docPr id="175" name="Image17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" name="Image175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5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20500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35" w:name="ModelTreesUsed"/>
                            <w:fldSimple w:instr="SEQ Figure \* ARABIC " w:dirty="1">
                              <w:r>
                                <w:t>4</w:t>
                              </w:r>
                            </w:fldSimple>
                            <w:bookmarkEnd w:id="35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Model trees used in all analyses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All model parameters are treated as random variables endowed with prior distributions. </w:t>
      </w:r>
      <w:r>
        <w:rPr>
          <w:rFonts w:ascii="Libertinus Sans" w:eastAsia="Libertinus Sans" w:hAnsi="Libertinus Sans"/>
          <w:sz w:val="20"/>
          <w:szCs w:val="20"/>
        </w:rPr>
        <w:t xml:space="preserve">The tree topology describing the relationships of the languages is likewise modeled as a random variable under a uniform prior over all possible topologies. </w:t>
      </w:r>
      <w:r>
        <w:rPr>
          <w:rFonts w:ascii="Libertinus Sans" w:eastAsia="Libertinus Sans" w:hAnsi="Libertinus Sans"/>
          <w:sz w:val="20"/>
          <w:szCs w:val="20"/>
        </w:rPr>
        <w:t xml:space="preserve">As outlined in </w:t>
      </w:r>
      <w:hyperlink w:anchor="PaperSections_ModelInference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ModelInference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ModelInference" w:history="1">
        <w:r>
          <w:rPr>
            <w:rFonts w:ascii="Libertinus Sans" w:eastAsia="Libertinus Sans" w:hAnsi="Libertinus Sans"/>
            <w:sz w:val="20"/>
            <w:szCs w:val="20"/>
          </w:rPr>
          <w:t>3.1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, the posterior probability distributions of the model parameters are numerically approximate with MCMC. </w:t>
      </w:r>
      <w:r>
        <w:rPr>
          <w:rFonts w:ascii="Libertinus Sans" w:eastAsia="Libertinus Sans" w:hAnsi="Libertinus Sans"/>
          <w:sz w:val="20"/>
          <w:szCs w:val="20"/>
        </w:rPr>
        <w:t xml:space="preserve">Across runs, a small set of topologies consistently achieved the highest posterior support. </w:t>
      </w:r>
      <w:r>
        <w:rPr>
          <w:rFonts w:ascii="Libertinus Sans" w:eastAsia="Libertinus Sans" w:hAnsi="Libertinus Sans"/>
          <w:sz w:val="20"/>
          <w:szCs w:val="20"/>
        </w:rPr>
        <w:t xml:space="preserve">However, the MCMC sampler exhibited limited mixing over tree space: once a high-probability topology was located, the chain tended to remain trapped in its vicinity.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In our implementation, parameters are updated in blocks, with each MCMC step randomly selecting a single component and proposing a modification to it. </w:t>
      </w:r>
      <w:r>
        <w:rPr>
          <w:rFonts w:ascii="Libertinus Sans" w:eastAsia="Libertinus Sans" w:hAnsi="Libertinus Sans"/>
          <w:sz w:val="20"/>
          <w:szCs w:val="20"/>
        </w:rPr>
        <w:t xml:space="preserve">Within a given cycle, either the tree topology or the segmental alignment is updated, but not both simultaneously. </w:t>
      </w:r>
      <w:r>
        <w:rPr>
          <w:rFonts w:ascii="Libertinus Sans" w:eastAsia="Libertinus Sans" w:hAnsi="Libertinus Sans"/>
          <w:sz w:val="20"/>
          <w:szCs w:val="20"/>
        </w:rPr>
        <w:t xml:space="preserve">This update scheme induces dependence between topology and alignment. </w:t>
      </w:r>
      <w:r>
        <w:rPr>
          <w:rFonts w:ascii="Libertinus Sans" w:eastAsia="Libertinus Sans" w:hAnsi="Libertinus Sans"/>
          <w:sz w:val="20"/>
          <w:szCs w:val="20"/>
        </w:rPr>
        <w:t xml:space="preserve">As improved topologies were accepted, the sampled alignments increasingly adapted to the current tree stored in memory. </w:t>
      </w:r>
      <w:r>
        <w:rPr>
          <w:rFonts w:ascii="Libertinus Sans" w:eastAsia="Libertinus Sans" w:hAnsi="Libertinus Sans"/>
          <w:sz w:val="20"/>
          <w:szCs w:val="20"/>
        </w:rPr>
        <w:t xml:space="preserve">Once the alignment became well-tuned to a particular topology, proposals involving alternative trees were rarely accepted, even when they would have been plausible under a different alignment configuration.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This difficulty does not appear to have arisen in earlier applications of TKF91</w:t>
      </w:r>
      <w:sdt>
        <w:sdtPr>
          <w:citation/>
        </w:sdtPr>
        <w:sdtContent>
          <w:r>
            <w:fldChar w:fldCharType="begin"/>
          </w:r>
          <w:r>
            <w:instrText>CITATION Lunter2005a</w:instrText>
          </w:r>
          <w:r>
            <w:fldChar w:fldCharType="separate"/>
          </w:r>
          <w:r>
            <w:t>[36]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which analyzed an alignment of amino acid sequences. </w:t>
      </w:r>
      <w:r>
        <w:rPr>
          <w:rFonts w:ascii="Libertinus Sans" w:eastAsia="Libertinus Sans" w:hAnsi="Libertinus Sans"/>
          <w:sz w:val="20"/>
          <w:szCs w:val="20"/>
        </w:rPr>
        <w:t xml:space="preserve">Our analysis of cognate data yielded insertion and deletion rates that were large relative to substitution rates: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erif" w:eastAsia="CMU Serif" w:hAnsi="CMU Serif"/>
          <w:noProof/>
          <w:sz w:val="20"/>
          <w:szCs w:val="20"/>
        </w:rPr>
        <w:t>0.243</w:t>
      </w:r>
      <w:r>
        <w:rPr>
          <w:rFonts w:ascii="Libertinus Sans" w:eastAsia="Libertinus Sans" w:hAnsi="Libertinus Sans"/>
          <w:sz w:val="20"/>
          <w:szCs w:val="20"/>
        </w:rPr>
        <w:t xml:space="preserve"> (</w:t>
      </w:r>
      <w:r>
        <w:rPr>
          <w:rFonts w:ascii="Libertinus Sans" w:eastAsia="Libertinus Sans" w:hAnsi="Libertinus Sans"/>
          <w:sz w:val="20"/>
          <w:szCs w:val="20"/>
        </w:rPr>
        <w:t>0.217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0.273</w:t>
      </w:r>
      <w:r>
        <w:rPr>
          <w:rFonts w:ascii="Libertinus Sans" w:eastAsia="Libertinus Sans" w:hAnsi="Libertinus Sans"/>
          <w:sz w:val="20"/>
          <w:szCs w:val="20"/>
        </w:rPr>
        <w:t xml:space="preserve">) and </w:t>
      </w:r>
      <w:r>
        <w:rPr>
          <w:rFonts w:ascii="CMU Serif" w:eastAsia="CMU Serif" w:hAnsi="CMU Serif"/>
          <w:noProof/>
          <w:i/>
          <w:sz w:val="20"/>
          <w:szCs w:val="20"/>
        </w:rPr>
        <w:t>μ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erif" w:eastAsia="CMU Serif" w:hAnsi="CMU Serif"/>
          <w:noProof/>
          <w:sz w:val="20"/>
          <w:szCs w:val="20"/>
        </w:rPr>
        <w:t>0.298</w:t>
      </w:r>
      <w:r>
        <w:rPr>
          <w:rFonts w:ascii="Libertinus Sans" w:eastAsia="Libertinus Sans" w:hAnsi="Libertinus Sans"/>
          <w:sz w:val="20"/>
          <w:szCs w:val="20"/>
        </w:rPr>
        <w:t xml:space="preserve"> (</w:t>
      </w:r>
      <w:r>
        <w:rPr>
          <w:rFonts w:ascii="Libertinus Sans" w:eastAsia="Libertinus Sans" w:hAnsi="Libertinus Sans"/>
          <w:sz w:val="20"/>
          <w:szCs w:val="20"/>
        </w:rPr>
        <w:t>0.266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0.335</w:t>
      </w:r>
      <w:r>
        <w:rPr>
          <w:rFonts w:ascii="Libertinus Sans" w:eastAsia="Libertinus Sans" w:hAnsi="Libertinus Sans"/>
          <w:sz w:val="20"/>
          <w:szCs w:val="20"/>
        </w:rPr>
        <w:t xml:space="preserve">), respectively. </w:t>
      </w:r>
      <w:r>
        <w:rPr>
          <w:rFonts w:ascii="Libertinus Sans" w:eastAsia="Libertinus Sans" w:hAnsi="Libertinus Sans"/>
          <w:sz w:val="20"/>
          <w:szCs w:val="20"/>
        </w:rPr>
        <w:t xml:space="preserve">(Each credible interval contains the true parameter value with probability </w:t>
      </w:r>
      <w:r>
        <w:rPr>
          <w:rFonts w:ascii="Libertinus Sans" w:eastAsia="Libertinus Sans" w:hAnsi="Libertinus Sans"/>
          <w:sz w:val="20"/>
          <w:szCs w:val="20"/>
        </w:rPr>
        <w:t>0.950</w:t>
      </w:r>
      <w:r>
        <w:rPr>
          <w:rFonts w:ascii="Libertinus Sans" w:eastAsia="Libertinus Sans" w:hAnsi="Libertinus Sans"/>
          <w:sz w:val="20"/>
          <w:szCs w:val="20"/>
        </w:rPr>
        <w:t xml:space="preserve">.) </w:t>
      </w:r>
      <w:r>
        <w:rPr>
          <w:rFonts w:ascii="Libertinus Sans" w:eastAsia="Libertinus Sans" w:hAnsi="Libertinus Sans"/>
          <w:sz w:val="20"/>
          <w:szCs w:val="20"/>
        </w:rPr>
        <w:t xml:space="preserve">In approximate terms, this implies one insertion or deletion event for every two substitution events. </w:t>
      </w:r>
      <w:r>
        <w:rPr>
          <w:rFonts w:ascii="Libertinus Sans" w:eastAsia="Libertinus Sans" w:hAnsi="Libertinus Sans"/>
          <w:sz w:val="20"/>
          <w:szCs w:val="20"/>
        </w:rPr>
        <w:t xml:space="preserve">Like substitution events, insertion and deletion events contribute phylogenetic signal. </w:t>
      </w:r>
      <w:r>
        <w:rPr>
          <w:rFonts w:ascii="Libertinus Sans" w:eastAsia="Libertinus Sans" w:hAnsi="Libertinus Sans"/>
          <w:sz w:val="20"/>
          <w:szCs w:val="20"/>
        </w:rPr>
        <w:t xml:space="preserve">In contrast to the earlier analysis of amino acid sequence data, the insertion and deletion events exerted substantial influence on tree support and their contribution varied with the sampled homology assignments.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183" name="Frame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7.019000136853364"/>
                              </w:rPr>
                              <w:drawing>
                                <wp:inline distT="0" distB="0" distL="0" distR="0">
                                  <wp:extent cx="6400800" cy="1983740"/>
                                  <wp:effectExtent l="0" t="0" r="0" b="0"/>
                                  <wp:docPr id="190" name="Image19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" name="Image190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19837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37" w:name="QRatesDiagonal"/>
                            <w:fldSimple w:instr="SEQ Figure \* ARABIC " w:dirty="1">
                              <w:r>
                                <w:t>5</w:t>
                              </w:r>
                            </w:fldSimple>
                            <w:bookmarkEnd w:id="37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rate of change when in a particular segmental state (or </w:t>
                            </w:r>
                            <w:r>
                              <w:rPr>
                                <w:rFonts w:ascii="CMU Sans Serif" w:eastAsia="CMU Sans Serif" w:hAnsi="CMU Sans Serif"/>
                                <w:noProof/>
                                <w:sz w:val="20"/>
                                <w:szCs w:val="20"/>
                              </w:rPr>
                              <w:t>−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</w:rPr>
                              <w:t>q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  <w:vertAlign w:val="subscript"/>
                              </w:rPr>
                              <w:t>ii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Subsequent analyses therefore condition on the three fixed topologies in </w:t>
      </w:r>
      <w:hyperlink w:anchor="ModelTreesUsed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ModelTreesUsed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ModelTreesUsed" w:history="1">
        <w:fldSimple w:instr="REF ModelTreesUsed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Although the diversification of Romance remains debated, many recent accounts posit Sardinian as the earliest branching lineage, followed by Romanian</w:t>
      </w:r>
      <w:sdt>
        <w:sdtPr>
          <w:citation/>
        </w:sdtPr>
        <w:sdtContent>
          <w:r>
            <w:fldChar w:fldCharType="begin"/>
          </w:r>
          <w:r>
            <w:instrText>CITATION Hall1950</w:instrText>
          </w:r>
          <w:r>
            <w:fldChar w:fldCharType="separate"/>
          </w:r>
          <w:r>
            <w:t>[41]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Hall1976</w:instrText>
          </w:r>
          <w:r>
            <w:fldChar w:fldCharType="separate"/>
          </w:r>
          <w:r>
            <w:t>[42]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Dardel1985</w:instrText>
          </w:r>
          <w:r>
            <w:fldChar w:fldCharType="separate"/>
          </w:r>
          <w:r>
            <w:t>[43]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Swiggers2001</w:instrText>
          </w:r>
          <w:r>
            <w:fldChar w:fldCharType="separate"/>
          </w:r>
          <w:r>
            <w:t>[44]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Vallejo2012</w:instrText>
          </w:r>
          <w:r>
            <w:fldChar w:fldCharType="separate"/>
          </w:r>
          <w:r>
            <w:t>[45]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Buchi2015</w:instrText>
          </w:r>
          <w:r>
            <w:fldChar w:fldCharType="separate"/>
          </w:r>
          <w:r>
            <w:t>[46]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Dworkin2016a</w:instrText>
          </w:r>
          <w:r>
            <w:fldChar w:fldCharType="separate"/>
          </w:r>
          <w:r>
            <w:t>[47]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Since Sardinian is not in our sample, Romanian occupies the earliest branching position in each topology in </w:t>
      </w:r>
      <w:hyperlink w:anchor="ModelTreesUsed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ModelTreesUsed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ModelTreesUsed" w:history="1">
        <w:fldSimple w:instr="REF ModelTreesUsed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 internal structure of the subtrees varies across the three configurations, but Spanish and Portuguese consistently form a clade, as do Catalan, French, and Walloon.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relationship between Classical Latin, Vulgar Latin, </w:t>
      </w:r>
      <w:r>
        <w:rPr>
          <w:rFonts w:ascii="Libertinus Sans" w:eastAsia="Libertinus Sans" w:hAnsi="Libertinus Sans"/>
          <w:sz w:val="20"/>
          <w:szCs w:val="20"/>
        </w:rPr>
        <w:t>Proto-Romance, and the Romance languages remains the subject of ongoing debate</w:t>
      </w:r>
      <w:sdt>
        <w:sdtPr>
          <w:citation/>
        </w:sdtPr>
        <w:sdtContent>
          <w:r>
            <w:fldChar w:fldCharType="begin"/>
          </w:r>
          <w:r>
            <w:instrText>CITATION Posner1996</w:instrText>
          </w:r>
          <w:r>
            <w:fldChar w:fldCharType="separate"/>
          </w:r>
          <w:r>
            <w:t>[48]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Harris2003</w:instrText>
          </w:r>
          <w:r>
            <w:fldChar w:fldCharType="separate"/>
          </w:r>
          <w:r>
            <w:t>[49]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Chang2015</w:instrText>
          </w:r>
          <w:r>
            <w:fldChar w:fldCharType="separate"/>
          </w:r>
          <w:r>
            <w:t>[9]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Heggarty2023</w:instrText>
          </w:r>
          <w:r>
            <w:fldChar w:fldCharType="separate"/>
          </w:r>
          <w:r>
            <w:t>[14]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Goldstein2024</w:instrText>
          </w:r>
          <w:r>
            <w:fldChar w:fldCharType="separate"/>
          </w:r>
          <w:r>
            <w:t>[50]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A central issue is whether Latin (Classical or Vulgar) is a sampled ancestor of the Romance languages or their sister lineage. </w:t>
      </w:r>
      <w:r>
        <w:rPr>
          <w:rFonts w:ascii="Libertinus Sans" w:eastAsia="Libertinus Sans" w:hAnsi="Libertinus Sans"/>
          <w:sz w:val="20"/>
          <w:szCs w:val="20"/>
        </w:rPr>
        <w:t xml:space="preserve">For reasons of model tractability, we adopt the latter assumption and treat Latin as an outgroup. </w:t>
      </w:r>
      <w:r>
        <w:rPr>
          <w:rFonts w:ascii="Libertinus Sans" w:eastAsia="Libertinus Sans" w:hAnsi="Libertinus Sans"/>
          <w:sz w:val="20"/>
          <w:szCs w:val="20"/>
        </w:rPr>
        <w:t xml:space="preserve">Tree models that incorporate sampled ancestors are considerably more complex than the framework employed here. </w:t>
      </w:r>
      <w:r>
        <w:rPr>
          <w:rFonts w:ascii="Libertinus Sans" w:eastAsia="Libertinus Sans" w:hAnsi="Libertinus Sans"/>
          <w:sz w:val="20"/>
          <w:szCs w:val="20"/>
        </w:rPr>
        <w:t xml:space="preserve">This modeling choice does not exclude an ancestral interpretation, however: if the estimated branch length leading to Latin approaches zero, Latin is effectively positioned at the root of the Romance clade.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38" w:name="PaperSections_ModelComparison"/>
      <w:bookmarkEnd w:id="38"/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2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Model Comparison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39" w:name="PaperSections_ModelComparison"/>
      <w:bookmarkEnd w:id="39"/>
      <w:r>
        <w:rPr>
          <w:rFonts w:ascii="Libertinus Sans" w:eastAsia="Libertinus Sans" w:hAnsi="Libertinus Sans"/>
          <w:sz w:val="20"/>
          <w:szCs w:val="20"/>
        </w:rPr>
        <w:t xml:space="preserve">We assessed the relative fit of the three segmental-change models introduced in </w:t>
      </w:r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3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 using Bayes factors. </w:t>
      </w:r>
      <w:r>
        <w:rPr>
          <w:rFonts w:ascii="Libertinus Sans" w:eastAsia="Libertinus Sans" w:hAnsi="Libertinus Sans"/>
          <w:sz w:val="20"/>
          <w:szCs w:val="20"/>
        </w:rPr>
        <w:t xml:space="preserve">The Bayes factor is the ratio of the marginal likelihoods of the models: </w:t>
      </w:r>
    </w:p>
    <w:tbl>
      <w:tblPr>
        <w:jc w:val="center"/>
        <w:rPr>
          <w:rFonts w:ascii="Libertinus Sans" w:eastAsia="Libertinus Sans" w:hAnsi="Libertinus Sans"/>
          <w:sz w:val="20"/>
          <w:szCs w:val="20"/>
        </w:rPr>
        <w:tblW w:w="0" w:type="dxa"/>
        <w:tblLayout w:type="fixed"/>
        <w:tblCellMar>
          <w:left w:w="0" w:type="dxa"/>
          <w:right w:w="0" w:type="dxa"/>
        </w:tblCellMar>
      </w:tblPr>
      <w:tblGrid>
        <w:gridCol w:w="4400" w:type="dxa"/>
        <w:gridCol w:w="480" w:type="dxa"/>
      </w:tblGrid>
      <w:tr>
        <w:tc>
          <w:tcPr>
            <w:vAlign w:val="bottom"/>
            <w:tcW w:w="4400" w:type="dxa"/>
          </w:tcPr>
          <w:p>
            <w:pPr>
              <w:spacing w:before="200" w:after="160"/>
              <w:jc w:val="center"/>
              <w:rPr>
                <w:rFonts w:ascii="CMU Serif" w:eastAsia="CMU Serif" w:hAnsi="CMU Serif"/>
                <w:sz w:val="20"/>
                <w:szCs w:val="20"/>
              </w:rPr>
            </w:pPr>
            <w:r>
              <w:rPr>
                <w:rFonts w:ascii="CMU Serif" w:eastAsia="CMU Serif" w:hAnsi="CMU Serif"/>
                <w:sz w:val="20"/>
                <w:szCs w:val="20"/>
                <w:position w:val="-19.21100000004196"/>
              </w:rPr>
              <w:drawing>
                <wp:inline distT="0" distB="0" distL="0" distR="0">
                  <wp:extent cx="1228540" cy="551243"/>
                  <wp:effectExtent l="0" t="0" r="0" b="0"/>
                  <wp:docPr id="199" name="Image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Image199"/>
                          <pic:cNvPicPr/>
                        </pic:nvPicPr>
                        <pic:blipFill>
                          <a:blip>
                            <a:extLst>
                              <a:ext uri="{96DAC541-7B7A-43D3-8B79-37D633B846F1}">
                                <asvg:svgBlip xmlns:asvg="http://schemas.microsoft.com/office/drawing/2016/SVG/main" r:embed="rId19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540" cy="551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Align w:val="bottom"/>
            <w:tcW w:w="480" w:type="dxa"/>
          </w:tcPr>
          <w:p>
            <w:pPr>
              <w:rPr>
                <w:rFonts w:ascii="Libertinus Sans" w:eastAsia="Libertinus Sans" w:hAnsi="Libertinus Sans"/>
                <w:sz w:val="20"/>
                <w:szCs w:val="20"/>
              </w:rPr>
            </w:pPr>
            <w:r>
              <w:rPr>
                <w:rFonts w:ascii="Libertinus Sans" w:eastAsia="Libertinus Sans" w:hAnsi="Libertinus Sans"/>
                <w:sz w:val="20"/>
                <w:szCs w:val="20"/>
              </w:rPr>
              <w:t>(2)</w:t>
            </w:r>
          </w:p>
        </w:tc>
      </w:tr>
    </w:tbl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40" w:name="PaperSections_ModelComparison"/>
      <w:bookmarkEnd w:id="40"/>
      <w:r>
        <w:rPr>
          <w:rFonts w:ascii="Libertinus Sans" w:eastAsia="Libertinus Sans" w:hAnsi="Libertinus Sans"/>
          <w:sz w:val="20"/>
          <w:szCs w:val="20"/>
        </w:rPr>
        <w:t xml:space="preserve">Ratios greater than one indicate evidence in favor of model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Classical Serif" w:eastAsia="CMU Classical Serif" w:hAnsi="CMU Classical Serif"/>
          <w:noProof/>
          <w:sz w:val="20"/>
          <w:szCs w:val="20"/>
          <w:vertAlign w:val="subscript"/>
        </w:rPr>
        <w:t>i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Since the candidate models are nested, we computed the Bayes factor via the Savage-Dickey density ratio</w:t>
      </w:r>
      <w:sdt>
        <w:sdtPr>
          <w:citation/>
        </w:sdtPr>
        <w:sdtContent>
          <w:r>
            <w:fldChar w:fldCharType="begin"/>
          </w:r>
          <w:r>
            <w:instrText>CITATION Dickey1971</w:instrText>
          </w:r>
          <w:r>
            <w:fldChar w:fldCharType="separate"/>
          </w:r>
          <w:r>
            <w:t>[51]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 xml:space="preserve">which evaluates the ratio of posterior to prior densities at the parameter restriction that reduces the richer model to the simpler one. </w:t>
      </w:r>
      <w:r>
        <w:rPr>
          <w:rFonts w:ascii="Libertinus Sans" w:eastAsia="Libertinus Sans" w:hAnsi="Libertinus Sans"/>
          <w:sz w:val="20"/>
          <w:szCs w:val="20"/>
        </w:rPr>
        <w:t xml:space="preserve">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 explains the data substantially better than the two simpler alternatives. </w:t>
      </w:r>
      <w:r>
        <w:rPr>
          <w:rFonts w:ascii="Libertinus Sans" w:eastAsia="Libertinus Sans" w:hAnsi="Libertinus Sans"/>
          <w:sz w:val="20"/>
          <w:szCs w:val="20"/>
        </w:rPr>
        <w:t xml:space="preserve">The log Bayes factors are </w:t>
      </w:r>
      <w:r>
        <w:rPr>
          <w:rFonts w:ascii="CMU Classical Serif" w:eastAsia="CMU Classical Serif" w:hAnsi="CMU Classical Serif"/>
          <w:noProof/>
          <w:sz w:val="20"/>
          <w:szCs w:val="20"/>
        </w:rPr>
        <w:t>ln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BF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12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ans Serif" w:eastAsia="CMU Sans Serif" w:hAnsi="CMU Sans Serif"/>
          <w:noProof/>
          <w:sz w:val="20"/>
          <w:szCs w:val="20"/>
        </w:rPr>
        <w:t>−</w:t>
      </w:r>
      <w:r>
        <w:rPr>
          <w:rFonts w:ascii="CMU Serif" w:eastAsia="CMU Serif" w:hAnsi="CMU Serif"/>
          <w:noProof/>
          <w:sz w:val="20"/>
          <w:szCs w:val="20"/>
        </w:rPr>
        <w:t>1074.2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CMU Classical Serif" w:eastAsia="CMU Classical Serif" w:hAnsi="CMU Classical Serif"/>
          <w:noProof/>
          <w:sz w:val="20"/>
          <w:szCs w:val="20"/>
        </w:rPr>
        <w:t>ln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BF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23</w:t>
      </w:r>
      <w:r>
        <w:rPr>
          <w:rFonts w:ascii="CMU Sans Serif" w:eastAsia="CMU Sans Serif" w:hAnsi="CMU Sans Serif"/>
          <w:noProof/>
          <w:sz w:val="20"/>
          <w:szCs w:val="20"/>
        </w:rPr>
        <w:t> = </w:t>
      </w:r>
      <w:r>
        <w:rPr>
          <w:rFonts w:ascii="CMU Sans Serif" w:eastAsia="CMU Sans Serif" w:hAnsi="CMU Sans Serif"/>
          <w:noProof/>
          <w:sz w:val="20"/>
          <w:szCs w:val="20"/>
        </w:rPr>
        <w:t>−</w:t>
      </w:r>
      <w:r>
        <w:rPr>
          <w:rFonts w:ascii="CMU Serif" w:eastAsia="CMU Serif" w:hAnsi="CMU Serif"/>
          <w:noProof/>
          <w:sz w:val="20"/>
          <w:szCs w:val="20"/>
        </w:rPr>
        <w:t>117.3</w:t>
      </w:r>
      <w:r>
        <w:rPr>
          <w:rFonts w:ascii="Libertinus Sans" w:eastAsia="Libertinus Sans" w:hAnsi="Libertinus Sans"/>
          <w:sz w:val="20"/>
          <w:szCs w:val="20"/>
        </w:rPr>
        <w:t xml:space="preserve">, comparing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1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 xml:space="preserve">, respectively. </w:t>
      </w:r>
      <w:r>
        <w:rPr>
          <w:rFonts w:ascii="Libertinus Sans" w:eastAsia="Libertinus Sans" w:hAnsi="Libertinus Sans"/>
          <w:sz w:val="20"/>
          <w:szCs w:val="20"/>
        </w:rPr>
        <w:t xml:space="preserve">This difference constitutes overwhelming support for the more parameter-rich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sdt>
        <w:sdtPr>
          <w:citation/>
        </w:sdtPr>
        <w:sdtContent>
          <w:r>
            <w:fldChar w:fldCharType="begin"/>
          </w:r>
          <w:r>
            <w:instrText>CITATION Jeffreys1939</w:instrText>
          </w:r>
          <w:r>
            <w:fldChar w:fldCharType="separate"/>
          </w:r>
          <w:r>
            <w:t>[52]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41" w:name="PaperSections_WordTransformation"/>
      <w:bookmarkEnd w:id="41"/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Segmental Change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42" w:name="PaperSections_WordTransformation"/>
      <w:bookmarkEnd w:id="42"/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QRatesDiagonal" w:history="1">
        <w:fldSimple w:instr="REF QRatesDiagonal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presents the absolute values of the diagonal entries of the substitution rate matrix estimated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These diagonal elements provide a measure of segmental volatility, as each diagonal element equals the sum of transition rates from a given segment to all alternative segments. </w:t>
      </w:r>
      <w:r>
        <w:rPr>
          <w:rFonts w:ascii="Libertinus Sans" w:eastAsia="Libertinus Sans" w:hAnsi="Libertinus Sans"/>
          <w:sz w:val="20"/>
          <w:szCs w:val="20"/>
        </w:rPr>
        <w:t xml:space="preserve">When the process is in segment </w:t>
      </w:r>
      <w:r>
        <w:rPr>
          <w:rFonts w:ascii="CMU Classical Serif" w:eastAsia="CMU Classical Serif" w:hAnsi="CMU Classical Serif"/>
          <w:noProof/>
          <w:sz w:val="20"/>
          <w:szCs w:val="20"/>
        </w:rPr>
        <w:t>i</w:t>
      </w:r>
      <w:r>
        <w:rPr>
          <w:rFonts w:ascii="Libertinus Sans" w:eastAsia="Libertinus Sans" w:hAnsi="Libertinus Sans"/>
          <w:sz w:val="20"/>
          <w:szCs w:val="20"/>
        </w:rPr>
        <w:t xml:space="preserve">, the value </w:t>
      </w:r>
      <w:r>
        <w:rPr>
          <w:rFonts w:ascii="CMU Sans Serif" w:eastAsia="CMU Sans Serif" w:hAnsi="CMU Sans Serif"/>
          <w:noProof/>
          <w:sz w:val="20"/>
          <w:szCs w:val="20"/>
        </w:rPr>
        <w:t>−</w:t>
      </w:r>
      <w:r>
        <w:rPr>
          <w:rFonts w:ascii="CMU Classical Serif" w:eastAsia="CMU Classical Serif" w:hAnsi="CMU Classical Serif"/>
          <w:noProof/>
          <w:sz w:val="20"/>
          <w:szCs w:val="20"/>
        </w:rPr>
        <w:t>q</w:t>
      </w:r>
      <w:r>
        <w:rPr>
          <w:rFonts w:ascii="CMU Classical Serif" w:eastAsia="CMU Classical Serif" w:hAnsi="CMU Classical Serif"/>
          <w:noProof/>
          <w:sz w:val="20"/>
          <w:szCs w:val="20"/>
          <w:vertAlign w:val="subscript"/>
        </w:rPr>
        <w:t>ii</w:t>
      </w:r>
      <w:r>
        <w:rPr>
          <w:rFonts w:ascii="Libertinus Sans" w:eastAsia="Libertinus Sans" w:hAnsi="Libertinus Sans"/>
          <w:sz w:val="20"/>
          <w:szCs w:val="20"/>
        </w:rPr>
        <w:t xml:space="preserve"> represents the instantaneous rate at which it changes state. </w:t>
      </w:r>
      <w:r>
        <w:rPr>
          <w:rFonts w:ascii="Libertinus Sans" w:eastAsia="Libertinus Sans" w:hAnsi="Libertinus Sans"/>
          <w:sz w:val="20"/>
          <w:szCs w:val="20"/>
        </w:rPr>
        <w:t xml:space="preserve">Higher values therefore correspond to shorter expected residence times and greater diachronic instability. </w:t>
      </w:r>
      <w:r>
        <w:rPr>
          <w:rFonts w:ascii="Libertinus Sans" w:eastAsia="Libertinus Sans" w:hAnsi="Libertinus Sans"/>
          <w:sz w:val="20"/>
          <w:szCs w:val="20"/>
        </w:rPr>
        <w:t xml:space="preserve">Several segmental classes in </w:t>
      </w:r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QRatesDiagonal" w:history="1">
        <w:fldSimple w:instr="REF QRatesDiagonal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appear to share identical rates (e.g., diphthongs, long vowels, affricates, and nasal vowels). </w:t>
      </w:r>
      <w:r>
        <w:rPr>
          <w:rFonts w:ascii="Libertinus Sans" w:eastAsia="Libertinus Sans" w:hAnsi="Libertinus Sans"/>
          <w:sz w:val="20"/>
          <w:szCs w:val="20"/>
        </w:rPr>
        <w:t xml:space="preserve">This visual uniformity is an artifact of scale rather than exact equality. </w:t>
      </w:r>
      <w:r>
        <w:rPr>
          <w:rFonts w:ascii="Libertinus Sans" w:eastAsia="Libertinus Sans" w:hAnsi="Libertinus Sans"/>
          <w:sz w:val="20"/>
          <w:szCs w:val="20"/>
        </w:rPr>
        <w:t xml:space="preserve">Although the rates in these classes are distinct, they are sufficiently small to be indistinguishable at the resolution of the plot.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200" name="Frame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3098800" cy="2514600"/>
                                  <wp:effectExtent l="0" t="0" r="0" b="0"/>
                                  <wp:docPr id="206" name="Image2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" name="Image206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6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2514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44" w:name="EquilibriumCharts"/>
                            <w:fldSimple w:instr="SEQ Figure \* ARABIC " w:dirty="1">
                              <w:r>
                                <w:t>6</w:t>
                              </w:r>
                            </w:fldSimple>
                            <w:bookmarkEnd w:id="44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equilibrium frequencies 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</w:rPr>
                              <w:t>π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of each natural class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most salient pattern in </w:t>
      </w:r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QRatesDiagonal" w:history="1">
        <w:fldSimple w:instr="REF QRatesDiagonal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is the clear separation between vowels and consonants. </w:t>
      </w:r>
      <w:r>
        <w:rPr>
          <w:rFonts w:ascii="Libertinus Sans" w:eastAsia="Libertinus Sans" w:hAnsi="Libertinus Sans"/>
          <w:sz w:val="20"/>
          <w:szCs w:val="20"/>
        </w:rPr>
        <w:t xml:space="preserve">With the exception of affricates, vowels exhibit the highest volatility, and within the vocalic domain diphthongs and long vowels are particularly unstable. </w:t>
      </w:r>
      <w:r>
        <w:rPr>
          <w:rFonts w:ascii="Libertinus Sans" w:eastAsia="Libertinus Sans" w:hAnsi="Libertinus Sans"/>
          <w:sz w:val="20"/>
          <w:szCs w:val="20"/>
        </w:rPr>
        <w:t xml:space="preserve">By contrast, the most stable segments are consonants, with stops displaying the lowest overall rates of change. </w:t>
      </w:r>
      <w:r>
        <w:rPr>
          <w:rFonts w:ascii="Libertinus Sans" w:eastAsia="Libertinus Sans" w:hAnsi="Libertinus Sans"/>
          <w:sz w:val="20"/>
          <w:szCs w:val="20"/>
        </w:rPr>
        <w:t xml:space="preserve">Rates also cluster tightly within natural classes: long vowels, affricates, fricatives, short vowels, nasal vowels, nasal consonants, and stops each form coherent groups. </w:t>
      </w:r>
      <w:r>
        <w:rPr>
          <w:rFonts w:ascii="Libertinus Sans" w:eastAsia="Libertinus Sans" w:hAnsi="Libertinus Sans"/>
          <w:sz w:val="20"/>
          <w:szCs w:val="20"/>
        </w:rPr>
        <w:t xml:space="preserve">Two segments depart from this pattern: the liquid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r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which clusters with the fricatives, and the mid-front vowel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e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which patterns with the nasal vowels. </w:t>
      </w:r>
      <w:r>
        <w:rPr>
          <w:rFonts w:ascii="Libertinus Sans" w:eastAsia="Libertinus Sans" w:hAnsi="Libertinus Sans"/>
          <w:sz w:val="20"/>
          <w:szCs w:val="20"/>
        </w:rPr>
        <w:t xml:space="preserve">These patterns arise from the interaction between class-specific exchangeability parameters and the distribution of equilibrium frequencies. </w:t>
      </w:r>
      <w:r>
        <w:rPr>
          <w:rFonts w:ascii="Libertinus Sans" w:eastAsia="Libertinus Sans" w:hAnsi="Libertinus Sans"/>
          <w:sz w:val="20"/>
          <w:szCs w:val="20"/>
        </w:rPr>
        <w:t xml:space="preserve">When equilibrium frequencies are relatively homogeneous within a class, the corresponding </w:t>
      </w:r>
      <w:r>
        <w:rPr>
          <w:rFonts w:ascii="CMU Sans Serif" w:eastAsia="CMU Sans Serif" w:hAnsi="CMU Sans Serif"/>
          <w:noProof/>
          <w:sz w:val="20"/>
          <w:szCs w:val="20"/>
        </w:rPr>
        <w:t>−</w:t>
      </w:r>
      <w:r>
        <w:rPr>
          <w:rFonts w:ascii="CMU Classical Serif" w:eastAsia="CMU Classical Serif" w:hAnsi="CMU Classical Serif"/>
          <w:noProof/>
          <w:sz w:val="20"/>
          <w:szCs w:val="20"/>
        </w:rPr>
        <w:t>q</w:t>
      </w:r>
      <w:r>
        <w:rPr>
          <w:rFonts w:ascii="CMU Classical Serif" w:eastAsia="CMU Classical Serif" w:hAnsi="CMU Classical Serif"/>
          <w:noProof/>
          <w:sz w:val="20"/>
          <w:szCs w:val="20"/>
          <w:vertAlign w:val="subscript"/>
        </w:rPr>
        <w:t>ii</w:t>
      </w:r>
      <w:r>
        <w:rPr>
          <w:rFonts w:ascii="Libertinus Sans" w:eastAsia="Libertinus Sans" w:hAnsi="Libertinus Sans"/>
          <w:sz w:val="20"/>
          <w:szCs w:val="20"/>
        </w:rPr>
        <w:t xml:space="preserve"> values tend to be similar. </w:t>
      </w:r>
      <w:r>
        <w:rPr>
          <w:rFonts w:ascii="Libertinus Sans" w:eastAsia="Libertinus Sans" w:hAnsi="Libertinus Sans"/>
          <w:sz w:val="20"/>
          <w:szCs w:val="20"/>
        </w:rPr>
        <w:t xml:space="preserve">The clustering observed in </w:t>
      </w:r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QRatesDiagonal" w:history="1">
        <w:fldSimple w:instr="REF QRatesDiagonal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thus reflects both the structural constraints of the model and regularities present in the empirical data.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214" name="Frame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400800" cy="3724783"/>
                                  <wp:effectExtent l="0" t="0" r="0" b="0"/>
                                  <wp:docPr id="220" name="Image2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Image220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2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37247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46" w:name="RateChart"/>
                            <w:fldSimple w:instr="SEQ Figure \* ARABIC " w:dirty="1">
                              <w:r>
                                <w:t>7</w:t>
                              </w:r>
                            </w:fldSimple>
                            <w:bookmarkEnd w:id="46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average rates of change between and within the ten groups of the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Natural Class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model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Circle area is proportional to the rate of change between groups (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</w:rPr>
                              <w:t>q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  <w:vertAlign w:val="subscript"/>
                              </w:rPr>
                              <w:t>ij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).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Shaded area represents the 95% credible interval.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hyperlink w:anchor="EquilibriumCharts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EquilibriumCharts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EquilibriumCharts" w:history="1">
        <w:fldSimple w:instr="REF EquilibriumCharts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displays the estimated equilibrium frequencies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These frequencies enter the likelihood in two ways. </w:t>
      </w:r>
      <w:r>
        <w:rPr>
          <w:rFonts w:ascii="Libertinus Sans" w:eastAsia="Libertinus Sans" w:hAnsi="Libertinus Sans"/>
          <w:sz w:val="20"/>
          <w:szCs w:val="20"/>
        </w:rPr>
        <w:t xml:space="preserve">First, they determine the prior distribution over segmental states at the root of the tree. </w:t>
      </w:r>
      <w:r>
        <w:rPr>
          <w:rFonts w:ascii="Libertinus Sans" w:eastAsia="Libertinus Sans" w:hAnsi="Libertinus Sans"/>
          <w:sz w:val="20"/>
          <w:szCs w:val="20"/>
        </w:rPr>
        <w:t xml:space="preserve">Second, in models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2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CMU Classical Serif" w:eastAsia="CMU Classical Serif" w:hAnsi="CMU Classical Serif"/>
          <w:noProof/>
          <w:i/>
          <w:sz w:val="20"/>
          <w:szCs w:val="20"/>
        </w:rPr>
        <w:t>M</w:t>
      </w:r>
      <w:r>
        <w:rPr>
          <w:rFonts w:ascii="CMU Serif" w:eastAsia="CMU Serif" w:hAnsi="CMU Serif"/>
          <w:noProof/>
          <w:sz w:val="20"/>
          <w:szCs w:val="20"/>
          <w:vertAlign w:val="subscript"/>
        </w:rPr>
        <w:t>3</w:t>
      </w:r>
      <w:r>
        <w:rPr>
          <w:rFonts w:ascii="Libertinus Sans" w:eastAsia="Libertinus Sans" w:hAnsi="Libertinus Sans"/>
          <w:sz w:val="20"/>
          <w:szCs w:val="20"/>
        </w:rPr>
        <w:t xml:space="preserve">, they scale substitution rates so that transitions into a segment are proportional to its equilibrium frequency. </w:t>
      </w:r>
      <w:r>
        <w:rPr>
          <w:rFonts w:ascii="Libertinus Sans" w:eastAsia="Libertinus Sans" w:hAnsi="Libertinus Sans"/>
          <w:sz w:val="20"/>
          <w:szCs w:val="20"/>
        </w:rPr>
        <w:t xml:space="preserve">Accordingly, transitions into </w:t>
      </w:r>
      <w:r>
        <w:rPr>
          <w:rFonts w:ascii="Libertinus Sans" w:eastAsia="Libertinus Sans" w:hAnsi="Libertinus Sans"/>
          <w:sz w:val="20"/>
          <w:szCs w:val="20"/>
        </w:rPr>
        <w:t>liquids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>(</w:t>
      </w:r>
      <w:r>
        <w:rPr>
          <w:rFonts w:ascii="Libertinus Sans" w:eastAsia="Libertinus Sans" w:hAnsi="Libertinus Sans"/>
          <w:sz w:val="20"/>
          <w:szCs w:val="20"/>
        </w:rPr>
        <w:t>0.188</w:t>
      </w:r>
      <w:r>
        <w:rPr>
          <w:rFonts w:ascii="Libertinus Sans" w:eastAsia="Libertinus Sans" w:hAnsi="Libertinus Sans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short vowels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>(</w:t>
      </w:r>
      <w:r>
        <w:rPr>
          <w:rFonts w:ascii="Libertinus Sans" w:eastAsia="Libertinus Sans" w:hAnsi="Libertinus Sans"/>
          <w:sz w:val="20"/>
          <w:szCs w:val="20"/>
        </w:rPr>
        <w:t>0.110</w:t>
      </w:r>
      <w:r>
        <w:rPr>
          <w:rFonts w:ascii="Libertinus Sans" w:eastAsia="Libertinus Sans" w:hAnsi="Libertinus Sans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, and </w:t>
      </w:r>
      <w:r>
        <w:rPr>
          <w:rFonts w:ascii="Libertinus Sans" w:eastAsia="Libertinus Sans" w:hAnsi="Libertinus Sans"/>
          <w:sz w:val="20"/>
          <w:szCs w:val="20"/>
        </w:rPr>
        <w:t>nasal consonants</w:t>
      </w:r>
      <w:r>
        <w:rPr>
          <w:rFonts w:ascii="Libertinus Sans" w:eastAsia="Libertinus Sans" w:hAnsi="Libertinus Sans"/>
          <w:sz w:val="20"/>
          <w:szCs w:val="20"/>
        </w:rPr>
        <w:t> </w:t>
      </w:r>
      <w:r>
        <w:rPr>
          <w:rFonts w:ascii="Libertinus Sans" w:eastAsia="Libertinus Sans" w:hAnsi="Libertinus Sans"/>
          <w:sz w:val="20"/>
          <w:szCs w:val="20"/>
        </w:rPr>
        <w:t>(</w:t>
      </w:r>
      <w:r>
        <w:rPr>
          <w:rFonts w:ascii="Libertinus Sans" w:eastAsia="Libertinus Sans" w:hAnsi="Libertinus Sans"/>
          <w:sz w:val="20"/>
          <w:szCs w:val="20"/>
        </w:rPr>
        <w:t>0.0758</w:t>
      </w:r>
      <w:r>
        <w:rPr>
          <w:rFonts w:ascii="Libertinus Sans" w:eastAsia="Libertinus Sans" w:hAnsi="Libertinus Sans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 exhibit the highest estimated rates, which reflects their comparatively large equilibrium weights. </w:t>
      </w:r>
      <w:r>
        <w:rPr>
          <w:rFonts w:ascii="Libertinus Sans" w:eastAsia="Libertinus Sans" w:hAnsi="Libertinus Sans"/>
          <w:sz w:val="20"/>
          <w:szCs w:val="20"/>
        </w:rPr>
        <w:t xml:space="preserve">More broadly, the inferred equilibrium distribution closely mirrors the empirical segment frequencies observed in the dataset.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228" name="Frame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400800" cy="3870325"/>
                                  <wp:effectExtent l="0" t="0" r="0" b="0"/>
                                  <wp:docPr id="234" name="Image2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4" name="Image234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4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3870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48" w:name="AlignmentExample1"/>
                            <w:fldSimple w:instr="SEQ Figure \* ARABIC " w:dirty="1">
                              <w:r>
                                <w:t>8</w:t>
                              </w:r>
                            </w:fldSimple>
                            <w:bookmarkEnd w:id="48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Segments are colored according to natural class. Dashes denote gaps where there is no homologous segment for the alignment position.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alignments are ordered from the highest posterior probability (top-left alignment) to the lowest posterior probability (bottom-right alignment) in row order.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RateChart" w:history="1">
        <w:fldSimple w:instr="REF RateChart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shows the estimated substitution rates among the </w:t>
      </w:r>
      <w:r>
        <w:rPr>
          <w:rFonts w:ascii="Libertinus Sans" w:eastAsia="Libertinus Sans" w:hAnsi="Libertinus Sans"/>
          <w:sz w:val="20"/>
          <w:szCs w:val="20"/>
        </w:rPr>
        <w:t>10</w:t>
      </w:r>
      <w:r>
        <w:rPr>
          <w:rFonts w:ascii="Libertinus Sans" w:eastAsia="Libertinus Sans" w:hAnsi="Libertinus Sans"/>
          <w:sz w:val="20"/>
          <w:szCs w:val="20"/>
        </w:rPr>
        <w:t xml:space="preserve"> groups of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Within-class exchange rates are elevated for short vowels, nasal consonants, and liquids. </w:t>
      </w:r>
      <w:r>
        <w:rPr>
          <w:rFonts w:ascii="Libertinus Sans" w:eastAsia="Libertinus Sans" w:hAnsi="Libertinus Sans"/>
          <w:sz w:val="20"/>
          <w:szCs w:val="20"/>
        </w:rPr>
        <w:t xml:space="preserve">Relative to an equal-rates Poisson model, the within-class rates are </w:t>
      </w:r>
      <w:r>
        <w:rPr>
          <w:rFonts w:ascii="Libertinus Sans" w:eastAsia="Libertinus Sans" w:hAnsi="Libertinus Sans"/>
          <w:sz w:val="20"/>
          <w:szCs w:val="20"/>
        </w:rPr>
        <w:t>0.33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1.63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0.05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8.59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5.91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14.70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0.90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0.52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2.28</w:t>
      </w:r>
      <w:r>
        <w:rPr>
          <w:rFonts w:ascii="Libertinus Sans" w:eastAsia="Libertinus Sans" w:hAnsi="Libertinus Sans"/>
          <w:sz w:val="20"/>
          <w:szCs w:val="20"/>
        </w:rPr>
        <w:t xml:space="preserve">, and </w:t>
      </w:r>
      <w:r>
        <w:rPr>
          <w:rFonts w:ascii="Libertinus Sans" w:eastAsia="Libertinus Sans" w:hAnsi="Libertinus Sans"/>
          <w:sz w:val="20"/>
          <w:szCs w:val="20"/>
        </w:rPr>
        <w:t>1.52</w:t>
      </w:r>
      <w:r>
        <w:rPr>
          <w:rFonts w:ascii="Libertinus Sans" w:eastAsia="Libertinus Sans" w:hAnsi="Libertinus Sans"/>
          <w:sz w:val="20"/>
          <w:szCs w:val="20"/>
        </w:rPr>
        <w:t xml:space="preserve"> times larger for </w:t>
      </w:r>
      <w:r>
        <w:rPr>
          <w:rFonts w:ascii="Libertinus Sans" w:eastAsia="Libertinus Sans" w:hAnsi="Libertinus Sans"/>
          <w:sz w:val="20"/>
          <w:szCs w:val="20"/>
        </w:rPr>
        <w:t>long vowels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nasal vowels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diphthongs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short vowels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nasal consonants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liquids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approximants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affricates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fricatives</w:t>
      </w:r>
      <w:r>
        <w:rPr>
          <w:rFonts w:ascii="Libertinus Sans" w:eastAsia="Libertinus Sans" w:hAnsi="Libertinus Sans"/>
          <w:sz w:val="20"/>
          <w:szCs w:val="20"/>
        </w:rPr>
        <w:t xml:space="preserve">, and </w:t>
      </w:r>
      <w:r>
        <w:rPr>
          <w:rFonts w:ascii="Libertinus Sans" w:eastAsia="Libertinus Sans" w:hAnsi="Libertinus Sans"/>
          <w:sz w:val="20"/>
          <w:szCs w:val="20"/>
        </w:rPr>
        <w:t>stops</w:t>
      </w:r>
      <w:r>
        <w:rPr>
          <w:rFonts w:ascii="Libertinus Sans" w:eastAsia="Libertinus Sans" w:hAnsi="Libertinus Sans"/>
          <w:sz w:val="20"/>
          <w:szCs w:val="20"/>
        </w:rPr>
        <w:t xml:space="preserve">, respectively. </w:t>
      </w:r>
      <w:r>
        <w:rPr>
          <w:rFonts w:ascii="Libertinus Sans" w:eastAsia="Libertinus Sans" w:hAnsi="Libertinus Sans"/>
          <w:sz w:val="20"/>
          <w:szCs w:val="20"/>
        </w:rPr>
        <w:t xml:space="preserve">Thus within-class exchange falls below the equal-rates expectation for long vowels, diphthongs, approximants, and affricates, </w:t>
      </w:r>
      <w:r>
        <w:rPr>
          <w:rFonts w:ascii="Libertinus Sans" w:eastAsia="Libertinus Sans" w:hAnsi="Libertinus Sans"/>
          <w:sz w:val="20"/>
          <w:szCs w:val="20"/>
        </w:rPr>
        <w:t xml:space="preserve">while it exceeds expectation for nasal vowels, short vowels, nasal consonants, liquids, fricatives, and stops. </w:t>
      </w:r>
      <w:r>
        <w:rPr>
          <w:rFonts w:ascii="Libertinus Sans" w:eastAsia="Libertinus Sans" w:hAnsi="Libertinus Sans"/>
          <w:sz w:val="20"/>
          <w:szCs w:val="20"/>
        </w:rPr>
        <w:t xml:space="preserve">Exchange rates between long vowels and short vowels, and between diphthongs and short vowels, exceed the corresponding within-class rates, a tendency discussed in section 5.2 below. </w:t>
      </w:r>
      <w:r>
        <w:rPr>
          <w:rFonts w:ascii="Libertinus Sans" w:eastAsia="Libertinus Sans" w:hAnsi="Libertinus Sans"/>
          <w:sz w:val="20"/>
          <w:szCs w:val="20"/>
        </w:rPr>
        <w:t xml:space="preserve">Overall, </w:t>
      </w:r>
      <w:r>
        <w:rPr>
          <w:rFonts w:ascii="Libertinus Sans" w:eastAsia="Libertinus Sans" w:hAnsi="Libertinus Sans"/>
          <w:sz w:val="20"/>
          <w:szCs w:val="20"/>
        </w:rPr>
        <w:t>60.0</w:t>
      </w:r>
      <w:r>
        <w:rPr>
          <w:rFonts w:ascii="Libertinus Sans" w:eastAsia="Libertinus Sans" w:hAnsi="Libertinus Sans"/>
          <w:sz w:val="20"/>
          <w:szCs w:val="20"/>
        </w:rPr>
        <w:t>% (</w:t>
      </w:r>
      <w:r>
        <w:rPr>
          <w:rFonts w:ascii="Libertinus Sans" w:eastAsia="Libertinus Sans" w:hAnsi="Libertinus Sans"/>
          <w:sz w:val="20"/>
          <w:szCs w:val="20"/>
        </w:rPr>
        <w:t>6</w:t>
      </w:r>
      <w:r>
        <w:rPr>
          <w:rFonts w:ascii="Libertinus Sans" w:eastAsia="Libertinus Sans" w:hAnsi="Libertinus Sans"/>
          <w:sz w:val="20"/>
          <w:szCs w:val="20"/>
        </w:rPr>
        <w:t xml:space="preserve"> out of </w:t>
      </w:r>
      <w:r>
        <w:rPr>
          <w:rFonts w:ascii="Libertinus Sans" w:eastAsia="Libertinus Sans" w:hAnsi="Libertinus Sans"/>
          <w:sz w:val="20"/>
          <w:szCs w:val="20"/>
        </w:rPr>
        <w:t>10</w:t>
      </w:r>
      <w:r>
        <w:rPr>
          <w:rFonts w:ascii="Libertinus Sans" w:eastAsia="Libertinus Sans" w:hAnsi="Libertinus Sans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 of within-class transitions exceed the equal-rates expectation, compared to </w:t>
      </w:r>
      <w:r>
        <w:rPr>
          <w:rFonts w:ascii="Libertinus Sans" w:eastAsia="Libertinus Sans" w:hAnsi="Libertinus Sans"/>
          <w:sz w:val="20"/>
          <w:szCs w:val="20"/>
        </w:rPr>
        <w:t>23.3</w:t>
      </w:r>
      <w:r>
        <w:rPr>
          <w:rFonts w:ascii="Libertinus Sans" w:eastAsia="Libertinus Sans" w:hAnsi="Libertinus Sans"/>
          <w:sz w:val="20"/>
          <w:szCs w:val="20"/>
        </w:rPr>
        <w:t>% (</w:t>
      </w:r>
      <w:r>
        <w:rPr>
          <w:rFonts w:ascii="Libertinus Sans" w:eastAsia="Libertinus Sans" w:hAnsi="Libertinus Sans"/>
          <w:sz w:val="20"/>
          <w:szCs w:val="20"/>
        </w:rPr>
        <w:t>21</w:t>
      </w:r>
      <w:r>
        <w:rPr>
          <w:rFonts w:ascii="Libertinus Sans" w:eastAsia="Libertinus Sans" w:hAnsi="Libertinus Sans"/>
          <w:sz w:val="20"/>
          <w:szCs w:val="20"/>
        </w:rPr>
        <w:t xml:space="preserve"> out of </w:t>
      </w:r>
      <w:r>
        <w:rPr>
          <w:rFonts w:ascii="Libertinus Sans" w:eastAsia="Libertinus Sans" w:hAnsi="Libertinus Sans"/>
          <w:sz w:val="20"/>
          <w:szCs w:val="20"/>
        </w:rPr>
        <w:t>90</w:t>
      </w:r>
      <w:r>
        <w:rPr>
          <w:rFonts w:ascii="Libertinus Sans" w:eastAsia="Libertinus Sans" w:hAnsi="Libertinus Sans"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 of transitions between distinct classes. </w:t>
      </w:r>
      <w:r>
        <w:rPr>
          <w:rFonts w:ascii="Libertinus Sans" w:eastAsia="Libertinus Sans" w:hAnsi="Libertinus Sans"/>
          <w:sz w:val="20"/>
          <w:szCs w:val="20"/>
        </w:rPr>
        <w:t xml:space="preserve">This asymmetry indicates that, although not universal across classes, substitution rates are more frequently higher within natural classes than between them. </w:t>
      </w:r>
      <w:r>
        <w:rPr>
          <w:rFonts w:ascii="Libertinus Sans" w:eastAsia="Libertinus Sans" w:hAnsi="Libertinus Sans"/>
          <w:sz w:val="20"/>
          <w:szCs w:val="20"/>
        </w:rPr>
        <w:t xml:space="preserve">This asymmetry reinforces the conclusion that segments are more likely to change within their own natural class than across class boundaries.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49" w:name="PaperSections_WordSegmentRelationships"/>
      <w:bookmarkEnd w:id="49"/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Segmental Alignments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3098800"/>
                <wp:effectExtent l="0" t="0" r="0" b="0"/>
                <wp:wrapTopAndBottom distT="0" distB="0"/>
                <wp:docPr id="242" name="Frame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5.903999999999968"/>
                              </w:rPr>
                              <w:drawing>
                                <wp:inline distT="0" distB="0" distL="0" distR="0">
                                  <wp:extent cx="3098800" cy="3477768"/>
                                  <wp:effectExtent l="0" t="0" r="0" b="0"/>
                                  <wp:docPr id="248" name="Image24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8" name="Image248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48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8800" cy="347776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51" w:name="GappinessChart"/>
                            <w:fldSimple w:instr="SEQ Figure \* ARABIC " w:dirty="1">
                              <w:r>
                                <w:t>9</w:t>
                              </w:r>
                            </w:fldSimple>
                            <w:bookmarkEnd w:id="51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Distribution of alignment gaps across word positions for the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102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cognate sets analyzed in this study.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top panel shows the proportion of alignments with a given number of gaps at the word-initial segment, the middle panel at word-internal segments, and the bottom panel at the word-final segment.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Since nine languages are analyzed, at most eight gaps can occur at a given position: a deletion event affecting all nine languages would not appear in the alignment and is explicitly conditioned on in the likelihood calculation</w:t>
                            </w:r>
                            <w:sdt>
                              <w:sdtPr>
                                <w:citation/>
                              </w:sdtPr>
                              <w:sdtContent>
                                <w:r>
                                  <w:fldChar w:fldCharType="begin"/>
                                </w:r>
                                <w:r>
                                  <w:instrText>CITATION Lunter2003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[33]</w:t>
                                </w:r>
                                <w:r>
                                  <w:fldChar w:fldCharType="end"/>
                                </w:r>
                              </w:sdtContent>
                            </w:sdt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Gaps increase systematically from initial to final position, with word-final segments exhibiting substantially higher deletion rates.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A likelihood-ratio test rejects the null hypothesis that the gap distributions are identical across positions, (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</w:rPr>
                              <w:t>χ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MU Sans Serif" w:eastAsia="CMU Sans Serif" w:hAnsi="CMU Sans Serif"/>
                                <w:noProof/>
                                <w:sz w:val="20"/>
                                <w:szCs w:val="20"/>
                              </w:rPr>
                              <w:t> = 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</w:rPr>
                              <w:t>425.62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</w:rPr>
                              <w:t>d.f.</w:t>
                            </w:r>
                            <w:r>
                              <w:rPr>
                                <w:rFonts w:ascii="CMU Sans Serif" w:eastAsia="CMU Sans Serif" w:hAnsi="CMU Sans Serif"/>
                                <w:noProof/>
                                <w:sz w:val="20"/>
                                <w:szCs w:val="20"/>
                              </w:rPr>
                              <w:t> = 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sz w:val="20"/>
                                <w:szCs w:val="20"/>
                              </w:rPr>
                              <w:t>p</w:t>
                            </w:r>
                            <w:r>
                              <w:rPr>
                                <w:rFonts w:ascii="CMU Sans Serif" w:eastAsia="CMU Sans Serif" w:hAnsi="CMU Sans Serif"/>
                                <w:noProof/>
                                <w:sz w:val="20"/>
                                <w:szCs w:val="20"/>
                              </w:rPr>
                              <w:t> &lt; 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</w:rPr>
                              <w:t>0.001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), which confirms a statistically significant positional asymmetry.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In our framework, segmental homology across languages is treated as a latent random variable. </w:t>
      </w:r>
      <w:r>
        <w:rPr>
          <w:rFonts w:ascii="Libertinus Sans" w:eastAsia="Libertinus Sans" w:hAnsi="Libertinus Sans"/>
          <w:sz w:val="20"/>
          <w:szCs w:val="20"/>
        </w:rPr>
        <w:t xml:space="preserve">Posterior uncertainty over alignments is summarized by constructing a credible set for each cognate word form. </w:t>
      </w:r>
      <w:r>
        <w:rPr>
          <w:rFonts w:ascii="Libertinus Sans" w:eastAsia="Libertinus Sans" w:hAnsi="Libertinus Sans"/>
          <w:sz w:val="20"/>
          <w:szCs w:val="20"/>
        </w:rPr>
        <w:t xml:space="preserve">Alignments are ordered by posterior probability and the smallest set whose cumulative posterior mass reaches </w:t>
      </w:r>
      <w:r>
        <w:rPr>
          <w:rFonts w:ascii="Libertinus Sans" w:eastAsia="Libertinus Sans" w:hAnsi="Libertinus Sans"/>
          <w:sz w:val="20"/>
          <w:szCs w:val="20"/>
        </w:rPr>
        <w:t>0.95</w:t>
      </w:r>
      <w:r>
        <w:rPr>
          <w:rFonts w:ascii="Libertinus Sans" w:eastAsia="Libertinus Sans" w:hAnsi="Libertinus Sans"/>
          <w:sz w:val="20"/>
          <w:szCs w:val="20"/>
        </w:rPr>
        <w:t xml:space="preserve"> is retained. </w:t>
      </w:r>
      <w:hyperlink w:anchor="AlignmentExample1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AlignmentExample1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AlignmentExample1" w:history="1">
        <w:fldSimple w:instr="REF AlignmentExample1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illustrates this procedure for the concept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flower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Three general properties emerge. </w:t>
      </w:r>
      <w:r>
        <w:rPr>
          <w:rFonts w:ascii="Libertinus Sans" w:eastAsia="Libertinus Sans" w:hAnsi="Libertinus Sans"/>
          <w:sz w:val="20"/>
          <w:szCs w:val="20"/>
        </w:rPr>
        <w:t xml:space="preserve">First, posterior mass is typically concentrated on a single dominant alignment. </w:t>
      </w:r>
      <w:r>
        <w:rPr>
          <w:rFonts w:ascii="Libertinus Sans" w:eastAsia="Libertinus Sans" w:hAnsi="Libertinus Sans"/>
          <w:sz w:val="20"/>
          <w:szCs w:val="20"/>
        </w:rPr>
        <w:t xml:space="preserve">In the example shown, the highest-probability alignment alone accounts for </w:t>
      </w:r>
      <w:r>
        <w:rPr>
          <w:rFonts w:ascii="Libertinus Sans" w:eastAsia="Libertinus Sans" w:hAnsi="Libertinus Sans"/>
          <w:sz w:val="20"/>
          <w:szCs w:val="20"/>
        </w:rPr>
        <w:t>0.79</w:t>
      </w:r>
      <w:r>
        <w:rPr>
          <w:rFonts w:ascii="Libertinus Sans" w:eastAsia="Libertinus Sans" w:hAnsi="Libertinus Sans"/>
          <w:sz w:val="20"/>
          <w:szCs w:val="20"/>
        </w:rPr>
        <w:t xml:space="preserve"> of the posterior. </w:t>
      </w:r>
      <w:r>
        <w:rPr>
          <w:rFonts w:ascii="Libertinus Sans" w:eastAsia="Libertinus Sans" w:hAnsi="Libertinus Sans"/>
          <w:sz w:val="20"/>
          <w:szCs w:val="20"/>
        </w:rPr>
        <w:t xml:space="preserve">Second, insertion and deletion events occur disproportionately in word-final position, consistent with the distribution of gap frequencies shown in </w:t>
      </w:r>
      <w:hyperlink w:anchor="GappinessChart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GappinessChart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GappinessChart" w:history="1">
        <w:fldSimple w:instr="REF GappinessChart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Third, segments from the same natural class tend to be assigned to the same column in the alignment. 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256" name="Frame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6400800" cy="4542917"/>
                                  <wp:effectExtent l="0" t="0" r="0" b="0"/>
                                  <wp:docPr id="262" name="Image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" name="Image262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62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4542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53" w:name="AlignmentExample2"/>
                            <w:fldSimple w:instr="SEQ Figure \* ARABIC " w:dirty="1">
                              <w:r>
                                <w:t>10</w:t>
                              </w:r>
                            </w:fldSimple>
                            <w:bookmarkEnd w:id="53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Alignments of highest posterior probability of the cognate for the concept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‘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sky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.’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eight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alignments under the 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i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Poisson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model)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account for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0.0881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posterior probability.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eight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alignments under the </w:t>
                            </w:r>
                            <w:r>
                              <w:rPr>
                                <w:rFonts w:ascii="CMU Classical Serif" w:eastAsia="CMU Classical Serif" w:hAnsi="CMU Classical Serif"/>
                                <w:noProof/>
                                <w:i/>
                                <w:sz w:val="20"/>
                                <w:szCs w:val="20"/>
                              </w:rPr>
                              <w:t>M</w:t>
                            </w:r>
                            <w:r>
                              <w:rPr>
                                <w:rFonts w:ascii="CMU Serif" w:eastAsia="CMU Serif" w:hAnsi="CMU Serif"/>
                                <w:noProof/>
                                <w:sz w:val="20"/>
                                <w:szCs w:val="20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Natural Class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model)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account for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0.544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posterior probability.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posterior distribution over alignments is sensitive to the substitution model. </w:t>
      </w:r>
      <w:hyperlink w:anchor="AlignmentExample2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AlignmentExample2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AlignmentExample2" w:history="1">
        <w:fldSimple w:instr="REF AlignmentExample2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presents the </w:t>
      </w:r>
      <w:r>
        <w:rPr>
          <w:rFonts w:ascii="Libertinus Sans" w:eastAsia="Libertinus Sans" w:hAnsi="Libertinus Sans"/>
          <w:sz w:val="20"/>
          <w:szCs w:val="20"/>
        </w:rPr>
        <w:t>95</w:t>
      </w:r>
      <w:r>
        <w:rPr>
          <w:rFonts w:ascii="Libertinus Sans" w:eastAsia="Libertinus Sans" w:hAnsi="Libertinus Sans"/>
          <w:sz w:val="20"/>
          <w:szCs w:val="20"/>
        </w:rPr>
        <w:t>%</w:t>
      </w:r>
      <w:r>
        <w:rPr>
          <w:rFonts w:ascii="Libertinus Sans" w:eastAsia="Libertinus Sans" w:hAnsi="Libertinus Sans"/>
          <w:sz w:val="20"/>
          <w:szCs w:val="20"/>
        </w:rPr>
        <w:t xml:space="preserve"> credible set of alignments for the concept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sky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under the </w:t>
      </w:r>
      <w:r>
        <w:rPr>
          <w:rFonts w:ascii="Libertinus Sans" w:eastAsia="Libertinus Sans" w:hAnsi="Libertinus Sans"/>
          <w:sz w:val="20"/>
          <w:szCs w:val="20"/>
        </w:rPr>
        <w:t>Poisson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models. </w:t>
      </w:r>
      <w:r>
        <w:rPr>
          <w:rFonts w:ascii="Libertinus Sans" w:eastAsia="Libertinus Sans" w:hAnsi="Libertinus Sans"/>
          <w:sz w:val="20"/>
          <w:szCs w:val="20"/>
        </w:rPr>
        <w:t xml:space="preserve">Under the </w:t>
      </w:r>
      <w:r>
        <w:rPr>
          <w:rFonts w:ascii="Libertinus Sans" w:eastAsia="Libertinus Sans" w:hAnsi="Libertinus Sans"/>
          <w:sz w:val="20"/>
          <w:szCs w:val="20"/>
        </w:rPr>
        <w:t>Poisson</w:t>
      </w:r>
      <w:r>
        <w:rPr>
          <w:rFonts w:ascii="Libertinus Sans" w:eastAsia="Libertinus Sans" w:hAnsi="Libertinus Sans"/>
          <w:sz w:val="20"/>
          <w:szCs w:val="20"/>
        </w:rPr>
        <w:t xml:space="preserve"> model, the credible set contains </w:t>
      </w:r>
      <w:r>
        <w:rPr>
          <w:rFonts w:ascii="Libertinus Sans" w:eastAsia="Libertinus Sans" w:hAnsi="Libertinus Sans"/>
          <w:sz w:val="20"/>
          <w:szCs w:val="20"/>
        </w:rPr>
        <w:t>1,363</w:t>
      </w:r>
      <w:r>
        <w:rPr>
          <w:rFonts w:ascii="Libertinus Sans" w:eastAsia="Libertinus Sans" w:hAnsi="Libertinus Sans"/>
          <w:sz w:val="20"/>
          <w:szCs w:val="20"/>
        </w:rPr>
        <w:t xml:space="preserve"> alignments under the </w:t>
      </w:r>
      <w:r>
        <w:rPr>
          <w:rFonts w:ascii="Libertinus Sans" w:eastAsia="Libertinus Sans" w:hAnsi="Libertinus Sans"/>
          <w:sz w:val="20"/>
          <w:szCs w:val="20"/>
        </w:rPr>
        <w:t>Poisson</w:t>
      </w:r>
      <w:r>
        <w:rPr>
          <w:rFonts w:ascii="Libertinus Sans" w:eastAsia="Libertinus Sans" w:hAnsi="Libertinus Sans"/>
          <w:sz w:val="20"/>
          <w:szCs w:val="20"/>
        </w:rPr>
        <w:t xml:space="preserve">, whereas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 it contains only </w:t>
      </w:r>
      <w:r>
        <w:rPr>
          <w:rFonts w:ascii="Libertinus Sans" w:eastAsia="Libertinus Sans" w:hAnsi="Libertinus Sans"/>
          <w:sz w:val="20"/>
          <w:szCs w:val="20"/>
        </w:rPr>
        <w:t>226</w:t>
      </w:r>
      <w:r>
        <w:rPr>
          <w:rFonts w:ascii="Libertinus Sans" w:eastAsia="Libertinus Sans" w:hAnsi="Libertinus Sans"/>
          <w:sz w:val="20"/>
          <w:szCs w:val="20"/>
        </w:rPr>
        <w:t xml:space="preserve"> alignments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This reduction in alignment uncertainty accords with the substitution-rate structure estimated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 (</w:t>
      </w:r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RateChart" w:history="1">
        <w:fldSimple w:instr="REF RateChart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). </w:t>
      </w:r>
      <w:r>
        <w:rPr>
          <w:rFonts w:ascii="Libertinus Sans" w:eastAsia="Libertinus Sans" w:hAnsi="Libertinus Sans"/>
          <w:sz w:val="20"/>
          <w:szCs w:val="20"/>
        </w:rPr>
        <w:t xml:space="preserve">For instance, transitions between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u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are assigned relatively high rates, whereas substitutions between consonants and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are strongly disfavored. </w:t>
      </w:r>
      <w:r>
        <w:rPr>
          <w:rFonts w:ascii="Libertinus Sans" w:eastAsia="Libertinus Sans" w:hAnsi="Libertinus Sans"/>
          <w:sz w:val="20"/>
          <w:szCs w:val="20"/>
        </w:rPr>
        <w:t xml:space="preserve">Consequently, the </w:t>
      </w:r>
      <w:r>
        <w:rPr>
          <w:rFonts w:ascii="Libertinus Sans" w:eastAsia="Libertinus Sans" w:hAnsi="Libertinus Sans"/>
          <w:sz w:val="20"/>
          <w:szCs w:val="20"/>
        </w:rPr>
        <w:t>Poisson</w:t>
      </w:r>
      <w:r>
        <w:rPr>
          <w:rFonts w:ascii="Libertinus Sans" w:eastAsia="Libertinus Sans" w:hAnsi="Libertinus Sans"/>
          <w:sz w:val="20"/>
          <w:szCs w:val="20"/>
        </w:rPr>
        <w:t xml:space="preserve"> model frequently aligns consonants with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while such configurations receive negligible posterior weight under the </w:t>
      </w:r>
      <w:r>
        <w:rPr>
          <w:rFonts w:ascii="Libertinus Sans" w:eastAsia="Libertinus Sans" w:hAnsi="Libertinus Sans"/>
          <w:sz w:val="20"/>
          <w:szCs w:val="20"/>
        </w:rPr>
        <w:t>Natural Class</w:t>
      </w:r>
      <w:r>
        <w:rPr>
          <w:rFonts w:ascii="Libertinus Sans" w:eastAsia="Libertinus Sans" w:hAnsi="Libertinus Sans"/>
          <w:sz w:val="20"/>
          <w:szCs w:val="20"/>
        </w:rPr>
        <w:t xml:space="preserve"> model.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54" w:name="PaperSections_DiscussionSection"/>
      <w:bookmarkEnd w:id="54"/>
      <w:r>
        <w:rPr>
          <w:rFonts w:ascii="Libertinus Sans" w:eastAsia="Libertinus Sans" w:hAnsi="Libertinus Sans"/>
          <w:b/>
          <w:sz w:val="32"/>
          <w:szCs w:val="32"/>
        </w:rPr>
        <w:t>5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Discussion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55" w:name="PaperSections_OtherApproaches"/>
      <w:bookmarkEnd w:id="55"/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1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Event-Based Modeling of Sound Change: The TKF91 Approach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56" w:name="PaperSections_OtherApproaches"/>
      <w:bookmarkEnd w:id="56"/>
      <w:r>
        <w:rPr>
          <w:rFonts w:ascii="Libertinus Sans" w:eastAsia="Libertinus Sans" w:hAnsi="Libertinus Sans"/>
          <w:sz w:val="20"/>
          <w:szCs w:val="20"/>
        </w:rPr>
        <w:t xml:space="preserve">Theories of sound change exhibit substantial differences in their assumptions about units and mechanisms. </w:t>
      </w:r>
      <w:r>
        <w:rPr>
          <w:rFonts w:ascii="Libertinus Sans" w:eastAsia="Libertinus Sans" w:hAnsi="Libertinus Sans"/>
          <w:sz w:val="20"/>
          <w:szCs w:val="20"/>
        </w:rPr>
        <w:t>One influential tradition treats phonemes as the primary units of change</w:t>
      </w:r>
      <w:sdt>
        <w:sdtPr>
          <w:citation/>
        </w:sdtPr>
        <w:sdtContent>
          <w:r>
            <w:fldChar w:fldCharType="begin"/>
          </w:r>
          <w:r>
            <w:instrText>CITATION Bloomfield1933</w:instrText>
          </w:r>
          <w:r>
            <w:fldChar w:fldCharType="separate"/>
          </w:r>
          <w:r>
            <w:t>[53]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Under this view, sound change is abrupt and non-independent. </w:t>
      </w:r>
      <w:r>
        <w:rPr>
          <w:rFonts w:ascii="Libertinus Sans" w:eastAsia="Libertinus Sans" w:hAnsi="Libertinus Sans"/>
          <w:sz w:val="20"/>
          <w:szCs w:val="20"/>
        </w:rPr>
        <w:t xml:space="preserve">For instance, a transition from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a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proceeds without intermediate stages and the shift is conceived as a single systemic event affecting all relevant lexical items simultaneously. </w:t>
      </w:r>
      <w:r>
        <w:rPr>
          <w:rFonts w:ascii="Libertinus Sans" w:eastAsia="Libertinus Sans" w:hAnsi="Libertinus Sans"/>
          <w:sz w:val="20"/>
          <w:szCs w:val="20"/>
        </w:rPr>
        <w:t>Other approaches emphasize the role of phonetic factors, particularly acoustic and perceptual pressures, in driving change</w:t>
      </w:r>
      <w:sdt>
        <w:sdtPr>
          <w:citation/>
        </w:sdtPr>
        <w:sdtContent>
          <w:r>
            <w:fldChar w:fldCharType="begin"/>
          </w:r>
          <w:r>
            <w:instrText>CITATION Ohala2003</w:instrText>
          </w:r>
          <w:r>
            <w:fldChar w:fldCharType="separate"/>
          </w:r>
          <w:r>
            <w:t>[54]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Blevins2004a</w:instrText>
          </w:r>
          <w:r>
            <w:fldChar w:fldCharType="separate"/>
          </w:r>
          <w:r>
            <w:t>[55]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Ohala2012</w:instrText>
          </w:r>
          <w:r>
            <w:fldChar w:fldCharType="separate"/>
          </w:r>
          <w:r>
            <w:t>[56]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>, while still others argue that sound change diffuses gradually through the lexicon in a process known as lexical diffusion</w:t>
      </w:r>
      <w:sdt>
        <w:sdtPr>
          <w:citation/>
        </w:sdtPr>
        <w:sdtContent>
          <w:r>
            <w:fldChar w:fldCharType="begin"/>
          </w:r>
          <w:r>
            <w:instrText>CITATION Chen1975a</w:instrText>
          </w:r>
          <w:r>
            <w:fldChar w:fldCharType="separate"/>
          </w:r>
          <w:r>
            <w:t>[57]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Phillips2015</w:instrText>
          </w:r>
          <w:r>
            <w:fldChar w:fldCharType="separate"/>
          </w:r>
          <w:r>
            <w:t>[58]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TKF91 framework does not align fully with any single tradition, though it shares features with both phoneme-based accounts and lexical diffusion. </w:t>
      </w:r>
      <w:r>
        <w:rPr>
          <w:rFonts w:ascii="Libertinus Sans" w:eastAsia="Libertinus Sans" w:hAnsi="Libertinus Sans"/>
          <w:sz w:val="20"/>
          <w:szCs w:val="20"/>
        </w:rPr>
        <w:t xml:space="preserve">Since the observations are phonemic strings, insertions, deletions, and substitutions operate over phonemes. </w:t>
      </w:r>
      <w:r>
        <w:rPr>
          <w:rFonts w:ascii="Libertinus Sans" w:eastAsia="Libertinus Sans" w:hAnsi="Libertinus Sans"/>
          <w:sz w:val="20"/>
          <w:szCs w:val="20"/>
        </w:rPr>
        <w:t xml:space="preserve">Unlike classical historical models, however, changes are not treated as globally synchronized events. </w:t>
      </w:r>
      <w:r>
        <w:rPr>
          <w:rFonts w:ascii="Libertinus Sans" w:eastAsia="Libertinus Sans" w:hAnsi="Libertinus Sans"/>
          <w:sz w:val="20"/>
          <w:szCs w:val="20"/>
        </w:rPr>
        <w:t xml:space="preserve">A shift from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a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is not modeled as a single transformation applied uniformly across the lexicon. </w:t>
      </w:r>
      <w:r>
        <w:rPr>
          <w:rFonts w:ascii="Libertinus Sans" w:eastAsia="Libertinus Sans" w:hAnsi="Libertinus Sans"/>
          <w:sz w:val="20"/>
          <w:szCs w:val="20"/>
        </w:rPr>
        <w:t xml:space="preserve">Instead, a substitution rate is inferred from the observed homologies, which captures how frequently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a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transitions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across cognate sets. </w:t>
      </w:r>
      <w:r>
        <w:rPr>
          <w:rFonts w:ascii="Libertinus Sans" w:eastAsia="Libertinus Sans" w:hAnsi="Libertinus Sans"/>
          <w:sz w:val="20"/>
          <w:szCs w:val="20"/>
        </w:rPr>
        <w:t xml:space="preserve">In this respect, sound change is modeled as a stochastic process operating independently across lexical items.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Our use of TKF91 parallels the approach of</w:t>
      </w:r>
      <w:sdt>
        <w:sdtPr>
          <w:citation/>
        </w:sdtPr>
        <w:sdtContent>
          <w:r>
            <w:fldChar w:fldCharType="begin"/>
          </w:r>
          <w:r>
            <w:instrText>CITATION BouchardCote2013</w:instrText>
          </w:r>
          <w:r>
            <w:fldChar w:fldCharType="separate"/>
          </w:r>
          <w:r>
            <w:t>[21]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who likewise treat cognate word forms as the observed data. </w:t>
      </w:r>
      <w:r>
        <w:rPr>
          <w:rFonts w:ascii="Libertinus Sans" w:eastAsia="Libertinus Sans" w:hAnsi="Libertinus Sans"/>
          <w:sz w:val="20"/>
          <w:szCs w:val="20"/>
        </w:rPr>
        <w:t>Their framework employs a string transducer model</w:t>
      </w:r>
      <w:sdt>
        <w:sdtPr>
          <w:citation/>
        </w:sdtPr>
        <w:sdtContent>
          <w:r>
            <w:fldChar w:fldCharType="begin"/>
          </w:r>
          <w:r>
            <w:instrText>CITATION Holmes2001</w:instrText>
          </w:r>
          <w:r>
            <w:fldChar w:fldCharType="separate"/>
          </w:r>
          <w:r>
            <w:t>[59]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 to characterize segmental correspondences, which thereby accommodates context-dependent processes. </w:t>
      </w:r>
      <w:r>
        <w:rPr>
          <w:rFonts w:ascii="Libertinus Sans" w:eastAsia="Libertinus Sans" w:hAnsi="Libertinus Sans"/>
          <w:sz w:val="20"/>
          <w:szCs w:val="20"/>
        </w:rPr>
        <w:t xml:space="preserve">By contrast, the current implementation of TKF91 does not incorporate contextual conditioning. </w:t>
      </w:r>
      <w:r>
        <w:rPr>
          <w:rFonts w:ascii="Libertinus Sans" w:eastAsia="Libertinus Sans" w:hAnsi="Libertinus Sans"/>
          <w:sz w:val="20"/>
          <w:szCs w:val="20"/>
        </w:rPr>
        <w:t xml:space="preserve">Its advantage lies elsewhere: TKF91 is an explicitly historical, event-based model in which insertion, deletion, and substitution are well-defined stochastic events. </w:t>
      </w:r>
      <w:r>
        <w:rPr>
          <w:rFonts w:ascii="Libertinus Sans" w:eastAsia="Libertinus Sans" w:hAnsi="Libertinus Sans"/>
          <w:sz w:val="20"/>
          <w:szCs w:val="20"/>
        </w:rPr>
        <w:t xml:space="preserve">The likelihood integrates over all possible sequences of such events that could have generated the observed forms in the </w:t>
      </w:r>
      <w:r>
        <w:rPr>
          <w:rFonts w:ascii="Libertinus Sans" w:eastAsia="Libertinus Sans" w:hAnsi="Libertinus Sans"/>
          <w:sz w:val="20"/>
          <w:szCs w:val="20"/>
        </w:rPr>
        <w:t>nine</w:t>
      </w:r>
      <w:r>
        <w:rPr>
          <w:rFonts w:ascii="Libertinus Sans" w:eastAsia="Libertinus Sans" w:hAnsi="Libertinus Sans"/>
          <w:sz w:val="20"/>
          <w:szCs w:val="20"/>
        </w:rPr>
        <w:t xml:space="preserve"> languages. </w:t>
      </w:r>
      <w:r>
        <w:rPr>
          <w:rFonts w:ascii="Libertinus Sans" w:eastAsia="Libertinus Sans" w:hAnsi="Libertinus Sans"/>
          <w:sz w:val="20"/>
          <w:szCs w:val="20"/>
        </w:rPr>
        <w:t xml:space="preserve">Since these events are parameterized by estimable rates, the model provides a direct quantitative account of segmental evolution. </w:t>
      </w:r>
      <w:r>
        <w:rPr>
          <w:rFonts w:ascii="Libertinus Sans" w:eastAsia="Libertinus Sans" w:hAnsi="Libertinus Sans"/>
          <w:sz w:val="20"/>
          <w:szCs w:val="20"/>
        </w:rPr>
        <w:t xml:space="preserve">Even though it does not yet capture contextual phonological processes, its event-based structure offers a principled foundation for modeling sound change.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A practical limitation of TKF91 is computational complexity. </w:t>
      </w:r>
      <w:r>
        <w:rPr>
          <w:rFonts w:ascii="Libertinus Sans" w:eastAsia="Libertinus Sans" w:hAnsi="Libertinus Sans"/>
          <w:sz w:val="20"/>
          <w:szCs w:val="20"/>
        </w:rPr>
        <w:t xml:space="preserve">Likelihood evaluation scales exponentially with the number of taxa and word length, with complexity on the order of </w:t>
      </w:r>
      <w:r>
        <w:rPr>
          <w:rFonts w:ascii="CMU Classical Serif" w:eastAsia="CMU Classical Serif" w:hAnsi="CMU Classical Serif"/>
          <w:noProof/>
          <w:sz w:val="20"/>
          <w:szCs w:val="20"/>
        </w:rPr>
        <w:t>O</w:t>
      </w:r>
      <w:r>
        <w:rPr>
          <w:rFonts w:ascii="CMU Serif" w:eastAsia="CMU Serif" w:hAnsi="CMU Serif"/>
          <w:noProof/>
          <w:sz w:val="20"/>
          <w:szCs w:val="20"/>
        </w:rPr>
        <w:t>(</w:t>
      </w:r>
      <w:r>
        <w:rPr>
          <w:rFonts w:ascii="CMU Serif" w:eastAsia="CMU Serif" w:hAnsi="CMU Serif"/>
          <w:noProof/>
          <w:sz w:val="20"/>
          <w:szCs w:val="20"/>
        </w:rPr>
        <w:t>2</w:t>
      </w:r>
      <w:r>
        <w:rPr>
          <w:rFonts w:ascii="CMU Serif" w:eastAsia="CMU Serif" w:hAnsi="CMU Serif"/>
          <w:noProof/>
          <w:i/>
          <w:sz w:val="20"/>
          <w:szCs w:val="20"/>
          <w:vertAlign w:val="superscript"/>
        </w:rPr>
        <w:t>N</w:t>
      </w:r>
      <w:r>
        <w:rPr>
          <w:rFonts w:ascii="CMU Serif" w:eastAsia="CMU Serif" w:hAnsi="CMU Serif"/>
          <w:noProof/>
          <w:sz w:val="20"/>
          <w:szCs w:val="20"/>
        </w:rPr>
        <w:t>L</w:t>
      </w:r>
      <w:r>
        <w:rPr>
          <w:rFonts w:ascii="CMU Serif" w:eastAsia="CMU Serif" w:hAnsi="CMU Serif"/>
          <w:noProof/>
          <w:i/>
          <w:sz w:val="20"/>
          <w:szCs w:val="20"/>
          <w:vertAlign w:val="superscript"/>
        </w:rPr>
        <w:t>N</w:t>
      </w:r>
      <w:r>
        <w:rPr>
          <w:rFonts w:ascii="CMU Serif" w:eastAsia="CMU Serif" w:hAnsi="CMU Serif"/>
          <w:noProof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, where </w:t>
      </w:r>
      <w:r>
        <w:rPr>
          <w:rFonts w:ascii="CMU Serif" w:eastAsia="CMU Serif" w:hAnsi="CMU Serif"/>
          <w:noProof/>
          <w:i/>
          <w:sz w:val="20"/>
          <w:szCs w:val="20"/>
        </w:rPr>
        <w:t>N</w:t>
      </w:r>
      <w:r>
        <w:rPr>
          <w:rFonts w:ascii="Libertinus Sans" w:eastAsia="Libertinus Sans" w:hAnsi="Libertinus Sans"/>
          <w:sz w:val="20"/>
          <w:szCs w:val="20"/>
        </w:rPr>
        <w:t xml:space="preserve"> denotes the number of tips and </w:t>
      </w:r>
      <w:r>
        <w:rPr>
          <w:rFonts w:ascii="CMU Serif" w:eastAsia="CMU Serif" w:hAnsi="CMU Serif"/>
          <w:noProof/>
          <w:sz w:val="20"/>
          <w:szCs w:val="20"/>
        </w:rPr>
        <w:t>L</w:t>
      </w:r>
      <w:r>
        <w:rPr>
          <w:rFonts w:ascii="Libertinus Sans" w:eastAsia="Libertinus Sans" w:hAnsi="Libertinus Sans"/>
          <w:sz w:val="20"/>
          <w:szCs w:val="20"/>
        </w:rPr>
        <w:t xml:space="preserve"> the geometric mean word length</w:t>
      </w:r>
      <w:sdt>
        <w:sdtPr>
          <w:citation/>
        </w:sdtPr>
        <w:sdtContent>
          <w:r>
            <w:fldChar w:fldCharType="begin"/>
          </w:r>
          <w:r>
            <w:instrText>CITATION Lunter2003</w:instrText>
          </w:r>
          <w:r>
            <w:fldChar w:fldCharType="separate"/>
          </w:r>
          <w:r>
            <w:t>[33]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For linguistic datasets, this burden is mitigated by the brevity of word forms, typically </w:t>
      </w:r>
      <w:r>
        <w:rPr>
          <w:rFonts w:ascii="CMU Serif" w:eastAsia="CMU Serif" w:hAnsi="CMU Serif"/>
          <w:noProof/>
          <w:sz w:val="20"/>
          <w:szCs w:val="20"/>
        </w:rPr>
        <w:t>1</w:t>
      </w:r>
      <w:r>
        <w:rPr>
          <w:rFonts w:ascii="STIX Two Math" w:eastAsia="STIX Two Math" w:hAnsi="STIX Two Math"/>
          <w:noProof/>
          <w:sz w:val="20"/>
          <w:szCs w:val="20"/>
        </w:rPr>
        <w:t> ≤ </w:t>
      </w:r>
      <w:r>
        <w:rPr>
          <w:rFonts w:ascii="CMU Classical Serif" w:eastAsia="CMU Classical Serif" w:hAnsi="CMU Classical Serif"/>
          <w:noProof/>
          <w:sz w:val="20"/>
          <w:szCs w:val="20"/>
        </w:rPr>
        <w:t>L</w:t>
      </w:r>
      <w:r>
        <w:rPr>
          <w:rFonts w:ascii="STIX Two Math" w:eastAsia="STIX Two Math" w:hAnsi="STIX Two Math"/>
          <w:noProof/>
          <w:sz w:val="20"/>
          <w:szCs w:val="20"/>
        </w:rPr>
        <w:t> ≤ </w:t>
      </w:r>
      <w:r>
        <w:rPr>
          <w:rFonts w:ascii="CMU Serif" w:eastAsia="CMU Serif" w:hAnsi="CMU Serif"/>
          <w:noProof/>
          <w:sz w:val="20"/>
          <w:szCs w:val="20"/>
        </w:rPr>
        <w:t>10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Nevertheless, alternative formulations can reduce computational cost. </w:t>
      </w:r>
      <w:r>
        <w:rPr>
          <w:rFonts w:ascii="Libertinus Sans" w:eastAsia="Libertinus Sans" w:hAnsi="Libertinus Sans"/>
          <w:sz w:val="20"/>
          <w:szCs w:val="20"/>
        </w:rPr>
        <w:t xml:space="preserve">If insertion events are assumed to occur independently of word length, rather than at rate </w:t>
      </w:r>
      <w:r>
        <w:rPr>
          <w:rFonts w:ascii="CMU Serif" w:eastAsia="CMU Serif" w:hAnsi="CMU Serif"/>
          <w:noProof/>
          <w:sz w:val="20"/>
          <w:szCs w:val="20"/>
        </w:rPr>
        <w:t>λ</w:t>
      </w:r>
      <w:r>
        <w:rPr>
          <w:rFonts w:ascii="CMU Serif" w:eastAsia="CMU Serif" w:hAnsi="CMU Serif"/>
          <w:noProof/>
          <w:sz w:val="20"/>
          <w:szCs w:val="20"/>
        </w:rPr>
        <w:t>(</w:t>
      </w:r>
      <w:r>
        <w:rPr>
          <w:rFonts w:ascii="CMU Classical Serif" w:eastAsia="CMU Classical Serif" w:hAnsi="CMU Classical Serif"/>
          <w:noProof/>
          <w:sz w:val="20"/>
          <w:szCs w:val="20"/>
        </w:rPr>
        <w:t>L</w:t>
      </w:r>
      <w:r>
        <w:rPr>
          <w:rFonts w:ascii="CMU Sans Serif" w:eastAsia="CMU Sans Serif" w:hAnsi="CMU Sans Serif"/>
          <w:noProof/>
          <w:sz w:val="20"/>
          <w:szCs w:val="20"/>
        </w:rPr>
        <w:t> + </w:t>
      </w:r>
      <w:r>
        <w:rPr>
          <w:rFonts w:ascii="CMU Serif" w:eastAsia="CMU Serif" w:hAnsi="CMU Serif"/>
          <w:noProof/>
          <w:sz w:val="20"/>
          <w:szCs w:val="20"/>
        </w:rPr>
        <w:t>1</w:t>
      </w:r>
      <w:r>
        <w:rPr>
          <w:rFonts w:ascii="CMU Serif" w:eastAsia="CMU Serif" w:hAnsi="CMU Serif"/>
          <w:noProof/>
          <w:sz w:val="20"/>
          <w:szCs w:val="20"/>
        </w:rPr>
        <w:t>)</w:t>
      </w:r>
      <w:r>
        <w:rPr>
          <w:rFonts w:ascii="Libertinus Sans" w:eastAsia="Libertinus Sans" w:hAnsi="Libertinus Sans"/>
          <w:sz w:val="20"/>
          <w:szCs w:val="20"/>
        </w:rPr>
        <w:t xml:space="preserve"> as in TKF91, the likelihood becomes linear in the number of taxa</w:t>
      </w:r>
      <w:sdt>
        <w:sdtPr>
          <w:citation/>
        </w:sdtPr>
        <w:sdtContent>
          <w:r>
            <w:fldChar w:fldCharType="begin"/>
          </w:r>
          <w:r>
            <w:instrText>CITATION BouchardCote2013b</w:instrText>
          </w:r>
          <w:r>
            <w:fldChar w:fldCharType="separate"/>
          </w:r>
          <w:r>
            <w:t>[60]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This variant, known as the Poisson Indel Process (PIP), may be preferable for datasets comprising substantially larger language samples. </w:t>
      </w:r>
      <w:r>
        <w:rPr>
          <w:rFonts w:ascii="Libertinus Sans" w:eastAsia="Libertinus Sans" w:hAnsi="Libertinus Sans"/>
          <w:sz w:val="20"/>
          <w:szCs w:val="20"/>
        </w:rPr>
        <w:t xml:space="preserve">Given that sampled alignments in our analyses exhibit comparable lengths, PIP constitutes a plausible direction for scaling the framework to broader comparative datasets.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57" w:name="PaperSections_InsightsSoundChange"/>
      <w:bookmarkEnd w:id="57"/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2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Implications for Sound Change and Phonological Typology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58" w:name="PaperSections_InsightsSoundChange"/>
      <w:bookmarkEnd w:id="58"/>
      <w:r>
        <w:rPr>
          <w:rFonts w:ascii="Libertinus Sans" w:eastAsia="Libertinus Sans" w:hAnsi="Libertinus Sans"/>
          <w:sz w:val="20"/>
          <w:szCs w:val="20"/>
        </w:rPr>
        <w:t xml:space="preserve">Traditional historical phonology is primarily concerned with identifying individual sound changes and establishing their relative chronology. </w:t>
      </w:r>
      <w:r>
        <w:rPr>
          <w:rFonts w:ascii="Libertinus Sans" w:eastAsia="Libertinus Sans" w:hAnsi="Libertinus Sans"/>
          <w:sz w:val="20"/>
          <w:szCs w:val="20"/>
        </w:rPr>
        <w:t xml:space="preserve">By contrast, the TKF91 framework permits inference about broader systemic tendencies in the evolution of segmental inventories. </w:t>
      </w:r>
      <w:r>
        <w:rPr>
          <w:rFonts w:ascii="Libertinus Sans" w:eastAsia="Libertinus Sans" w:hAnsi="Libertinus Sans"/>
          <w:sz w:val="20"/>
          <w:szCs w:val="20"/>
        </w:rPr>
        <w:t xml:space="preserve">We focus on three quantities that illuminate these tendencies: the diagonal elements of the substitution rate matrix, transition rates within and between natural classes, and the equilibrium distribution of segments. </w:t>
      </w:r>
      <w:r>
        <w:rPr>
          <w:rFonts w:ascii="Libertinus Sans" w:eastAsia="Libertinus Sans" w:hAnsi="Libertinus Sans"/>
          <w:sz w:val="20"/>
          <w:szCs w:val="20"/>
        </w:rPr>
        <w:t xml:space="preserve">These quantities provide a quantitative characterization of sound change within an explicit phylogenetic model.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As discussed in </w:t>
      </w:r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Section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PaperSections_MethodsSection" w:history="1">
        <w:r>
          <w:rPr>
            <w:rFonts w:ascii="Libertinus Sans" w:eastAsia="Libertinus Sans" w:hAnsi="Libertinus Sans"/>
            <w:sz w:val="20"/>
            <w:szCs w:val="20"/>
          </w:rPr>
          <w:t>3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, the diagonal entries of the Q matrix measure the instantaneous rate at which a segment transitions to any other state, and thus provide an index of diachronic stability. </w:t>
      </w:r>
      <w:r>
        <w:rPr>
          <w:rFonts w:ascii="Libertinus Sans" w:eastAsia="Libertinus Sans" w:hAnsi="Libertinus Sans"/>
          <w:sz w:val="20"/>
          <w:szCs w:val="20"/>
        </w:rPr>
        <w:t xml:space="preserve">The pronounced separation between vowels and consonants in </w:t>
      </w:r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QRatesDiagonal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QRatesDiagonal" w:history="1">
        <w:fldSimple w:instr="REF QRatesDiagonal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aligns with established findings in Romance historical phonology. </w:t>
      </w:r>
      <w:r>
        <w:rPr>
          <w:rFonts w:ascii="Libertinus Sans" w:eastAsia="Libertinus Sans" w:hAnsi="Libertinus Sans"/>
          <w:sz w:val="20"/>
          <w:szCs w:val="20"/>
        </w:rPr>
        <w:t>Among the major developments distinguishing Latin from the Romance languages is the loss of phonemic vowel length</w:t>
      </w:r>
      <w:sdt>
        <w:sdtPr>
          <w:citation/>
        </w:sdtPr>
        <w:sdtContent>
          <w:r>
            <w:fldChar w:fldCharType="begin"/>
          </w:r>
          <w:r>
            <w:instrText>CITATION Janson1979</w:instrText>
          </w:r>
          <w:r>
            <w:fldChar w:fldCharType="separate"/>
          </w:r>
          <w:r>
            <w:t>[61]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Loporcaro2015</w:instrText>
          </w:r>
          <w:r>
            <w:fldChar w:fldCharType="separate"/>
          </w:r>
          <w:r>
            <w:t>[62]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 and the early monophthongization of Classical Latin diphthongs</w:t>
      </w:r>
      <w:sdt>
        <w:sdtPr>
          <w:citation/>
        </w:sdtPr>
        <w:sdtContent>
          <w:r>
            <w:fldChar w:fldCharType="begin"/>
          </w:r>
          <w:r>
            <w:instrText>CITATION Posner1996</w:instrText>
          </w:r>
          <w:r>
            <w:fldChar w:fldCharType="separate"/>
          </w:r>
          <w:r>
            <w:t>[63]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More broadly, our results accord with evidence that vowel inventories have evolved more rapidly than consonant inventories within Indo-European</w:t>
      </w:r>
      <w:sdt>
        <w:sdtPr>
          <w:citation/>
        </w:sdtPr>
        <w:sdtContent>
          <w:r>
            <w:fldChar w:fldCharType="begin"/>
          </w:r>
          <w:r>
            <w:instrText>CITATION Moran2021</w:instrText>
          </w:r>
          <w:r>
            <w:fldChar w:fldCharType="separate"/>
          </w:r>
          <w:r>
            <w:t>[64]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present findings also intersect with work in phonological typology that seeks to identify core or stable segment inventories. </w:t>
      </w:r>
      <w:r>
        <w:rPr>
          <w:rFonts w:ascii="Libertinus Sans" w:eastAsia="Libertinus Sans" w:hAnsi="Libertinus Sans"/>
          <w:sz w:val="20"/>
          <w:szCs w:val="20"/>
        </w:rPr>
        <w:t>The basic consonant inventory proposed by</w:t>
      </w:r>
      <w:sdt>
        <w:sdtPr>
          <w:citation/>
        </w:sdtPr>
        <w:sdtContent>
          <w:r>
            <w:fldChar w:fldCharType="begin"/>
          </w:r>
          <w:r>
            <w:instrText>CITATION Nikolaev2020</w:instrText>
          </w:r>
          <w:r>
            <w:fldChar w:fldCharType="separate"/>
          </w:r>
          <w:r>
            <w:t>[65]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p t k n l r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, is consistent with our results insofar as stops and nasals emerge as among the most stable classes. </w:t>
      </w:r>
      <w:r>
        <w:rPr>
          <w:rFonts w:ascii="Libertinus Sans" w:eastAsia="Libertinus Sans" w:hAnsi="Libertinus Sans"/>
          <w:sz w:val="20"/>
          <w:szCs w:val="20"/>
        </w:rPr>
        <w:t>An even closer correspondence is found with the set of primal consonants identified by</w:t>
      </w:r>
      <w:sdt>
        <w:sdtPr>
          <w:citation/>
        </w:sdtPr>
        <w:sdtContent>
          <w:r>
            <w:fldChar w:fldCharType="begin"/>
          </w:r>
          <w:r>
            <w:instrText>CITATION Bybee2022</w:instrText>
          </w:r>
          <w:r>
            <w:fldChar w:fldCharType="separate"/>
          </w:r>
          <w:r>
            <w:t>[66]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p t k b d g m n ŋ s l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Two distinctions, however, are crucial. </w:t>
      </w:r>
      <w:r>
        <w:rPr>
          <w:rFonts w:ascii="Libertinus Sans" w:eastAsia="Libertinus Sans" w:hAnsi="Libertinus Sans"/>
          <w:sz w:val="20"/>
          <w:szCs w:val="20"/>
        </w:rPr>
        <w:t xml:space="preserve">First, primal consonants are defined in terms of their rarity as outputs of sound change, whereas the diagonal of the Q matrix measures the rate of transition away from a segment—that is, its stability as an input to change. </w:t>
      </w:r>
      <w:r>
        <w:rPr>
          <w:rFonts w:ascii="Libertinus Sans" w:eastAsia="Libertinus Sans" w:hAnsi="Libertinus Sans"/>
          <w:sz w:val="20"/>
          <w:szCs w:val="20"/>
        </w:rPr>
        <w:t xml:space="preserve">Second, typological proposals aim to identify cross-linguistic universals, whereas our estimates characterize tendencies within Romance. </w:t>
      </w:r>
      <w:r>
        <w:rPr>
          <w:rFonts w:ascii="Libertinus Sans" w:eastAsia="Libertinus Sans" w:hAnsi="Libertinus Sans"/>
          <w:sz w:val="20"/>
          <w:szCs w:val="20"/>
        </w:rPr>
        <w:t xml:space="preserve">The results therefore inform typological debates, but should not be interpreted as cross-linguistic universals.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average rates summarized in </w:t>
      </w:r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RateChart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RateChart" w:history="1">
        <w:fldSimple w:instr="REF RateChart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provide a complementary perspective on segmental stability by comparing transitions within and between natural classes. </w:t>
      </w:r>
      <w:r>
        <w:rPr>
          <w:rFonts w:ascii="Libertinus Sans" w:eastAsia="Libertinus Sans" w:hAnsi="Libertinus Sans"/>
          <w:sz w:val="20"/>
          <w:szCs w:val="20"/>
        </w:rPr>
        <w:t xml:space="preserve">Within-class rates exceed cross-class rates for short vowels, nasal consonants, and liquids. </w:t>
      </w:r>
      <w:r>
        <w:rPr>
          <w:rFonts w:ascii="Libertinus Sans" w:eastAsia="Libertinus Sans" w:hAnsi="Libertinus Sans"/>
          <w:sz w:val="20"/>
          <w:szCs w:val="20"/>
        </w:rPr>
        <w:t xml:space="preserve">Liquids display the highest within-class rates, whereas diphthongs exhibit the lowest. </w:t>
      </w:r>
      <w:r>
        <w:rPr>
          <w:rFonts w:ascii="Libertinus Sans" w:eastAsia="Libertinus Sans" w:hAnsi="Libertinus Sans"/>
          <w:sz w:val="20"/>
          <w:szCs w:val="20"/>
        </w:rPr>
        <w:t xml:space="preserve">A liquid is thus more likely to change into another liquid than into a segment of a different class, a pattern plausibly associated with processes such as liquid dissimilation, e.g., Latin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arbor</w:t>
      </w:r>
      <w:r>
        <w:rPr>
          <w:rFonts w:ascii="Libertinus Sans" w:eastAsia="Libertinus Sans" w:hAnsi="Libertinus Sans"/>
          <w:sz w:val="20"/>
          <w:szCs w:val="20"/>
        </w:rPr>
        <w:t xml:space="preserve"> &gt; Spanish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árbol</w:t>
      </w:r>
      <w:sdt>
        <w:sdtPr>
          <w:citation/>
        </w:sdtPr>
        <w:sdtContent>
          <w:r>
            <w:fldChar w:fldCharType="begin"/>
          </w:r>
          <w:r>
            <w:instrText>CITATION Abrego2013</w:instrText>
          </w:r>
          <w:r>
            <w:fldChar w:fldCharType="separate"/>
          </w:r>
          <w:r>
            <w:t>[67]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Mueller2013</w:instrText>
          </w:r>
          <w:r>
            <w:fldChar w:fldCharType="separate"/>
          </w:r>
          <w:r>
            <w:t>[68]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Transition rates between diphthongs and short vowels are the highest among all between-class rates, which is consistent with the reciprocal effects of vowel breaking and monophthongization in the history of Latin and Romance. </w:t>
      </w:r>
      <w:r>
        <w:rPr>
          <w:rFonts w:ascii="Libertinus Sans" w:eastAsia="Libertinus Sans" w:hAnsi="Libertinus Sans"/>
          <w:sz w:val="20"/>
          <w:szCs w:val="20"/>
        </w:rPr>
        <w:t xml:space="preserve">More generally, the largest off-diagonal rates involve vowel classes, which reinforces the broader pattern of vocalic instability identified above. </w:t>
      </w:r>
      <w:r>
        <w:rPr>
          <w:rFonts w:ascii="Libertinus Sans" w:eastAsia="Libertinus Sans" w:hAnsi="Libertinus Sans"/>
          <w:sz w:val="20"/>
          <w:szCs w:val="20"/>
        </w:rPr>
        <w:t xml:space="preserve">Elevated rates between nasal vowels and nasal consonants further reflects the development of nasalized vowels in French and Portuguese.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equilibrium frequencies in </w:t>
      </w:r>
      <w:hyperlink w:anchor="EquilibriumCharts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EquilibriumCharts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EquilibriumCharts" w:history="1">
        <w:fldSimple w:instr="REF EquilibriumCharts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 illuminate the distributional consequences of these historical processes. </w:t>
      </w:r>
      <w:r>
        <w:rPr>
          <w:rFonts w:ascii="Libertinus Sans" w:eastAsia="Libertinus Sans" w:hAnsi="Libertinus Sans"/>
          <w:sz w:val="20"/>
          <w:szCs w:val="20"/>
        </w:rPr>
        <w:t xml:space="preserve">Short vowels and stops together account for more than half of all segments, which indicates a pronounced skew toward these classes. </w:t>
      </w:r>
      <w:r>
        <w:rPr>
          <w:rFonts w:ascii="Libertinus Sans" w:eastAsia="Libertinus Sans" w:hAnsi="Libertinus Sans"/>
          <w:sz w:val="20"/>
          <w:szCs w:val="20"/>
        </w:rPr>
        <w:t xml:space="preserve">This distribution reflects the reduction of diphthongs and long vowels and the concomitant expansion of short vowels within Romance.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>Finally, model comparison provides quantitative support for the role of natural classes in sound change</w:t>
      </w:r>
      <w:sdt>
        <w:sdtPr>
          <w:citation/>
        </w:sdtPr>
        <w:sdtContent>
          <w:r>
            <w:fldChar w:fldCharType="begin"/>
          </w:r>
          <w:r>
            <w:instrText>CITATION King1969</w:instrText>
          </w:r>
          <w:r>
            <w:fldChar w:fldCharType="separate"/>
          </w:r>
          <w:r>
            <w:t>[69]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Sound change frequently targets segments that share articulatory or acoustic properties, as exemplified by Grimm’s Law, which systematically affected the Proto-Germanic reflexes of Proto-Indo-European stops. </w:t>
      </w:r>
      <w:r>
        <w:rPr>
          <w:rFonts w:ascii="Libertinus Sans" w:eastAsia="Libertinus Sans" w:hAnsi="Libertinus Sans"/>
          <w:sz w:val="20"/>
          <w:szCs w:val="20"/>
        </w:rPr>
        <w:t xml:space="preserve">The superior fit of the natural-class model thus reinforces the long-standing view that phonetic grounding constrains the trajectory of phonological change.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59" w:name="PaperSections_SegmentalSampling"/>
      <w:bookmarkEnd w:id="59"/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3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Segmental Sampling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60" w:name="PaperSections_SegmentalSampling"/>
      <w:bookmarkEnd w:id="60"/>
      <w:r>
        <w:rPr>
          <w:rFonts w:ascii="Libertinus Sans" w:eastAsia="Libertinus Sans" w:hAnsi="Libertinus Sans"/>
          <w:sz w:val="20"/>
          <w:szCs w:val="20"/>
        </w:rPr>
        <w:t>Under our framework, a new issue emerges: segmental sampling</w:t>
      </w:r>
      <w:sdt>
        <w:sdtPr>
          <w:citation/>
        </w:sdtPr>
        <w:sdtContent>
          <w:r>
            <w:fldChar w:fldCharType="begin"/>
          </w:r>
          <w:r>
            <w:instrText>CITATION Dockum2019</w:instrText>
          </w:r>
          <w:r>
            <w:fldChar w:fldCharType="separate"/>
          </w:r>
          <w:r>
            <w:t>[70]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Specific sound changes can be pivotal for recovering tree topology, yet a dataset assembled on the basis of a Swadesh list does not ensure that such diagnostic patterns are adequately represented. </w:t>
      </w:r>
      <w:r>
        <w:rPr>
          <w:rFonts w:ascii="Libertinus Sans" w:eastAsia="Libertinus Sans" w:hAnsi="Libertinus Sans"/>
          <w:sz w:val="20"/>
          <w:szCs w:val="20"/>
        </w:rPr>
        <w:t xml:space="preserve">For instance, Romanian merges Proto-Romance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ɔ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ʊ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u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u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By contrast, Italo-Western Proto-Romance (the common ancestor of the remaining languages in our sample) merges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ʊ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*/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Consequently, Latin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buccam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mouth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 and Romanian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bucă</w:t>
      </w:r>
      <w:r>
        <w:rPr>
          <w:rFonts w:ascii="Libertinus Sans" w:eastAsia="Libertinus Sans" w:hAnsi="Libertinus Sans"/>
          <w:sz w:val="20"/>
          <w:szCs w:val="20"/>
        </w:rPr>
        <w:t xml:space="preserve"> preserve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u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against the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o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reflex found, for instance, in Italian </w:t>
      </w:r>
      <w:r>
        <w:rPr>
          <w:rFonts w:ascii="Libertinus Sans" w:eastAsia="Libertinus Sans" w:hAnsi="Libertinus Sans"/>
          <w:noProof/>
          <w:i/>
          <w:sz w:val="20"/>
          <w:szCs w:val="20"/>
        </w:rPr>
        <w:t>bocca</w:t>
      </w:r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>This change constitutes key evidence for the placement of Romanian within the Romance tree</w:t>
      </w:r>
      <w:sdt>
        <w:sdtPr>
          <w:citation/>
        </w:sdtPr>
        <w:sdtContent>
          <w:r>
            <w:fldChar w:fldCharType="begin"/>
          </w:r>
          <w:r>
            <w:instrText>CITATION Janson1979</w:instrText>
          </w:r>
          <w:r>
            <w:fldChar w:fldCharType="separate"/>
          </w:r>
          <w:r>
            <w:t>[71]</w:t>
          </w:r>
          <w:r>
            <w:fldChar w:fldCharType="end"/>
          </w:r>
        </w:sdtContent>
      </w:sdt>
      <w:sdt>
        <w:sdtPr>
          <w:citation/>
        </w:sdtPr>
        <w:sdtContent>
          <w:r>
            <w:fldChar w:fldCharType="begin"/>
          </w:r>
          <w:r>
            <w:instrText>CITATION Herman2000</w:instrText>
          </w:r>
          <w:r>
            <w:fldChar w:fldCharType="separate"/>
          </w:r>
          <w:r>
            <w:t>[72]</w:t>
          </w:r>
          <w:r>
            <w:fldChar w:fldCharType="end"/>
          </w:r>
        </w:sdtContent>
      </w:sdt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If such correspondences are underrepresented in the sample, the topology may be estimated incorrectly. </w:t>
      </w:r>
      <w:r>
        <w:rPr>
          <w:rFonts w:ascii="Libertinus Sans" w:eastAsia="Libertinus Sans" w:hAnsi="Libertinus Sans"/>
          <w:sz w:val="20"/>
          <w:szCs w:val="20"/>
        </w:rPr>
        <w:t xml:space="preserve">A related issue concerns the representativeness of the segment-frequency distributions in </w:t>
      </w:r>
      <w:hyperlink w:anchor="SegmentOccuranceRates" w:history="1">
        <w:r>
          <w:rPr>
            <w:rFonts w:ascii="Libertinus Sans" w:eastAsia="Libertinus Sans" w:hAnsi="Libertinus Sans"/>
            <w:sz w:val="20"/>
            <w:szCs w:val="20"/>
          </w:rPr>
          <w:t>Figure</w:t>
        </w:r>
      </w:hyperlink>
      <w:hyperlink w:anchor="SegmentOccuranceRates" w:history="1">
        <w:r>
          <w:rPr>
            <w:rFonts w:ascii="Libertinus Sans" w:eastAsia="Libertinus Sans" w:hAnsi="Libertinus Sans"/>
            <w:sz w:val="20"/>
            <w:szCs w:val="20"/>
          </w:rPr>
          <w:t> </w:t>
        </w:r>
      </w:hyperlink>
      <w:hyperlink w:anchor="SegmentOccuranceRates" w:history="1">
        <w:fldSimple w:instr="REF SegmentOccuranceRates \h" w:dirty="1">
          <w:r>
            <w:t>1</w:t>
          </w:r>
        </w:fldSimple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  <w:r>
        <w:rPr>
          <w:rFonts w:ascii="Libertinus Sans" w:eastAsia="Libertinus Sans" w:hAnsi="Libertinus Sans"/>
          <w:sz w:val="20"/>
          <w:szCs w:val="20"/>
        </w:rPr>
        <w:t xml:space="preserve">These distributions are derived from word forms sampled under specific selection criteria and may not faithfully approximate the segment frequencies of each language. </w:t>
      </w:r>
      <w:r>
        <w:rPr>
          <w:rFonts w:ascii="Libertinus Sans" w:eastAsia="Libertinus Sans" w:hAnsi="Libertinus Sans"/>
          <w:sz w:val="20"/>
          <w:szCs w:val="20"/>
        </w:rPr>
        <w:t xml:space="preserve">Systematic discrepancies of this kind can bias estimates of substitution rates and, in turn, influence inferences about sound-change dynamics and phylogenetic structure.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62" w:name="PaperSections_Limitations"/>
      <w:bookmarkEnd w:id="62"/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4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Limitations of the Model</w:t>
      </w:r>
    </w:p>
    <w:p>
      <w:pPr>
        <w:rPr>
          <w:rFonts w:ascii="Libertinus Sans" w:eastAsia="Libertinus Sans" w:hAnsi="Libertinus Sans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0" behindDoc="0" locked="0" layoutInCell="1" allowOverlap="0">
                <wp:simplePos x="0" y="0"/>
                <wp:positionH relativeFrom="margin">
                  <wp:posOffset>0</wp:posOffset>
                </wp:positionH>
                <wp:positionV relativeFrom="line">
                  <wp:posOffset>0</wp:posOffset>
                </wp:positionV>
                <wp:extent cx="6400800"/>
                <wp:effectExtent l="0" t="0" r="0" b="0"/>
                <wp:wrapTopAndBottom distT="0" distB="0"/>
                <wp:docPr id="270" name="Frame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  <w:position w:val="-20.808000000064993"/>
                              </w:rPr>
                              <w:drawing>
                                <wp:inline distT="0" distB="0" distL="0" distR="0">
                                  <wp:extent cx="6400800" cy="3990289"/>
                                  <wp:effectExtent l="0" t="0" r="0" b="0"/>
                                  <wp:docPr id="285" name="Image28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5" name="Image285"/>
                                          <pic:cNvPicPr/>
                                        </pic:nvPicPr>
                                        <pic:blipFill>
                                          <a:blip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85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39902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jc w:val="both"/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Fig</w:t>
                            </w:r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> </w:t>
                            </w:r>
                            <w:bookmarkStart w:id="62" w:name="SegmentOccuranceRates"/>
                            <w:fldSimple w:instr="SEQ Figure \* ARABIC " w:dirty="1">
                              <w:r>
                                <w:t>11</w:t>
                              </w:r>
                            </w:fldSimple>
                            <w:bookmarkEnd w:id="62"/>
                            <w:r>
                              <w:rPr>
                                <w:rFonts w:ascii="Libertinus Sans" w:eastAsia="Libertinus Sans" w:hAnsi="Libertinus Sans"/>
                                <w:b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Comparison of segmental occurrence rates across languages.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Segments are ordered according to their frequency in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Latin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For each language, bar heights are normalized to the most frequent segment in that language.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Languages are arranged by increasing Euclidean distance from 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>Latin</w:t>
                            </w:r>
                            <w:r>
                              <w:rPr>
                                <w:rFonts w:ascii="Libertinus Sans" w:eastAsia="Libertinus Sans" w:hAnsi="Libertinus Sans"/>
                                <w:sz w:val="20"/>
                                <w:szCs w:val="20"/>
                              </w:rPr>
                              <w:t xml:space="preserve"> (indicated by the red line). </w:t>
                            </w:r>
                          </w:p>
                        </w:txbxContent>
                      </wps:txbx>
                      <wps:bodyPr rot="0" vert="horz" wrap="square" anchor="t" anchorCtr="0"/>
                    </wps:wsp>
                  </a:graphicData>
                </a:graphic>
              </wp:anchor>
            </w:drawing>
          </mc:Choice>
        </mc:AlternateConten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results reported here are derived from a model in which segmental change is represented as a sequence of independent insertion, deletion, and substitution events operating on individual segments. </w:t>
      </w:r>
      <w:r>
        <w:rPr>
          <w:rFonts w:ascii="Libertinus Sans" w:eastAsia="Libertinus Sans" w:hAnsi="Libertinus Sans"/>
          <w:sz w:val="20"/>
          <w:szCs w:val="20"/>
        </w:rPr>
        <w:t xml:space="preserve">As a consequence, certain types of sound change are not naturally accommodated within this framework. </w:t>
      </w:r>
      <w:r>
        <w:rPr>
          <w:rFonts w:ascii="Libertinus Sans" w:eastAsia="Libertinus Sans" w:hAnsi="Libertinus Sans"/>
          <w:sz w:val="20"/>
          <w:szCs w:val="20"/>
        </w:rPr>
        <w:t xml:space="preserve">Metathesis, for example—where two segments exchange positions—is not modeled as a single transition. </w:t>
      </w:r>
      <w:r>
        <w:rPr>
          <w:rFonts w:ascii="Libertinus Sans" w:eastAsia="Libertinus Sans" w:hAnsi="Libertinus Sans"/>
          <w:sz w:val="20"/>
          <w:szCs w:val="20"/>
        </w:rPr>
        <w:t xml:space="preserve">Friulian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tarɔnt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ultimately derives from Latin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rotundum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</w:t>
      </w:r>
      <w:r>
        <w:rPr>
          <w:rFonts w:ascii="Libertinus Sans" w:eastAsia="Libertinus Sans" w:hAnsi="Libertinus Sans"/>
          <w:sz w:val="20"/>
          <w:szCs w:val="20"/>
        </w:rPr>
        <w:t>‘</w:t>
      </w:r>
      <w:r>
        <w:rPr>
          <w:rFonts w:ascii="Libertinus Sans" w:eastAsia="Libertinus Sans" w:hAnsi="Libertinus Sans"/>
          <w:sz w:val="20"/>
          <w:szCs w:val="20"/>
        </w:rPr>
        <w:t>round</w:t>
      </w:r>
      <w:r>
        <w:rPr>
          <w:rFonts w:ascii="Libertinus Sans" w:eastAsia="Libertinus Sans" w:hAnsi="Libertinus Sans"/>
          <w:sz w:val="20"/>
          <w:szCs w:val="20"/>
        </w:rPr>
        <w:t>’</w:t>
      </w:r>
      <w:r>
        <w:rPr>
          <w:rFonts w:ascii="Libertinus Sans" w:eastAsia="Libertinus Sans" w:hAnsi="Libertinus Sans"/>
          <w:sz w:val="20"/>
          <w:szCs w:val="20"/>
        </w:rPr>
        <w:t xml:space="preserve">, with the initial Latin sequence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rVt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corresponding to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tVr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in Friulian. </w:t>
      </w:r>
      <w:r>
        <w:rPr>
          <w:rFonts w:ascii="Libertinus Sans" w:eastAsia="Libertinus Sans" w:hAnsi="Libertinus Sans"/>
          <w:sz w:val="20"/>
          <w:szCs w:val="20"/>
        </w:rPr>
        <w:t>Under TKF91, such a change is represented as two independent substitutions (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r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STIX Two Math" w:eastAsia="STIX Two Math" w:hAnsi="STIX Two Math"/>
          <w:noProof/>
          <w:sz w:val="20"/>
          <w:szCs w:val="20"/>
        </w:rPr>
        <w:t> → 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t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 and 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t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STIX Two Math" w:eastAsia="STIX Two Math" w:hAnsi="STIX Two Math"/>
          <w:noProof/>
          <w:sz w:val="20"/>
          <w:szCs w:val="20"/>
        </w:rPr>
        <w:t> → 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erif" w:eastAsia="Libertinus Serif" w:hAnsi="Libertinus Serif"/>
          <w:noProof/>
          <w:sz w:val="20"/>
          <w:szCs w:val="20"/>
        </w:rPr>
        <w:t>r</w:t>
      </w:r>
      <w:r>
        <w:rPr>
          <w:rFonts w:ascii="Libertinus Serif" w:eastAsia="Libertinus Serif" w:hAnsi="Libertinus Serif"/>
          <w:noProof/>
          <w:sz w:val="20"/>
          <w:szCs w:val="20"/>
        </w:rPr>
        <w:t>/</w:t>
      </w:r>
      <w:r>
        <w:rPr>
          <w:rFonts w:ascii="Libertinus Sans" w:eastAsia="Libertinus Sans" w:hAnsi="Libertinus Sans"/>
          <w:sz w:val="20"/>
          <w:szCs w:val="20"/>
        </w:rPr>
        <w:t xml:space="preserve">), rather than as a single reordering event. </w:t>
      </w:r>
      <w:r>
        <w:rPr>
          <w:rFonts w:ascii="Libertinus Sans" w:eastAsia="Libertinus Sans" w:hAnsi="Libertinus Sans"/>
          <w:sz w:val="20"/>
          <w:szCs w:val="20"/>
        </w:rPr>
        <w:t xml:space="preserve">A second limitation concerns contextual conditioning: transition rates are estimated independently of phonological environment, even though segmental change is often sensitive to adjacent sounds. </w:t>
      </w:r>
      <w:r>
        <w:rPr>
          <w:rFonts w:ascii="Libertinus Sans" w:eastAsia="Libertinus Sans" w:hAnsi="Libertinus Sans"/>
          <w:sz w:val="20"/>
          <w:szCs w:val="20"/>
        </w:rPr>
        <w:t xml:space="preserve">Finally, the current implementation does not incorporate suprasegmental structure. </w:t>
      </w:r>
      <w:r>
        <w:rPr>
          <w:rFonts w:ascii="Libertinus Sans" w:eastAsia="Libertinus Sans" w:hAnsi="Libertinus Sans"/>
          <w:sz w:val="20"/>
          <w:szCs w:val="20"/>
        </w:rPr>
        <w:t xml:space="preserve">Features such as stress, which are known to be central to Romance phonological developments, are therefore excluded from the model. </w:t>
      </w:r>
    </w:p>
    <w:p>
      <w:pPr>
        <w:keepNext/>
        <w:spacing w:before="280" w:after="40"/>
        <w:rPr>
          <w:rFonts w:ascii="Libertinus Sans" w:eastAsia="Libertinus Sans" w:hAnsi="Libertinus Sans"/>
          <w:b/>
          <w:sz w:val="28"/>
          <w:szCs w:val="28"/>
        </w:rPr>
      </w:pPr>
      <w:bookmarkStart w:id="64" w:name="PaperSections_Advantages"/>
      <w:bookmarkEnd w:id="64"/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>5</w:t>
      </w:r>
      <w:r>
        <w:rPr>
          <w:rFonts w:ascii="Libertinus Sans" w:eastAsia="Libertinus Sans" w:hAnsi="Libertinus Sans"/>
          <w:b/>
          <w:sz w:val="28"/>
          <w:szCs w:val="28"/>
        </w:rPr>
        <w:t>.</w:t>
      </w:r>
      <w:r>
        <w:rPr>
          <w:rFonts w:ascii="Libertinus Sans" w:eastAsia="Libertinus Sans" w:hAnsi="Libertinus Sans"/>
          <w:b/>
          <w:sz w:val="28"/>
          <w:szCs w:val="28"/>
        </w:rPr>
        <w:t xml:space="preserve"> </w:t>
      </w:r>
      <w:r>
        <w:rPr>
          <w:rFonts w:ascii="Libertinus Sans" w:eastAsia="Libertinus Sans" w:hAnsi="Libertinus Sans"/>
          <w:b/>
          <w:sz w:val="28"/>
          <w:szCs w:val="28"/>
        </w:rPr>
        <w:t>Advantages of the Event-Based Approach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65" w:name="PaperSections_Advantages"/>
      <w:bookmarkEnd w:id="65"/>
      <w:r>
        <w:rPr>
          <w:rFonts w:ascii="Libertinus Sans" w:eastAsia="Libertinus Sans" w:hAnsi="Libertinus Sans"/>
          <w:sz w:val="20"/>
          <w:szCs w:val="20"/>
        </w:rPr>
        <w:t xml:space="preserve">Despite these limitations, the event-based formulation offers distinct advantages. </w:t>
      </w:r>
      <w:r>
        <w:rPr>
          <w:rFonts w:ascii="Libertinus Sans" w:eastAsia="Libertinus Sans" w:hAnsi="Libertinus Sans"/>
          <w:sz w:val="20"/>
          <w:szCs w:val="20"/>
        </w:rPr>
        <w:t xml:space="preserve">Since segmental change is modeled explicitly as a stochastic process, it becomes possible to investigate questions that are difficult to address within traditional frameworks. </w:t>
      </w:r>
      <w:r>
        <w:rPr>
          <w:rFonts w:ascii="Libertinus Sans" w:eastAsia="Libertinus Sans" w:hAnsi="Libertinus Sans"/>
          <w:sz w:val="20"/>
          <w:szCs w:val="20"/>
        </w:rPr>
        <w:t xml:space="preserve">For example, one may ask whether the frequency of a phoneme influences its diachronic stability, how rates of change depend on the size and composition of a phonemic inventory, or to what extent natural classes constrain evolutionary trajectories. </w:t>
      </w:r>
      <w:r>
        <w:rPr>
          <w:rFonts w:ascii="Libertinus Sans" w:eastAsia="Libertinus Sans" w:hAnsi="Libertinus Sans"/>
          <w:sz w:val="20"/>
          <w:szCs w:val="20"/>
        </w:rPr>
        <w:t xml:space="preserve">Such hypotheses can be evaluated formally through comparisons among models that differ in their parameterization of substitution rates.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More broadly, embedding sound change within a statistical framework enables both parameter estimation and principled model comparison. </w:t>
      </w:r>
      <w:r>
        <w:rPr>
          <w:rFonts w:ascii="Libertinus Sans" w:eastAsia="Libertinus Sans" w:hAnsi="Libertinus Sans"/>
          <w:sz w:val="20"/>
          <w:szCs w:val="20"/>
        </w:rPr>
        <w:t xml:space="preserve">Competing hypotheses about linguistic evolution can be formalized as alternative probabilistic models and evaluated using standard inferential criteria. </w:t>
      </w:r>
      <w:r>
        <w:rPr>
          <w:rFonts w:ascii="Libertinus Sans" w:eastAsia="Libertinus Sans" w:hAnsi="Libertinus Sans"/>
          <w:sz w:val="20"/>
          <w:szCs w:val="20"/>
        </w:rPr>
        <w:t xml:space="preserve">This strategy mirrors the development of molecular evolutionary theory, where increasingly realistic models have been proposed and tested against simpler alternatives. </w:t>
      </w:r>
      <w:r>
        <w:rPr>
          <w:rFonts w:ascii="Libertinus Sans" w:eastAsia="Libertinus Sans" w:hAnsi="Libertinus Sans"/>
          <w:sz w:val="20"/>
          <w:szCs w:val="20"/>
        </w:rPr>
        <w:t xml:space="preserve">By adopting a similar model-based approach, historical linguistics gains a systematic means of assessing the explanatory adequacy of competing accounts of sound change.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66" w:name="PaperSections_Conclusion"/>
      <w:bookmarkEnd w:id="66"/>
      <w:r>
        <w:rPr>
          <w:rFonts w:ascii="Libertinus Sans" w:eastAsia="Libertinus Sans" w:hAnsi="Libertinus Sans"/>
          <w:b/>
          <w:sz w:val="32"/>
          <w:szCs w:val="32"/>
        </w:rPr>
        <w:t>6</w:t>
      </w:r>
      <w:r>
        <w:rPr>
          <w:rFonts w:ascii="Libertinus Sans" w:eastAsia="Libertinus Sans" w:hAnsi="Libertinus Sans"/>
          <w:b/>
          <w:sz w:val="32"/>
          <w:szCs w:val="32"/>
        </w:rPr>
        <w:t>.</w:t>
      </w:r>
      <w:r>
        <w:rPr>
          <w:rFonts w:ascii="Libertinus Sans" w:eastAsia="Libertinus Sans" w:hAnsi="Libertinus Sans"/>
          <w:b/>
          <w:sz w:val="32"/>
          <w:szCs w:val="32"/>
        </w:rPr>
        <w:t xml:space="preserve"> </w:t>
      </w:r>
      <w:r>
        <w:rPr>
          <w:rFonts w:ascii="Libertinus Sans" w:eastAsia="Libertinus Sans" w:hAnsi="Libertinus Sans"/>
          <w:b/>
          <w:sz w:val="32"/>
          <w:szCs w:val="32"/>
        </w:rPr>
        <w:t>Conclusion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67" w:name="PaperSections_Conclusion"/>
      <w:bookmarkEnd w:id="67"/>
      <w:r>
        <w:rPr>
          <w:rFonts w:ascii="Libertinus Sans" w:eastAsia="Libertinus Sans" w:hAnsi="Libertinus Sans"/>
          <w:sz w:val="20"/>
          <w:szCs w:val="20"/>
        </w:rPr>
        <w:t xml:space="preserve">This study provides the first application of the TKF91 model to a linguistic dataset and demonstrates the advantages of modeling language change as a sequence of explicitly defined events. </w:t>
      </w:r>
      <w:r>
        <w:rPr>
          <w:rFonts w:ascii="Libertinus Sans" w:eastAsia="Libertinus Sans" w:hAnsi="Libertinus Sans"/>
          <w:sz w:val="20"/>
          <w:szCs w:val="20"/>
        </w:rPr>
        <w:t xml:space="preserve">By operating directly on segmental forms rather than abstract cognate relationships, the framework preserves the signal in word forms and permits inference about the dynamics of sound change. </w:t>
      </w:r>
      <w:r>
        <w:rPr>
          <w:rFonts w:ascii="Libertinus Sans" w:eastAsia="Libertinus Sans" w:hAnsi="Libertinus Sans"/>
          <w:sz w:val="20"/>
          <w:szCs w:val="20"/>
        </w:rPr>
        <w:t xml:space="preserve">The framework can, in principle, be extended to accommodate more complex forms of segmental change, including context-dependent processes. </w:t>
      </w:r>
      <w:r>
        <w:rPr>
          <w:rFonts w:ascii="Libertinus Sans" w:eastAsia="Libertinus Sans" w:hAnsi="Libertinus Sans"/>
          <w:sz w:val="20"/>
          <w:szCs w:val="20"/>
        </w:rPr>
        <w:t xml:space="preserve">An event-based approach may also improve divergence-time estimation, which depends on quantifying the number of evolutionary events along the branches of a tree. </w:t>
      </w:r>
      <w:r>
        <w:rPr>
          <w:rFonts w:ascii="Libertinus Sans" w:eastAsia="Libertinus Sans" w:hAnsi="Libertinus Sans"/>
          <w:sz w:val="20"/>
          <w:szCs w:val="20"/>
        </w:rPr>
        <w:t xml:space="preserve">When divergence times are estimated from abstract cognate characters, the nature of these events is often unclear. </w:t>
      </w:r>
      <w:r>
        <w:rPr>
          <w:rFonts w:ascii="Libertinus Sans" w:eastAsia="Libertinus Sans" w:hAnsi="Libertinus Sans"/>
          <w:sz w:val="20"/>
          <w:szCs w:val="20"/>
        </w:rPr>
        <w:t xml:space="preserve">By contrast, the present model counts explicitly defined operations (segmental substitutions, insertions, and deletions) and thereby provides a more transparent basis for phylogenetic inference. </w:t>
      </w:r>
    </w:p>
    <w:p>
      <w:pPr>
        <w:ind w:firstLine="480"/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r>
        <w:rPr>
          <w:rFonts w:ascii="Libertinus Sans" w:eastAsia="Libertinus Sans" w:hAnsi="Libertinus Sans"/>
          <w:sz w:val="20"/>
          <w:szCs w:val="20"/>
        </w:rPr>
        <w:t xml:space="preserve">The code and data for this study are available on </w:t>
      </w:r>
      <w:hyperlink r:id="rId311" w:history="1">
        <w:r>
          <w:rPr>
            <w:rFonts w:ascii="Libertinus Sans" w:eastAsia="Libertinus Sans" w:hAnsi="Libertinus Sans"/>
            <w:sz w:val="20"/>
            <w:szCs w:val="20"/>
            <w:color w:val="0000FF"/>
          </w:rPr>
          <w:t>GitHub</w:t>
        </w:r>
      </w:hyperlink>
      <w:r>
        <w:rPr>
          <w:rFonts w:ascii="Libertinus Sans" w:eastAsia="Libertinus Sans" w:hAnsi="Libertinus Sans"/>
          <w:sz w:val="20"/>
          <w:szCs w:val="20"/>
        </w:rPr>
        <w:t xml:space="preserve">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68" w:name="PaperSections_Contributions"/>
      <w:bookmarkEnd w:id="68"/>
      <w:r>
        <w:rPr>
          <w:rFonts w:ascii="Libertinus Sans" w:eastAsia="Libertinus Sans" w:hAnsi="Libertinus Sans"/>
          <w:b/>
          <w:sz w:val="32"/>
          <w:szCs w:val="32"/>
        </w:rPr>
        <w:t>Author contributions statement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69" w:name="PaperSections_Contributions"/>
      <w:bookmarkEnd w:id="69"/>
      <w:r>
        <w:rPr>
          <w:rFonts w:ascii="Libertinus Sans" w:eastAsia="Libertinus Sans" w:hAnsi="Libertinus Sans"/>
          <w:sz w:val="20"/>
          <w:szCs w:val="20"/>
        </w:rPr>
        <w:t>D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M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G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collected data, </w:t>
      </w:r>
      <w:r>
        <w:rPr>
          <w:rFonts w:ascii="Libertinus Sans" w:eastAsia="Libertinus Sans" w:hAnsi="Libertinus Sans"/>
          <w:sz w:val="20"/>
          <w:szCs w:val="20"/>
        </w:rPr>
        <w:t>É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B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reviewed it, </w:t>
      </w:r>
      <w:r>
        <w:rPr>
          <w:rFonts w:ascii="Libertinus Sans" w:eastAsia="Libertinus Sans" w:hAnsi="Libertinus Sans"/>
          <w:sz w:val="20"/>
          <w:szCs w:val="20"/>
        </w:rPr>
        <w:t>S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H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M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developed the control software, and </w:t>
      </w:r>
      <w:r>
        <w:rPr>
          <w:rFonts w:ascii="Libertinus Sans" w:eastAsia="Libertinus Sans" w:hAnsi="Libertinus Sans"/>
          <w:sz w:val="20"/>
          <w:szCs w:val="20"/>
        </w:rPr>
        <w:t>J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P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H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developed the MCMC software. </w:t>
      </w:r>
      <w:r>
        <w:rPr>
          <w:rFonts w:ascii="Libertinus Sans" w:eastAsia="Libertinus Sans" w:hAnsi="Libertinus Sans"/>
          <w:sz w:val="20"/>
          <w:szCs w:val="20"/>
        </w:rPr>
        <w:t>D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M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G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, </w:t>
      </w:r>
      <w:r>
        <w:rPr>
          <w:rFonts w:ascii="Libertinus Sans" w:eastAsia="Libertinus Sans" w:hAnsi="Libertinus Sans"/>
          <w:sz w:val="20"/>
          <w:szCs w:val="20"/>
        </w:rPr>
        <w:t>S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H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M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, and </w:t>
      </w:r>
      <w:r>
        <w:rPr>
          <w:rFonts w:ascii="Libertinus Sans" w:eastAsia="Libertinus Sans" w:hAnsi="Libertinus Sans"/>
          <w:sz w:val="20"/>
          <w:szCs w:val="20"/>
        </w:rPr>
        <w:t>J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P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H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wrote the manuscript.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70" w:name="PaperSections_Acknowledgements"/>
      <w:bookmarkEnd w:id="70"/>
      <w:r>
        <w:rPr>
          <w:rFonts w:ascii="Libertinus Sans" w:eastAsia="Libertinus Sans" w:hAnsi="Libertinus Sans"/>
          <w:b/>
          <w:sz w:val="32"/>
          <w:szCs w:val="32"/>
        </w:rPr>
        <w:t>Acknowledgements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71" w:name="PaperSections_Acknowledgements"/>
      <w:bookmarkEnd w:id="71"/>
      <w:r>
        <w:rPr>
          <w:rFonts w:ascii="Libertinus Sans" w:eastAsia="Libertinus Sans" w:hAnsi="Libertinus Sans"/>
          <w:sz w:val="20"/>
          <w:szCs w:val="20"/>
        </w:rPr>
        <w:t xml:space="preserve">We thank </w:t>
      </w:r>
      <w:r>
        <w:rPr>
          <w:rFonts w:ascii="Libertinus Sans" w:eastAsia="Libertinus Sans" w:hAnsi="Libertinus Sans"/>
          <w:noProof/>
          <w:sz w:val="20"/>
          <w:szCs w:val="20"/>
        </w:rPr>
        <w:t>Gerton</w:t>
      </w:r>
      <w:r>
        <w:rPr>
          <w:rFonts w:ascii="Libertinus Sans" w:eastAsia="Libertinus Sans" w:hAnsi="Libertinus Sans"/>
          <w:noProof/>
          <w:sz w:val="20"/>
          <w:szCs w:val="20"/>
        </w:rPr>
        <w:t xml:space="preserve"> </w:t>
      </w:r>
      <w:r>
        <w:rPr>
          <w:rFonts w:ascii="Libertinus Sans" w:eastAsia="Libertinus Sans" w:hAnsi="Libertinus Sans"/>
          <w:noProof/>
          <w:sz w:val="20"/>
          <w:szCs w:val="20"/>
        </w:rPr>
        <w:t>Lunter</w:t>
      </w:r>
      <w:r>
        <w:rPr>
          <w:rFonts w:ascii="Libertinus Sans" w:eastAsia="Libertinus Sans" w:hAnsi="Libertinus Sans"/>
          <w:sz w:val="20"/>
          <w:szCs w:val="20"/>
        </w:rPr>
        <w:t xml:space="preserve"> for guidance on the implementation of the TKF91 model. </w:t>
      </w:r>
      <w:r>
        <w:rPr>
          <w:rFonts w:ascii="Libertinus Sans" w:eastAsia="Libertinus Sans" w:hAnsi="Libertinus Sans"/>
          <w:sz w:val="20"/>
          <w:szCs w:val="20"/>
        </w:rPr>
        <w:t xml:space="preserve">Earlier versions of this work were presented at the Computational Phylogenetics and Language (Pre)history Workshop in Rethymno, EvoLang 2024, and the UCLA Phonology Seminar. </w:t>
      </w:r>
      <w:r>
        <w:rPr>
          <w:rFonts w:ascii="Libertinus Sans" w:eastAsia="Libertinus Sans" w:hAnsi="Libertinus Sans"/>
          <w:sz w:val="20"/>
          <w:szCs w:val="20"/>
        </w:rPr>
        <w:t xml:space="preserve">We are grateful to the audiences at these three venues for their valuable feedback, and especially to Chundra Cathcart, Frederik Hartmann, Simon Greenhill, and Gerhard Jäger for their thoughtful comments. </w:t>
      </w:r>
      <w:r>
        <w:rPr>
          <w:rFonts w:ascii="Libertinus Sans" w:eastAsia="Libertinus Sans" w:hAnsi="Libertinus Sans"/>
          <w:sz w:val="20"/>
          <w:szCs w:val="20"/>
        </w:rPr>
        <w:t>We also thank the three anonymous reviewers for insightful crticism, which substantially improved the paper.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bookmarkStart w:id="72" w:name="PaperSections_Funding"/>
      <w:bookmarkEnd w:id="72"/>
      <w:r>
        <w:rPr>
          <w:rFonts w:ascii="Libertinus Sans" w:eastAsia="Libertinus Sans" w:hAnsi="Libertinus Sans"/>
          <w:b/>
          <w:sz w:val="32"/>
          <w:szCs w:val="32"/>
        </w:rPr>
        <w:t>Funding</w:t>
      </w:r>
    </w:p>
    <w:p>
      <w:pPr>
        <w:spacing w:after="80"/>
        <w:jc w:val="both"/>
        <w:rPr>
          <w:rFonts w:ascii="Libertinus Sans" w:eastAsia="Libertinus Sans" w:hAnsi="Libertinus Sans"/>
          <w:sz w:val="20"/>
          <w:szCs w:val="20"/>
        </w:rPr>
      </w:pPr>
      <w:bookmarkStart w:id="73" w:name="PaperSections_Funding"/>
      <w:bookmarkEnd w:id="73"/>
      <w:r>
        <w:rPr>
          <w:rFonts w:ascii="Libertinus Sans" w:eastAsia="Libertinus Sans" w:hAnsi="Libertinus Sans"/>
          <w:sz w:val="20"/>
          <w:szCs w:val="20"/>
        </w:rPr>
        <w:t>J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P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>H</w:t>
      </w:r>
      <w:r>
        <w:rPr>
          <w:rFonts w:ascii="Libertinus Sans" w:eastAsia="Libertinus Sans" w:hAnsi="Libertinus Sans"/>
          <w:sz w:val="20"/>
          <w:szCs w:val="20"/>
        </w:rPr>
        <w:t>.</w:t>
      </w:r>
      <w:r>
        <w:rPr>
          <w:rFonts w:ascii="Libertinus Sans" w:eastAsia="Libertinus Sans" w:hAnsi="Libertinus Sans"/>
          <w:sz w:val="20"/>
          <w:szCs w:val="20"/>
        </w:rPr>
        <w:t xml:space="preserve"> was supported through NSF (1759909) and the Koret Foundation. </w:t>
      </w:r>
    </w:p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r>
        <w:rPr>
          <w:rFonts w:ascii="Libertinus Sans" w:eastAsia="Libertinus Sans" w:hAnsi="Libertinus Sans"/>
          <w:b/>
          <w:sz w:val="32"/>
          <w:szCs w:val="32"/>
        </w:rPr>
        <w:t>References</w:t>
      </w:r>
    </w:p>
    <w:sdt>
      <w:sdtPr>
        <w:rPr>
          <w:w w:val="0"/>
          <w:sz w:val="22"/>
          <w:szCs w:val="22"/>
        </w:rPr>
        <w:bibliography/>
      </w:sdtPr>
      <w:sdtEndPr/>
      <w:sdtContent>
        <w:sdt>
          <w:sdtPr>
            <w:rPr>
              <w:w w:val="0"/>
              <w:sz w:val="22"/>
              <w:szCs w:val="22"/>
            </w:rPr>
            <w:docPartObj>
              <w:docPartGallery w:val="Bibliographies"/>
              <w:docPartUnique/>
            </w:docPartObj>
          </w:sdtPr>
          <w:sdtContent>
            <w:sdt>
              <w:sdtPr>
                <w:bibliography/>
              </w:sdtPr>
              <w:sdtContent>
                <w:p>
                  <w:pPr>
                    <w:pStyle w:val="Bibliography"/>
                    <w:ind w:left="720" w:hanging="720"/>
                    <w:rPr>
                      <w:noProof/>
                      <w:sz w:val="24"/>
                      <w:szCs w:val="24"/>
                    </w:rPr>
                  </w:pPr>
                  <w:r>
                    <w:fldChar w:fldCharType="begin"/>
                  </w:r>
                  <w:r>
                    <w:instrText xml:space="preserve"> BIBLIOGRAPHY </w:instrText>
                  </w:r>
                  <w:r>
                    <w:fldChar w:fldCharType="separate"/>
                  </w:r>
                </w:p>
                <w:p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/>
      </w:sdtContent>
    </w:sdt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r>
        <w:rPr>
          <w:rFonts w:ascii="Libertinus Sans" w:eastAsia="Libertinus Sans" w:hAnsi="Libertinus Sans"/>
          <w:b/>
          <w:sz w:val="32"/>
          <w:szCs w:val="32"/>
        </w:rPr>
        <w:t>Figures</w:t>
      </w:r>
    </w:p>
    <w:sdt>
      <w:sdtPr>
        <w:rPr>
          <w:w w:val="0"/>
          <w:sz w:val="22"/>
          <w:szCs w:val="22"/>
        </w:rPr>
        <w:bibliography/>
      </w:sdtPr>
      <w:sdtEndPr/>
      <w:sdtContent>
        <w:sdt>
          <w:sdtPr>
            <w:rPr>
              <w:w w:val="0"/>
              <w:sz w:val="22"/>
              <w:szCs w:val="22"/>
            </w:rPr>
            <w:docPartObj>
              <w:docPartGallery w:val="Bibliographies"/>
              <w:docPartUnique/>
            </w:docPartObj>
          </w:sdtPr>
          <w:sdtContent>
            <w:sdt>
              <w:sdtPr>
                <w:bibliography/>
              </w:sdtPr>
              <w:sdtContent>
                <w:p>
                  <w:pPr>
                    <w:pStyle w:val="Bibliography"/>
                    <w:ind w:left="720" w:hanging="720"/>
                    <w:rPr>
                      <w:noProof/>
                      <w:sz w:val="24"/>
                      <w:szCs w:val="24"/>
                    </w:rPr>
                  </w:pPr>
                  <w:r>
                    <w:fldChar w:fldCharType="begin"/>
                  </w:r>
                  <w:r>
                    <w:instrText xml:space="preserve"> TOC \h \z \c "Figure"  </w:instrText>
                  </w:r>
                  <w:r>
                    <w:fldChar w:fldCharType="separate"/>
                  </w:r>
                </w:p>
                <w:p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/>
      </w:sdtContent>
    </w:sdt>
    <w:p>
      <w:pPr>
        <w:keepNext/>
        <w:spacing w:before="360" w:after="80"/>
        <w:rPr>
          <w:rFonts w:ascii="Libertinus Sans" w:eastAsia="Libertinus Sans" w:hAnsi="Libertinus Sans"/>
          <w:b/>
          <w:sz w:val="32"/>
          <w:szCs w:val="32"/>
        </w:rPr>
      </w:pPr>
      <w:r>
        <w:rPr>
          <w:rFonts w:ascii="Libertinus Sans" w:eastAsia="Libertinus Sans" w:hAnsi="Libertinus Sans"/>
          <w:b/>
          <w:sz w:val="32"/>
          <w:szCs w:val="32"/>
        </w:rPr>
        <w:t>Tables</w:t>
      </w:r>
    </w:p>
    <w:sdt>
      <w:sdtPr>
        <w:rPr>
          <w:w w:val="0"/>
          <w:sz w:val="22"/>
          <w:szCs w:val="22"/>
        </w:rPr>
        <w:bibliography/>
      </w:sdtPr>
      <w:sdtEndPr/>
      <w:sdtContent>
        <w:sdt>
          <w:sdtPr>
            <w:rPr>
              <w:w w:val="0"/>
              <w:sz w:val="22"/>
              <w:szCs w:val="22"/>
            </w:rPr>
            <w:docPartObj>
              <w:docPartGallery w:val="Bibliographies"/>
              <w:docPartUnique/>
            </w:docPartObj>
          </w:sdtPr>
          <w:sdtContent>
            <w:sdt>
              <w:sdtPr>
                <w:bibliography/>
              </w:sdtPr>
              <w:sdtContent>
                <w:p>
                  <w:pPr>
                    <w:pStyle w:val="Bibliography"/>
                    <w:ind w:left="720" w:hanging="720"/>
                    <w:rPr>
                      <w:noProof/>
                      <w:sz w:val="24"/>
                      <w:szCs w:val="24"/>
                    </w:rPr>
                  </w:pPr>
                  <w:r>
                    <w:fldChar w:fldCharType="begin"/>
                  </w:r>
                  <w:r>
                    <w:instrText xml:space="preserve"> TOC \h \z \c "Table"  </w:instrText>
                  </w:r>
                  <w:r>
                    <w:fldChar w:fldCharType="separate"/>
                  </w:r>
                </w:p>
                <w:p>
                  <w:r>
                    <w:rPr>
                      <w:b/>
                      <w:bCs/>
                      <w:noProof/>
                    </w:rPr>
                    <w:fldChar w:fldCharType="end"/>
                  </w:r>
                </w:p>
              </w:sdtContent>
            </w:sdt>
          </w:sdtContent>
        </w:sdt>
        <w:p/>
      </w:sdtContent>
    </w:sdt>
    <w:sectPr>
      <w:titlePg/>
      <w:evenAndOddHeaders/>
      <w:headerReference w:type="default" r:id="rId75"/>
      <w:headerReference w:type="even" r:id="rId74"/>
      <w:headerReference w:type="first" r:id="rId73"/>
      <w:titlePg/>
      <w:evenAndOddHeaders/>
      <w:footerReference w:type="default" r:id="rId78"/>
      <w:footerReference w:type="even" r:id="rId77"/>
      <w:footerReference w:type="first" r:id="rId76"/>
      <w:type w:val="continuous"/>
      <w:pgSz w:w="12240" w:h="15840"/>
      <w:pgMar w:top="720" w:right="1080" w:bottom="720" w:left="1080" w:header="720" w:footer="864" w:gutter="0"/>
      <w:cols w:num="2" w:space="3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tinus Sans">
    <w:charset w:val="00"/>
    <w:family w:val="swiss"/>
    <w:pitch w:val="variable"/>
    <w:sig w:usb0="00000000" w:usb1="00000000" w:usb2="00000000" w:usb3="00000000" w:csb0="00000000" w:csb1="00000000"/>
  </w:font>
</w:fonts>
</file>

<file path=word/footer55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pBdr>
          <w:top w:val="single" w:sz="7.9999999998" w:space="9"/>
        </w:pBdr>
        <w:rPr>
          <w:rFonts w:ascii="Libertinus Sans" w:eastAsia="Libertinus Sans" w:hAnsi="Libertinus Sans"/>
          <w:sz w:val="14"/>
          <w:szCs w:val="14"/>
        </w:rPr>
      </w:pPr>
      <w:r>
        <w:rPr>
          <w:rFonts w:ascii="Libertinus Sans" w:eastAsia="Libertinus Sans" w:hAnsi="Libertinus Sans"/>
          <w:sz w:val="14"/>
          <w:szCs w:val="14"/>
        </w:rPr>
        <w:t>©</w:t>
      </w:r>
      <w:r>
        <w:rPr>
          <w:rFonts w:ascii="Libertinus Sans" w:eastAsia="Libertinus Sans" w:hAnsi="Libertinus Sans"/>
          <w:sz w:val="14"/>
          <w:szCs w:val="14"/>
        </w:rPr>
        <w:t xml:space="preserve"> </w:t>
      </w:r>
      <w:r>
        <w:rPr>
          <w:rFonts w:ascii="Libertinus Sans" w:eastAsia="Libertinus Sans" w:hAnsi="Libertinus Sans"/>
          <w:sz w:val="14"/>
          <w:szCs w:val="14"/>
        </w:rPr>
        <w:t>The Author</w:t>
      </w:r>
      <w:r>
        <w:rPr>
          <w:rFonts w:ascii="Libertinus Sans" w:eastAsia="Libertinus Sans" w:hAnsi="Libertinus Sans"/>
          <w:sz w:val="14"/>
          <w:szCs w:val="14"/>
        </w:rPr>
        <w:t>s</w:t>
      </w:r>
      <w:r>
        <w:rPr>
          <w:rFonts w:ascii="Libertinus Sans" w:eastAsia="Libertinus Sans" w:hAnsi="Libertinus Sans"/>
          <w:sz w:val="14"/>
          <w:szCs w:val="14"/>
        </w:rPr>
        <w:t xml:space="preserve"> </w:t>
      </w:r>
      <w:r>
        <w:rPr>
          <w:rFonts w:ascii="Libertinus Sans" w:eastAsia="Libertinus Sans" w:hAnsi="Libertinus Sans"/>
          <w:sz w:val="14"/>
          <w:szCs w:val="14"/>
        </w:rPr>
        <w:t>2026</w:t>
      </w:r>
      <w:r>
        <w:rPr>
          <w:rFonts w:ascii="Libertinus Sans" w:eastAsia="Libertinus Sans" w:hAnsi="Libertinus Sans"/>
          <w:sz w:val="14"/>
          <w:szCs w:val="14"/>
        </w:rPr>
        <w:t xml:space="preserve">. </w:t>
      </w:r>
      <w:r>
        <w:rPr>
          <w:rFonts w:ascii="Libertinus Sans" w:eastAsia="Libertinus Sans" w:hAnsi="Libertinus Sans"/>
          <w:sz w:val="14"/>
          <w:szCs w:val="14"/>
        </w:rPr>
        <w:t xml:space="preserve">Published by Oxford University Press. </w:t>
      </w:r>
    </w:p>
    <w:p>
      <w:pPr>
        <w:rPr>
          <w:rFonts w:ascii="Libertinus Sans" w:eastAsia="Libertinus Sans" w:hAnsi="Libertinus Sans"/>
          <w:sz w:val="14"/>
          <w:szCs w:val="14"/>
        </w:rPr>
      </w:pPr>
      <w:r>
        <w:rPr>
          <w:rFonts w:ascii="Libertinus Sans" w:eastAsia="Libertinus Sans" w:hAnsi="Libertinus Sans"/>
          <w:sz w:val="14"/>
          <w:szCs w:val="14"/>
        </w:rPr>
        <w:t xml:space="preserve">This is an Open Access article distributed under the terms of the </w:t>
      </w:r>
      <w:hyperlink r:id="rId312" w:history="1">
        <w:r>
          <w:rPr>
            <w:rFonts w:ascii="Libertinus Sans" w:eastAsia="Libertinus Sans" w:hAnsi="Libertinus Sans"/>
            <w:sz w:val="14"/>
            <w:szCs w:val="14"/>
            <w:color w:val="0000FF"/>
          </w:rPr>
          <w:t>Creative Commons Attribution License</w:t>
        </w:r>
      </w:hyperlink>
      <w:r>
        <w:rPr>
          <w:rFonts w:ascii="Libertinus Sans" w:eastAsia="Libertinus Sans" w:hAnsi="Libertinus Sans"/>
          <w:sz w:val="14"/>
          <w:szCs w:val="14"/>
        </w:rPr>
        <w:t xml:space="preserve">, which permits unrestricted reuse, distribution, and reproduction in any medium, provided the original work is properly cited. </w:t>
      </w:r>
    </w:p>
  </w:body>
</w:ftr>
</file>

<file path=word/footer56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ftr>
</file>

<file path=word/footer57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ftr>
</file>

<file path=word/footer76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pBdr>
          <w:top w:val="single" w:sz="7.9999999998" w:space="9"/>
        </w:pBdr>
        <w:rPr>
          <w:rFonts w:ascii="Libertinus Sans" w:eastAsia="Libertinus Sans" w:hAnsi="Libertinus Sans"/>
          <w:sz w:val="14"/>
          <w:szCs w:val="14"/>
        </w:rPr>
      </w:pPr>
      <w:r>
        <w:rPr>
          <w:rFonts w:ascii="Libertinus Sans" w:eastAsia="Libertinus Sans" w:hAnsi="Libertinus Sans"/>
          <w:sz w:val="14"/>
          <w:szCs w:val="14"/>
        </w:rPr>
        <w:t>©</w:t>
      </w:r>
      <w:r>
        <w:rPr>
          <w:rFonts w:ascii="Libertinus Sans" w:eastAsia="Libertinus Sans" w:hAnsi="Libertinus Sans"/>
          <w:sz w:val="14"/>
          <w:szCs w:val="14"/>
        </w:rPr>
        <w:t xml:space="preserve"> </w:t>
      </w:r>
      <w:r>
        <w:rPr>
          <w:rFonts w:ascii="Libertinus Sans" w:eastAsia="Libertinus Sans" w:hAnsi="Libertinus Sans"/>
          <w:sz w:val="14"/>
          <w:szCs w:val="14"/>
        </w:rPr>
        <w:t>The Author</w:t>
      </w:r>
      <w:r>
        <w:rPr>
          <w:rFonts w:ascii="Libertinus Sans" w:eastAsia="Libertinus Sans" w:hAnsi="Libertinus Sans"/>
          <w:sz w:val="14"/>
          <w:szCs w:val="14"/>
        </w:rPr>
        <w:t>s</w:t>
      </w:r>
      <w:r>
        <w:rPr>
          <w:rFonts w:ascii="Libertinus Sans" w:eastAsia="Libertinus Sans" w:hAnsi="Libertinus Sans"/>
          <w:sz w:val="14"/>
          <w:szCs w:val="14"/>
        </w:rPr>
        <w:t xml:space="preserve"> </w:t>
      </w:r>
      <w:r>
        <w:rPr>
          <w:rFonts w:ascii="Libertinus Sans" w:eastAsia="Libertinus Sans" w:hAnsi="Libertinus Sans"/>
          <w:sz w:val="14"/>
          <w:szCs w:val="14"/>
        </w:rPr>
        <w:t>2026</w:t>
      </w:r>
      <w:r>
        <w:rPr>
          <w:rFonts w:ascii="Libertinus Sans" w:eastAsia="Libertinus Sans" w:hAnsi="Libertinus Sans"/>
          <w:sz w:val="14"/>
          <w:szCs w:val="14"/>
        </w:rPr>
        <w:t xml:space="preserve">. </w:t>
      </w:r>
      <w:r>
        <w:rPr>
          <w:rFonts w:ascii="Libertinus Sans" w:eastAsia="Libertinus Sans" w:hAnsi="Libertinus Sans"/>
          <w:sz w:val="14"/>
          <w:szCs w:val="14"/>
        </w:rPr>
        <w:t xml:space="preserve">Published by Oxford University Press. </w:t>
      </w:r>
    </w:p>
    <w:p>
      <w:pPr>
        <w:rPr>
          <w:rFonts w:ascii="Libertinus Sans" w:eastAsia="Libertinus Sans" w:hAnsi="Libertinus Sans"/>
          <w:sz w:val="14"/>
          <w:szCs w:val="14"/>
        </w:rPr>
      </w:pPr>
      <w:r>
        <w:rPr>
          <w:rFonts w:ascii="Libertinus Sans" w:eastAsia="Libertinus Sans" w:hAnsi="Libertinus Sans"/>
          <w:sz w:val="14"/>
          <w:szCs w:val="14"/>
        </w:rPr>
        <w:t xml:space="preserve">This is an Open Access article distributed under the terms of the </w:t>
      </w:r>
      <w:hyperlink r:id="rId312" w:history="1">
        <w:r>
          <w:rPr>
            <w:rFonts w:ascii="Libertinus Sans" w:eastAsia="Libertinus Sans" w:hAnsi="Libertinus Sans"/>
            <w:sz w:val="14"/>
            <w:szCs w:val="14"/>
            <w:color w:val="0000FF"/>
          </w:rPr>
          <w:t>Creative Commons Attribution License</w:t>
        </w:r>
      </w:hyperlink>
      <w:r>
        <w:rPr>
          <w:rFonts w:ascii="Libertinus Sans" w:eastAsia="Libertinus Sans" w:hAnsi="Libertinus Sans"/>
          <w:sz w:val="14"/>
          <w:szCs w:val="14"/>
        </w:rPr>
        <w:t xml:space="preserve">, which permits unrestricted reuse, distribution, and reproduction in any medium, provided the original work is properly cited. </w:t>
      </w:r>
    </w:p>
  </w:body>
</w:ftr>
</file>

<file path=word/footer77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ftr>
</file>

<file path=word/footer78.xml><?xml version="1.0" encoding="utf-8"?>
<w:ft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ftr>
</file>

<file path=word/header52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hdr>
</file>

<file path=word/header53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tabs>
          <w:tab w:val="end" w:leader="none" w:pos="10080"/>
        </w:tabs>
        <w:pBdr>
          <w:bottom w:val="single" w:sz="12" w:space="6"/>
        </w:pBdr>
        <w:rPr>
          <w:rFonts w:ascii="Libertinus Sans" w:eastAsia="Libertinus Sans" w:hAnsi="Libertinus Sans"/>
          <w:sz w:val="18"/>
          <w:szCs w:val="18"/>
        </w:rPr>
      </w:pPr>
      <w:r>
        <w:rPr>
          <w:rFonts w:ascii="Libertinus Sans" w:eastAsia="Libertinus Sans" w:hAnsi="Libertinus Sans"/>
          <w:sz w:val="18"/>
          <w:szCs w:val="18"/>
        </w:rPr>
        <w:t/>
        <w:tab/>
        <w:t/>
      </w:r>
      <w:fldSimple w:instr="PAGE  \* MERGEFORMAT" w:dirty="1">
        <w:r>
          <w:rPr>
            <w:rFonts w:ascii="Libertinus Sans" w:eastAsia="Libertinus Sans" w:hAnsi="Libertinus Sans"/>
            <w:b/>
            <w:sz w:val="18"/>
            <w:szCs w:val="18"/>
          </w:rPr>
          <w:t/>
        </w:r>
      </w:fldSimple>
    </w:p>
  </w:body>
</w:hdr>
</file>

<file path=word/header54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tabs>
          <w:tab w:val="end" w:leader="none" w:pos="10080"/>
        </w:tabs>
        <w:pBdr>
          <w:bottom w:val="single" w:sz="12" w:space="6"/>
        </w:pBdr>
        <w:rPr>
          <w:rFonts w:ascii="Libertinus Sans" w:eastAsia="Libertinus Sans" w:hAnsi="Libertinus Sans"/>
          <w:sz w:val="18"/>
          <w:szCs w:val="18"/>
        </w:rPr>
      </w:pPr>
      <w:fldSimple w:instr="PAGE  \* MERGEFORMAT" w:dirty="1">
        <w:r>
          <w:rPr>
            <w:rFonts w:ascii="Libertinus Sans" w:eastAsia="Libertinus Sans" w:hAnsi="Libertinus Sans"/>
            <w:b/>
            <w:sz w:val="18"/>
            <w:szCs w:val="18"/>
          </w:rPr>
          <w:t/>
        </w:r>
      </w:fldSimple>
      <w:r>
        <w:rPr>
          <w:rFonts w:ascii="Libertinus Sans" w:eastAsia="Libertinus Sans" w:hAnsi="Libertinus Sans"/>
          <w:sz w:val="18"/>
          <w:szCs w:val="18"/>
        </w:rPr>
        <w:t/>
        <w:tab/>
        <w:t/>
      </w:r>
      <w:r>
        <w:rPr>
          <w:rFonts w:ascii="Libertinus Sans" w:eastAsia="Libertinus Sans" w:hAnsi="Libertinus Sans"/>
          <w:sz w:val="18"/>
          <w:szCs w:val="18"/>
        </w:rPr>
        <w:t>Phylogenetic inference from cognate word forms</w:t>
      </w:r>
    </w:p>
  </w:body>
</w:hdr>
</file>

<file path=word/header73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p>
    <w:r>
      <w:cr/>
    </w:r>
  </w:p>
</w:hdr>
</file>

<file path=word/header74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tabs>
          <w:tab w:val="end" w:leader="none" w:pos="10080"/>
        </w:tabs>
        <w:pBdr>
          <w:bottom w:val="single" w:sz="12" w:space="6"/>
        </w:pBdr>
        <w:rPr>
          <w:rFonts w:ascii="Libertinus Sans" w:eastAsia="Libertinus Sans" w:hAnsi="Libertinus Sans"/>
          <w:sz w:val="18"/>
          <w:szCs w:val="18"/>
        </w:rPr>
      </w:pPr>
      <w:r>
        <w:rPr>
          <w:rFonts w:ascii="Libertinus Sans" w:eastAsia="Libertinus Sans" w:hAnsi="Libertinus Sans"/>
          <w:sz w:val="18"/>
          <w:szCs w:val="18"/>
        </w:rPr>
        <w:t/>
        <w:tab/>
        <w:t/>
      </w:r>
      <w:fldSimple w:instr="PAGE  \* MERGEFORMAT" w:dirty="1">
        <w:r>
          <w:rPr>
            <w:rFonts w:ascii="Libertinus Sans" w:eastAsia="Libertinus Sans" w:hAnsi="Libertinus Sans"/>
            <w:b/>
            <w:sz w:val="18"/>
            <w:szCs w:val="18"/>
          </w:rPr>
          <w:t/>
        </w:r>
      </w:fldSimple>
    </w:p>
  </w:body>
</w:hdr>
</file>

<file path=word/header75.xml><?xml version="1.0" encoding="utf-8"?>
<w:hdr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wpc="http://schemas.microsoft.com/office/word/2010/wordprocessingCanvas" xmlns:wp14="http://schemas.microsoft.com/office/word/2010/wordprocessingDrawing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oel="http://schemas.microsoft.com/office/2019/extlst" xmlns:wp="http://schemas.openxmlformats.org/drawingml/2006/wordprocessingDrawing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ink="http://schemas.microsoft.com/office/drawing/2016/ink" xmlns:am3d="http://schemas.microsoft.com/office/drawing/2017/model3d" mc:Ignorable="w14 w15 w16se w16cid w16 w16cex w16sdtdh w16sdtfl w16du wp14">
  <w:body>
    <w:p>
      <w:pPr>
        <w:tabs>
          <w:tab w:val="end" w:leader="none" w:pos="10080"/>
        </w:tabs>
        <w:pBdr>
          <w:bottom w:val="single" w:sz="12" w:space="6"/>
        </w:pBdr>
        <w:rPr>
          <w:rFonts w:ascii="Libertinus Sans" w:eastAsia="Libertinus Sans" w:hAnsi="Libertinus Sans"/>
          <w:sz w:val="18"/>
          <w:szCs w:val="18"/>
        </w:rPr>
      </w:pPr>
      <w:fldSimple w:instr="PAGE  \* MERGEFORMAT" w:dirty="1">
        <w:r>
          <w:rPr>
            <w:rFonts w:ascii="Libertinus Sans" w:eastAsia="Libertinus Sans" w:hAnsi="Libertinus Sans"/>
            <w:b/>
            <w:sz w:val="18"/>
            <w:szCs w:val="18"/>
          </w:rPr>
          <w:t/>
        </w:r>
      </w:fldSimple>
      <w:r>
        <w:rPr>
          <w:rFonts w:ascii="Libertinus Sans" w:eastAsia="Libertinus Sans" w:hAnsi="Libertinus Sans"/>
          <w:sz w:val="18"/>
          <w:szCs w:val="18"/>
        </w:rPr>
        <w:t/>
        <w:tab/>
        <w:t/>
      </w:r>
      <w:r>
        <w:rPr>
          <w:rFonts w:ascii="Libertinus Sans" w:eastAsia="Libertinus Sans" w:hAnsi="Libertinus Sans"/>
          <w:sz w:val="18"/>
          <w:szCs w:val="18"/>
        </w:rPr>
        <w:t>Phylogenetic inference from cognate word forms</w:t>
      </w:r>
    </w:p>
  </w:body>
</w:hdr>
</file>

<file path=word/numbering.xml><?xml version="1.0" encoding="utf-8"?>
<w:numbering xmlns:w10="urn:schemas-microsoft-com:office:word" xmlns:o="urn:schemas-microsoft-com:office:office" xmlns:v="urn:schemas-microsoft-com:vml" xmlns:ve="http://schemas.openxmlformats.org/markup-compatibility/2006" xmlns:r="http://schemas.openxmlformats.org/officeDocument/2006/relationships" xmlns:w="http://schemas.openxmlformats.org/wordprocessingml/2006/3/main" xmlns:m="http://schemas.microsoft.com/office/omml/2004/12/core" xmlns:o12="http://schemas.microsoft.com/office/2004/7/core" xmlns:wp="http://schemas.openxmlformats.org/drawingml/2006/3/wordprocessingDrawing">
  <w:abstractNum w:abstractNumId="0">
    <w:nsid w:val="144838E4"/>
    <w:multiLevelType w:val="hybridMultilevel"/>
    <w:tmpl w:val="8FE2352C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>
    <w:nsid w:val="20ED62DC"/>
    <w:multiLevelType w:val="hybridMultilevel"/>
    <w:tmpl w:val="AC12A52C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>
    <w:nsid w:val="2AC44C1D"/>
    <w:multiLevelType w:val="hybridMultilevel"/>
    <w:tmpl w:val="5DC8343E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>
    <w:nsid w:val="40203E9E"/>
    <w:multiLevelType w:val="hybridMultilevel"/>
    <w:tmpl w:val="C43CD940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4">
    <w:nsid w:val="6E381B58"/>
    <w:multiLevelType w:val="hybridMultilevel"/>
    <w:tmpl w:val="6A8AC39E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5">
    <w:nsid w:val="74AE160E"/>
    <w:multiLevelType w:val="hybridMultilevel"/>
    <w:tmpl w:val="74A2C516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6">
    <w:nsid w:val="7D296AD1"/>
    <w:multiLevelType w:val="hybridMultilevel"/>
    <w:tmpl w:val="57048B98"/>
    <w:lvl w:ilvl="0" w:tplc="04090001" w:tentative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■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■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◦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■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0="urn:schemas-microsoft-com:office:word" xmlns:o="urn:schemas-microsoft-com:office:office" xmlns:v="urn:schemas-microsoft-com:vml" xmlns:m="http://schemas.openxmlformats.org/officeDocument/2006/math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22A4E-4DDE-44A7-B762-9A15A2DE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0" w:qFormat="1"/>
    <w:lsdException w:name="heading 3" w:uiPriority="11" w:qFormat="1"/>
    <w:lsdException w:name="heading 4" w:uiPriority="12" w:qFormat="1"/>
    <w:lsdException w:name="heading 5" w:uiPriority="13" w:qFormat="1"/>
    <w:lsdException w:name="heading 6" w:uiPriority="14" w:qFormat="1"/>
    <w:lsdException w:name="heading 7" w:uiPriority="15" w:qFormat="1"/>
    <w:lsdException w:name="heading 8" w:uiPriority="16" w:qFormat="1"/>
    <w:lsdException w:name="heading 9" w:uiPriority="17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40" w:unhideWhenUsed="1"/>
    <w:lsdException w:name="toc 3" w:semiHidden="1" w:uiPriority="41" w:unhideWhenUsed="1"/>
    <w:lsdException w:name="toc 4" w:semiHidden="1" w:uiPriority="42" w:unhideWhenUsed="1"/>
    <w:lsdException w:name="toc 5" w:semiHidden="1" w:uiPriority="43" w:unhideWhenUsed="1"/>
    <w:lsdException w:name="toc 6" w:semiHidden="1" w:uiPriority="44" w:unhideWhenUsed="1"/>
    <w:lsdException w:name="toc 7" w:semiHidden="1" w:uiPriority="45" w:unhideWhenUsed="1"/>
    <w:lsdException w:name="toc 8" w:semiHidden="1" w:uiPriority="46" w:unhideWhenUsed="1"/>
    <w:lsdException w:name="toc 9" w:semiHidden="1" w:uiPriority="4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833337"/>
    <w:rPr>
      <w:color w:val="808080"/>
    </w:rPr>
  </w:style>
</w:styles>
</file>

<file path=word/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s" typeface="等线 Light"/>
        <a:font script="Khmr" typeface="MoolBoran"/>
        <a:font script="Thai" typeface="Angsana New"/>
        <a:font script="Arab" typeface="Times New Roman"/>
        <a:font script="Hebr" typeface="Times New Roman"/>
        <a:font script="Viet" typeface="Times New Roman"/>
        <a:font script="Hant" typeface="新細明體"/>
        <a:font script="Hang" typeface="맑은 고딕"/>
        <a:font script="Ethi" typeface="Nyala"/>
        <a:font script="Beng" typeface="Vrinda"/>
        <a:font script="Gujr" typeface="Shruti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ora" typeface="Nirmala UI"/>
        <a:font script="Tale" typeface="Microsoft Tai Le"/>
        <a:font script="Talu" typeface="Microsoft New Tai Lue"/>
        <a:font script="Tfng" typeface="Ebrima"/>
        <a:font script="Syrn" typeface="Estrangelo Edessa"/>
        <a:font script="Syrj" typeface="Estrangelo Edessa"/>
        <a:font script="Syre" typeface="Estrangelo Edessa"/>
      </a:majorFont>
      <a:minorFont>
        <a:latin typeface="Calibri"/>
        <a:ea typeface=""/>
        <a:cs typeface=""/>
        <a:font script="Jpan" typeface="游明朝"/>
        <a:font script="Hans" typeface="等线"/>
        <a:font script="Khmr" typeface="DaunPenh"/>
        <a:font script="Thai" typeface="Cordia New"/>
        <a:font script="Arab" typeface="Arial"/>
        <a:font script="Hebr" typeface="Arial"/>
        <a:font script="Viet" typeface="Arial"/>
        <a:font script="Hant" typeface="新細明體"/>
        <a:font script="Hang" typeface="맑은 고딕"/>
        <a:font script="Ethi" typeface="Nyala"/>
        <a:font script="Beng" typeface="Vrinda"/>
        <a:font script="Gujr" typeface="Shruti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ora" typeface="Nirmala UI"/>
        <a:font script="Tale" typeface="Microsoft Tai Le"/>
        <a:font script="Talu" typeface="Microsoft New Tai Lue"/>
        <a:font script="Tfng" typeface="Ebrima"/>
        <a:font script="Syrn" typeface="Estrangelo Edessa"/>
        <a:font script="Syrj" typeface="Estrangelo Edessa"/>
        <a:font script="Syre" typeface="Estrangelo Edess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2976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8" Type="http://schemas.openxmlformats.org/officeDocument/2006/relationships/customXml" Target="../customXml/item1.xml"/>
<Relationship Id="rId4" Type="http://schemas.openxmlformats.org/officeDocument/2006/relationships/fontTable" Target="fontTable.xml"/>
<Relationship Id="rId54" Type="http://schemas.openxmlformats.org/officeDocument/2006/relationships/header" Target="header54.xml"/>
<Relationship Id="rId53" Type="http://schemas.openxmlformats.org/officeDocument/2006/relationships/header" Target="header53.xml"/>
<Relationship Id="rId52" Type="http://schemas.openxmlformats.org/officeDocument/2006/relationships/header" Target="header52.xml"/>
<Relationship Id="rId57" Type="http://schemas.openxmlformats.org/officeDocument/2006/relationships/footer" Target="footer57.xml"/>
<Relationship Id="rId56" Type="http://schemas.openxmlformats.org/officeDocument/2006/relationships/footer" Target="footer56.xml"/>
<Relationship Id="rId55" Type="http://schemas.openxmlformats.org/officeDocument/2006/relationships/footer" Target="footer55.xml"/>
<Relationship Id="rId75" Type="http://schemas.openxmlformats.org/officeDocument/2006/relationships/header" Target="header75.xml"/>
<Relationship Id="rId74" Type="http://schemas.openxmlformats.org/officeDocument/2006/relationships/header" Target="header74.xml"/>
<Relationship Id="rId73" Type="http://schemas.openxmlformats.org/officeDocument/2006/relationships/header" Target="header73.xml"/>
<Relationship Id="rId78" Type="http://schemas.openxmlformats.org/officeDocument/2006/relationships/footer" Target="footer78.xml"/>
<Relationship Id="rId77" Type="http://schemas.openxmlformats.org/officeDocument/2006/relationships/footer" Target="footer77.xml"/>
<Relationship Id="rId76" Type="http://schemas.openxmlformats.org/officeDocument/2006/relationships/footer" Target="footer76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55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56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57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76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77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footer78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52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53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54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73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74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word/_rels/header75.xml.rels><?xml version="1.0" encoding="UTF-8" standalone="yes"?>
<Relationships
xmlns="http://schemas.openxmlformats.org/package/2006/relationships"
><Relationship Id="rId3" Type="http://schemas.openxmlformats.org/officeDocument/2006/relationships/webSettings" Target="webSettings.xml"/>
<Relationship Id="rId2" Type="http://schemas.openxmlformats.org/officeDocument/2006/relationships/settings" Target="settings.xml"/>
<Relationship Id="rId1" Type="http://schemas.openxmlformats.org/officeDocument/2006/relationships/styles" Target="styles.xml"/>
<Relationship Id="rId5" Type="http://schemas.openxmlformats.org/officeDocument/2006/relationships/theme" Target="theme/theme1.xml"/>
<Relationship Id="rId4" Type="http://schemas.openxmlformats.org/officeDocument/2006/relationships/fontTable" Target="fontTable.xml"/>
<Relationship Id="rId302" Type="http://schemas.openxmlformats.org/officeDocument/2006/relationships/hyperlink" Target="https://linguistics.ucla.edu/person/david-goldstein" TargetMode="External"/>
<Relationship Id="rId303" Type="http://schemas.openxmlformats.org/officeDocument/2006/relationships/hyperlink" Target="https://www.orcid.org/0000-0003-1276-7623" TargetMode="External"/>
<Relationship Id="rId304" Type="http://schemas.openxmlformats.org/officeDocument/2006/relationships/hyperlink" Target="https://www.nytril.com" TargetMode="External"/>
<Relationship Id="rId305" Type="http://schemas.openxmlformats.org/officeDocument/2006/relationships/hyperlink" Target="https://www.orcid.org/0009-0009-0876-7584" TargetMode="External"/>
<Relationship Id="rId306" Type="http://schemas.openxmlformats.org/officeDocument/2006/relationships/hyperlink" Target="mailto:eva.buchi@cnrs.fr" TargetMode="External"/>
<Relationship Id="rId307" Type="http://schemas.openxmlformats.org/officeDocument/2006/relationships/hyperlink" Target="https://www.orcid.org/0000-0002-5795-8602" TargetMode="External"/>
<Relationship Id="rId308" Type="http://schemas.openxmlformats.org/officeDocument/2006/relationships/hyperlink" Target="https://vcresearch.berkeley.edu/faculty/john-huelsenbeck" TargetMode="External"/>
<Relationship Id="rId309" Type="http://schemas.openxmlformats.org/officeDocument/2006/relationships/hyperlink" Target="https://www.orcid.org/0000-0002-3050-9997" TargetMode="External"/>
<Relationship Id="rId310" Type="http://schemas.openxmlformats.org/officeDocument/2006/relationships/hyperlink" Target="mailto:dgoldstein@humnet.ucla.edu" TargetMode="External"/>
<Relationship Id="rId311" Type="http://schemas.openxmlformats.org/officeDocument/2006/relationships/hyperlink" Target="https://github.com/jhuelsenbeck/Linguistomics" TargetMode="External"/>
<Relationship Id="rId312" Type="http://schemas.openxmlformats.org/officeDocument/2006/relationships/hyperlink" Target="https://creativecommons.org/licenses/by/4.0/" TargetMode="External"/>
<Relationship Id="rId13" Type="http://schemas.openxmlformats.org/officeDocument/2006/relationships/image" Target="media/image13.jpg"/>
<Relationship Id="rId69" Type="http://schemas.openxmlformats.org/officeDocument/2006/relationships/image" Target="media/image69.svg"/>
<Relationship Id="rId70" Type="http://schemas.openxmlformats.org/officeDocument/2006/relationships/image" Target="media/image70.svg"/>
<Relationship Id="rId71" Type="http://schemas.openxmlformats.org/officeDocument/2006/relationships/image" Target="media/image71.svg"/>
<Relationship Id="rId72" Type="http://schemas.openxmlformats.org/officeDocument/2006/relationships/image" Target="media/image72.svg"/>
<Relationship Id="rId86" Type="http://schemas.openxmlformats.org/officeDocument/2006/relationships/image" Target="media/image86.svg"/>
<Relationship Id="rId100" Type="http://schemas.openxmlformats.org/officeDocument/2006/relationships/image" Target="media/image100.svg"/>
<Relationship Id="rId114" Type="http://schemas.openxmlformats.org/officeDocument/2006/relationships/image" Target="media/image114.svg"/>
<Relationship Id="rId128" Type="http://schemas.openxmlformats.org/officeDocument/2006/relationships/image" Target="media/image128.svg"/>
<Relationship Id="rId136" Type="http://schemas.openxmlformats.org/officeDocument/2006/relationships/image" Target="media/image136.svg"/>
<Relationship Id="rId144" Type="http://schemas.openxmlformats.org/officeDocument/2006/relationships/image" Target="media/image144.svg"/>
<Relationship Id="rId160" Type="http://schemas.openxmlformats.org/officeDocument/2006/relationships/image" Target="media/image160.svg"/>
<Relationship Id="rId175" Type="http://schemas.openxmlformats.org/officeDocument/2006/relationships/image" Target="media/image175.svg"/>
<Relationship Id="rId190" Type="http://schemas.openxmlformats.org/officeDocument/2006/relationships/image" Target="media/image190.svg"/>
<Relationship Id="rId199" Type="http://schemas.openxmlformats.org/officeDocument/2006/relationships/image" Target="media/image199.svg"/>
<Relationship Id="rId206" Type="http://schemas.openxmlformats.org/officeDocument/2006/relationships/image" Target="media/image206.svg"/>
<Relationship Id="rId220" Type="http://schemas.openxmlformats.org/officeDocument/2006/relationships/image" Target="media/image220.svg"/>
<Relationship Id="rId234" Type="http://schemas.openxmlformats.org/officeDocument/2006/relationships/image" Target="media/image234.svg"/>
<Relationship Id="rId248" Type="http://schemas.openxmlformats.org/officeDocument/2006/relationships/image" Target="media/image248.svg"/>
<Relationship Id="rId262" Type="http://schemas.openxmlformats.org/officeDocument/2006/relationships/image" Target="media/image262.svg"/>
<Relationship Id="rId285" Type="http://schemas.openxmlformats.org/officeDocument/2006/relationships/image" Target="media/image285.svg"/>
</Relationships>
</file>

<file path=customXml/_rels/item1.xml.rels><?xml version="1.0" encoding="UTF-8" standalone="yes"?>
<Relationships
xmlns="http://schemas.openxmlformats.org/package/2006/relationships"
><Relationship Id="rId8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>
  <b:Source>
    <b:Tag>Atkinson2005</b:Tag>
    <b:RefOrder>1</b:RefOrder>
    <b:SourceType>ArticleInAPeriodical</b:SourceType>
    <b:Guid>7600bd35-0d53-4392-a198-07c2ad9a0118</b:Guid>
    <b:Title>Curious parallels and curious connections—phylogenetic thinking in biology and historical linguistics</b:Title>
    <b:DOI>10.1080/10635150590950317</b:DOI>
    <b:Volume>54</b:Volume>
    <b:NumberVolumes>4</b:NumberVolumes>
    <b:Author>
      <b:Author>
        <b:NameList>
          <b:Person>
            <b:First>Quentin</b:First>
            <b:Middle>D.</b:Middle>
            <b:Last>Atkinson</b:Last>
          </b:Person>
        </b:NameList>
      </b:Author>
      <b:Author>
        <b:NameList>
          <b:Person>
            <b:First>Russell</b:First>
            <b:Middle>D.</b:Middle>
            <b:Last>Gray</b:Last>
          </b:Person>
        </b:NameList>
      </b:Author>
    </b:Author>
    <b:JournalName>Systematic Biology</b:JournalName>
    <b:Year>2005</b:Year>
    <b:Pages>513-526</b:Pages>
  </b:Source>
  <b:Source>
    <b:Tag>Croft2008</b:Tag>
    <b:RefOrder>2</b:RefOrder>
    <b:SourceType>ArticleInAPeriodical</b:SourceType>
    <b:Guid>935c60d2-d680-42db-9df5-e383b6cf3bf4</b:Guid>
    <b:Title>Evolutionary linguistics</b:Title>
    <b:DOI>10.1146/annurev.anthro.37.081407.085156</b:DOI>
    <b:Volume>37</b:Volume>
    <b:NumberVolumes>1</b:NumberVolumes>
    <b:Author>
      <b:Author>
        <b:NameList>
          <b:Person>
            <b:First>William</b:First>
            <b:Middle>A.</b:Middle>
            <b:Last>Croft</b:Last>
          </b:Person>
        </b:NameList>
      </b:Author>
    </b:Author>
    <b:JournalName>Annual Review of Anthropology</b:JournalName>
    <b:Year>2008</b:Year>
    <b:Pages>219-234</b:Pages>
  </b:Source>
  <b:Source>
    <b:Tag>Pagel2009</b:Tag>
    <b:RefOrder>3</b:RefOrder>
    <b:SourceType>ArticleInAPeriodical</b:SourceType>
    <b:Guid>45def98c-7622-4960-b2ec-3cebe0ee3dca</b:Guid>
    <b:Title>Human language as a culturally transmitted replicator</b:Title>
    <b:DOI>10.1038/nrg2560</b:DOI>
    <b:Volume>10</b:Volume>
    <b:NumberVolumes>6</b:NumberVolumes>
    <b:Author>
      <b:Author>
        <b:NameList>
          <b:Person>
            <b:First>Mark</b:First>
            <b:Last>Pagel</b:Last>
          </b:Person>
        </b:NameList>
      </b:Author>
    </b:Author>
    <b:JournalName>Nature Reviews Genetics</b:JournalName>
    <b:Year>2009</b:Year>
    <b:Pages>405-415</b:Pages>
  </b:Source>
  <b:Source>
    <b:Tag>Borchesius2017</b:Tag>
    <b:RefOrder>4</b:RefOrder>
    <b:SourceType>ConferenceProceedings</b:SourceType>
    <b:Guid>bed717e6-c5e4-4e98-b26e-0b86f08c5e40</b:Guid>
    <b:Title>Phylogenetics in biology and linguistics</b:Title>
    <b:BookTitle>Creole studies</b:BookTitle>
    <b:DOI>10.1075/Z.211.03Bor</b:DOI>
    <b:Author>
      <b:Author>
        <b:NameList>
          <b:Person>
            <b:First>Finn</b:First>
            <b:Last>Borchsenius</b:Last>
          </b:Person>
        </b:NameList>
      </b:Author>
      <b:Author>
        <b:NameList>
          <b:Person>
            <b:First>Aymeric</b:First>
            <b:Last>Daval-Markussen</b:Last>
          </b:Person>
        </b:NameList>
      </b:Author>
      <b:Author>
        <b:NameList>
          <b:Person>
            <b:First>Peter</b:First>
            <b:Last>Bakker</b:Last>
          </b:Person>
        </b:NameList>
      </b:Author>
      <b:Editor>
        <b:NameList>
          <b:Person>
            <b:First>Peter</b:First>
            <b:Last>Bakker</b:Last>
          </b:Person>
        </b:NameList>
      </b:Editor>
      <b:Editor>
        <b:NameList>
          <b:Person>
            <b:First>Finn</b:First>
            <b:Last>Borchsenius</b:Last>
          </b:Person>
        </b:NameList>
      </b:Editor>
      <b:Editor>
        <b:NameList>
          <b:Person>
            <b:First>Carsten</b:First>
            <b:Last>Levisen</b:Last>
          </b:Person>
        </b:NameList>
      </b:Editor>
      <b:Editor>
        <b:NameList>
          <b:Person>
            <b:First>Eeva</b:First>
            <b:Last>Sippola</b:Last>
          </b:Person>
        </b:NameList>
      </b:Editor>
    </b:Author>
    <b:Publisher>John Benjamins</b:Publisher>
    <b:Address>Amsterdam</b:Address>
    <b:Year>2017</b:Year>
    <b:Pages>35-58</b:Pages>
  </b:Source>
  <b:Source>
    <b:Tag>Bromham2017</b:Tag>
    <b:RefOrder>5</b:RefOrder>
    <b:SourceType>ArticleInAPeriodical</b:SourceType>
    <b:Guid>9fb22e28-2140-44a8-94b1-ca96209af1d2</b:Guid>
    <b:Title>Curiously the same: Swapping tools between linguistics and evolutionary biology</b:Title>
    <b:Volume>32</b:Volume>
    <b:NumberVolumes>6</b:NumberVolumes>
    <b:Author>
      <b:Author>
        <b:NameList>
          <b:Person>
            <b:First>Lindell</b:First>
            <b:Last>Bromham</b:Last>
          </b:Person>
        </b:NameList>
      </b:Author>
    </b:Author>
    <b:JournalName>Biology &amp; Philosophy</b:JournalName>
    <b:Year>2017</b:Year>
    <b:Pages>855-886</b:Pages>
  </b:Source>
  <b:Source>
    <b:Tag>Pagel2017</b:Tag>
    <b:RefOrder>6</b:RefOrder>
    <b:SourceType>ArticleInAPeriodical</b:SourceType>
    <b:Guid>ef0fc146-9c3c-427a-afbd-f653d3050fcc</b:Guid>
    <b:Title>Darwinian perspectives on the evolution of human languages</b:Title>
    <b:DOI>Darwinian perspectives on the evolution of human languages</b:DOI>
    <b:Volume>24</b:Volume>
    <b:NumberVolumes>1</b:NumberVolumes>
    <b:Author>
      <b:Author>
        <b:NameList>
          <b:Person>
            <b:First>Mark</b:First>
            <b:Last>Pagel</b:Last>
          </b:Person>
        </b:NameList>
      </b:Author>
    </b:Author>
    <b:JournalName>Psychonomic Bulletin &amp; Review</b:JournalName>
    <b:Year>2017</b:Year>
    <b:Pages>151-157</b:Pages>
  </b:Source>
  <b:Source>
    <b:Tag>Bouckaert2012</b:Tag>
    <b:RefOrder>7</b:RefOrder>
    <b:SourceType>ArticleInAPeriodical</b:SourceType>
    <b:Guid>e5bb8a1b-9f10-4962-8121-c24e26171a99</b:Guid>
    <b:Title>Mapping the origins and expansion of the Indo-European language family</b:Title>
    <b:DOI>10.1126/science.1219669</b:DOI>
    <b:Volume>337</b:Volume>
    <b:NumberVolumes>6097</b:NumberVolumes>
    <b:Author>
      <b:Author>
        <b:NameList>
          <b:Person>
            <b:First>Remco</b:First>
            <b:Last>Bouckaert</b:Last>
          </b:Person>
        </b:NameList>
      </b:Author>
      <b:Author>
        <b:NameList>
          <b:Person>
            <b:First>Philippe</b:First>
            <b:Last>Lemey</b:Last>
          </b:Person>
        </b:NameList>
      </b:Author>
      <b:Author>
        <b:NameList>
          <b:Person>
            <b:First>Michael</b:First>
            <b:Last>Dunn</b:Last>
          </b:Person>
        </b:NameList>
      </b:Author>
      <b:Author>
        <b:NameList>
          <b:Person>
            <b:First>Simon</b:First>
            <b:Middle>J.</b:Middle>
            <b:Last>Greenhill</b:Last>
          </b:Person>
        </b:NameList>
      </b:Author>
      <b:Author>
        <b:NameList>
          <b:Person>
            <b:First>Alexander</b:First>
            <b:Middle>V.</b:Middle>
            <b:Last>Alekseyenko</b:Last>
          </b:Person>
        </b:NameList>
      </b:Author>
      <b:Author>
        <b:NameList>
          <b:Person>
            <b:First>Alexei</b:First>
            <b:Middle>J.</b:Middle>
            <b:Last>Drummond</b:Last>
          </b:Person>
        </b:NameList>
      </b:Author>
      <b:Author>
        <b:NameList>
          <b:Person>
            <b:First>Russell</b:First>
            <b:Middle>D.</b:Middle>
            <b:Last>Gray</b:Last>
          </b:Person>
        </b:NameList>
      </b:Author>
      <b:Author>
        <b:NameList>
          <b:Person>
            <b:First>Marc</b:First>
            <b:Middle>A.</b:Middle>
            <b:Last>Suchard</b:Last>
          </b:Person>
        </b:NameList>
      </b:Author>
      <b:Author>
        <b:NameList>
          <b:Person>
            <b:First>Quentin</b:First>
            <b:Middle>D.</b:Middle>
            <b:Last>Atkinson</b:Last>
          </b:Person>
        </b:NameList>
      </b:Author>
    </b:Author>
    <b:JournalName>Science</b:JournalName>
    <b:Year>2012</b:Year>
    <b:Pages>957-960</b:Pages>
  </b:Source>
  <b:Source>
    <b:Tag>Bowern2012</b:Tag>
    <b:RefOrder>8</b:RefOrder>
    <b:SourceType>ArticleInAPeriodical</b:SourceType>
    <b:Guid>a9f4ab68-e73f-4e0c-9259-a27671329a55</b:Guid>
    <b:Title>Computational phylogenetics and the internal structure of Pama-Nyungan</b:Title>
    <b:DOI>10.1353/lan.2012.0081</b:DOI>
    <b:Volume>88</b:Volume>
    <b:NumberVolumes>4</b:NumberVolumes>
    <b:Author>
      <b:Author>
        <b:NameList>
          <b:Person>
            <b:First>Claire</b:First>
            <b:Last>Bowern</b:Last>
          </b:Person>
        </b:NameList>
      </b:Author>
      <b:Author>
        <b:NameList>
          <b:Person>
            <b:First>Quentin</b:First>
            <b:Middle>D.</b:Middle>
            <b:Last>Atkinson</b:Last>
          </b:Person>
        </b:NameList>
      </b:Author>
    </b:Author>
    <b:JournalName>Language</b:JournalName>
    <b:Year>2012</b:Year>
    <b:Pages>817-845</b:Pages>
  </b:Source>
  <b:Source>
    <b:Tag>Chang2015</b:Tag>
    <b:RefOrder>9</b:RefOrder>
    <b:SourceType>ArticleInAPeriodical</b:SourceType>
    <b:Guid>6078c1d3-bcb1-4b95-81c8-870d89cda832</b:Guid>
    <b:Title>Ancestry-constrained phylogenetic analysis supports the Indo-European steppe hypothesis</b:Title>
    <b:DOI>10.1353/lan.2015.0005</b:DOI>
    <b:Volume>91</b:Volume>
    <b:NumberVolumes>1</b:NumberVolumes>
    <b:Author>
      <b:Author>
        <b:NameList>
          <b:Person>
            <b:First>Will</b:First>
            <b:Last>Chang</b:Last>
          </b:Person>
        </b:NameList>
      </b:Author>
      <b:Author>
        <b:NameList>
          <b:Person>
            <b:First>Chundra</b:First>
            <b:Last>Cathcart</b:Last>
          </b:Person>
        </b:NameList>
      </b:Author>
      <b:Author>
        <b:NameList>
          <b:Person>
            <b:First>David</b:First>
            <b:Last>Hall</b:Last>
          </b:Person>
        </b:NameList>
      </b:Author>
      <b:Author>
        <b:NameList>
          <b:Person>
            <b:First>Andrew</b:First>
            <b:Middle>J.</b:Middle>
            <b:Last>Garrett</b:Last>
          </b:Person>
        </b:NameList>
      </b:Author>
    </b:Author>
    <b:JournalName>Language</b:JournalName>
    <b:Year>2015</b:Year>
    <b:Pages>194-244</b:Pages>
  </b:Source>
  <b:Source>
    <b:Tag>Dunn2017</b:Tag>
    <b:RefOrder>10</b:RefOrder>
    <b:SourceType>ArticleInAPeriodical</b:SourceType>
    <b:Guid>f71960df-29a6-470d-9bfd-e789d0b39415</b:Guid>
    <b:Title>Dative sickness: A phylogenetic analysis of argument structure evolution in Germanic</b:Title>
    <b:DOI>10.1353/lan.2017.0012</b:DOI>
    <b:Volume>93</b:Volume>
    <b:NumberVolumes>1</b:NumberVolumes>
    <b:Author>
      <b:Author>
        <b:NameList>
          <b:Person>
            <b:First>Tonya</b:First>
            <b:Middle>Dewey</b:Middle>
            <b:Last>Kim</b:Last>
          </b:Person>
        </b:NameList>
      </b:Author>
      <b:Author>
        <b:NameList>
          <b:Person>
            <b:First>Carlee</b:First>
            <b:Last>Arnett</b:Last>
          </b:Person>
        </b:NameList>
      </b:Author>
      <b:Author>
        <b:NameList>
          <b:Person>
            <b:First>Thórhallur</b:First>
            <b:Last>Eythórsson</b:Last>
          </b:Person>
        </b:NameList>
      </b:Author>
      <b:Author>
        <b:NameList>
          <b:Person>
            <b:First>Jóhanna</b:First>
            <b:Last>Barðdal</b:Last>
          </b:Person>
        </b:NameList>
      </b:Author>
      <b:Author>
        <b:NameList>
          <b:Person>
            <b:First>Michael</b:First>
            <b:Last>Dunn</b:Last>
          </b:Person>
        </b:NameList>
      </b:Author>
    </b:Author>
    <b:JournalName>Language</b:JournalName>
    <b:Year>2017</b:Year>
    <b:Pages>e1–e22</b:Pages>
  </b:Source>
  <b:Source>
    <b:Tag>Sagart2019</b:Tag>
    <b:RefOrder>11</b:RefOrder>
    <b:SourceType>ArticleInAPeriodical</b:SourceType>
    <b:Guid>9370e2a8-ea2c-4458-afe8-873f072de4e8</b:Guid>
    <b:Title>Dated language phylogenies shed light on the ancestry of Sino-Tibetan</b:Title>
    <b:DOI>10.1073/pnas.1817972116</b:DOI>
    <b:Volume>116</b:Volume>
    <b:NumberVolumes>21</b:NumberVolumes>
    <b:Author>
      <b:Author>
        <b:NameList>
          <b:Person>
            <b:First>Laurent</b:First>
            <b:Last>Sagart</b:Last>
          </b:Person>
        </b:NameList>
      </b:Author>
      <b:Author>
        <b:NameList>
          <b:Person>
            <b:First>Guillaume</b:First>
            <b:Last>Jacques</b:Last>
          </b:Person>
        </b:NameList>
      </b:Author>
      <b:Author>
        <b:NameList>
          <b:Person>
            <b:First>Yunfan</b:First>
            <b:Last>Lai</b:Last>
          </b:Person>
        </b:NameList>
      </b:Author>
      <b:Author>
        <b:NameList>
          <b:Person>
            <b:First>Robin</b:First>
            <b:Middle>J.</b:Middle>
            <b:Last>Ryder</b:Last>
          </b:Person>
        </b:NameList>
      </b:Author>
      <b:Author>
        <b:NameList>
          <b:Person>
            <b:First>Valentin</b:First>
            <b:Last>Thouzeau</b:Last>
          </b:Person>
        </b:NameList>
      </b:Author>
      <b:Author>
        <b:NameList>
          <b:Person>
            <b:First>Simon</b:First>
            <b:Middle>J.</b:Middle>
            <b:Last>Greenhill</b:Last>
          </b:Person>
        </b:NameList>
      </b:Author>
      <b:Author>
        <b:NameList>
          <b:Person>
            <b:First>Johann-Mattis</b:First>
            <b:Last>List</b:Last>
          </b:Person>
        </b:NameList>
      </b:Author>
    </b:Author>
    <b:JournalName>Proceedings of the National Academy of Sciences, U.S.A.</b:JournalName>
    <b:Year>2019</b:Year>
    <b:Pages>10317-10322</b:Pages>
  </b:Source>
  <b:Source>
    <b:Tag>Carling2021</b:Tag>
    <b:RefOrder>12</b:RefOrder>
    <b:SourceType>ArticleInAPeriodical</b:SourceType>
    <b:Guid>ecc2ad68-6ee3-4339-8dae-137181d291b8</b:Guid>
    <b:Title>Reconstructing the evolution of Indo-European grammar</b:Title>
    <b:DOI>10.1353/lan.0.0253</b:DOI>
    <b:Volume>97</b:Volume>
    <b:NumberVolumes>3</b:NumberVolumes>
    <b:Author>
      <b:Author>
        <b:NameList>
          <b:Person>
            <b:First>Gerd</b:First>
            <b:Last>Carling</b:Last>
          </b:Person>
        </b:NameList>
      </b:Author>
      <b:Author>
        <b:NameList>
          <b:Person>
            <b:First>Chundra</b:First>
            <b:Last>Cathcart</b:Last>
          </b:Person>
        </b:NameList>
      </b:Author>
    </b:Author>
    <b:JournalName>Language</b:JournalName>
    <b:Year>2021</b:Year>
    <b:Pages>561-598</b:Pages>
  </b:Source>
  <b:Source>
    <b:Tag>Auderset2023</b:Tag>
    <b:RefOrder>13</b:RefOrder>
    <b:SourceType>ArticleInAPeriodical</b:SourceType>
    <b:Guid>6af2bf90-9656-4de0-8bfb-7d99c8a9e1cf</b:Guid>
    <b:Title>Subgrouping in a ‘dialect continuum’: A Bayesian phylogenetic analysis of the Mixtecan language family</b:Title>
    <b:DOI>10.1093/jole/lzad004</b:DOI>
    <b:Volume>8</b:Volume>
    <b:NumberVolumes>1</b:NumberVolumes>
    <b:Author>
      <b:Author>
        <b:NameList>
          <b:Person>
            <b:First>Sandra</b:First>
            <b:Last>Auderset</b:Last>
          </b:Person>
        </b:NameList>
      </b:Author>
      <b:Author>
        <b:NameList>
          <b:Person>
            <b:First>Simon</b:First>
            <b:Middle>J.</b:Middle>
            <b:Last>Greenhill</b:Last>
          </b:Person>
        </b:NameList>
      </b:Author>
      <b:Author>
        <b:NameList>
          <b:Person>
            <b:First>Christian</b:First>
            <b:Middle>T.</b:Middle>
            <b:Last>DiCanio</b:Last>
          </b:Person>
        </b:NameList>
      </b:Author>
      <b:Author>
        <b:NameList>
          <b:Person>
            <b:First>Eric</b:First>
            <b:Middle>W.</b:Middle>
            <b:Last>Campbell</b:Last>
          </b:Person>
        </b:NameList>
      </b:Author>
    </b:Author>
    <b:JournalName>Journal of Language Evolution</b:JournalName>
    <b:Year>2023</b:Year>
    <b:Pages>33-63</b:Pages>
  </b:Source>
  <b:Source>
    <b:Tag>Heggarty2023</b:Tag>
    <b:RefOrder>14</b:RefOrder>
    <b:SourceType>ArticleInAPeriodical</b:SourceType>
    <b:Guid>b5f8b9a4-13dc-4f5e-8d4c-49855c5745d5</b:Guid>
    <b:Title>Language trees with sampled ancestors support a hybrid model for the origin of Indo-European languages</b:Title>
    <b:DOI>10.1126/science.abg0818</b:DOI>
    <b:Volume>381</b:Volume>
    <b:NumberVolumes>6656</b:NumberVolumes>
    <b:Author>
      <b:Author>
        <b:NameList>
          <b:Person>
            <b:First>Paul</b:First>
            <b:Last>Heggarty</b:Last>
          </b:Person>
        </b:NameList>
      </b:Author>
      <b:Author>
        <b:NameList>
          <b:Person>
            <b:First>Cormac</b:First>
            <b:Last>Anderson</b:Last>
          </b:Person>
        </b:NameList>
      </b:Author>
      <b:Author>
        <b:NameList>
          <b:Person>
            <b:First>Matthew</b:First>
            <b:Last>Scarborough</b:Last>
          </b:Person>
        </b:NameList>
      </b:Author>
      <b:Author>
        <b:NameList>
          <b:Person>
            <b:First>Benedict</b:First>
            <b:Last>King</b:Last>
          </b:Person>
        </b:NameList>
      </b:Author>
      <b:Author>
        <b:NameList>
          <b:Person>
            <b:First>Remco</b:First>
            <b:Last>Bouckaert</b:Last>
          </b:Person>
        </b:NameList>
      </b:Author>
      <b:Author>
        <b:NameList>
          <b:Person>
            <b:First>Lechosław</b:First>
            <b:Last>Jocz</b:Last>
          </b:Person>
        </b:NameList>
      </b:Author>
      <b:Author>
        <b:NameList>
          <b:Person>
            <b:First>Martin</b:First>
            <b:Last>Kümmel</b:Last>
          </b:Person>
        </b:NameList>
      </b:Author>
      <b:Author>
        <b:NameList>
          <b:Person>
            <b:First>Thomas</b:First>
            <b:Last>Jügel</b:Last>
          </b:Person>
        </b:NameList>
      </b:Author>
      <b:Author>
        <b:NameList>
          <b:Person>
            <b:First>Britta</b:First>
            <b:Last>Irslinger</b:Last>
          </b:Person>
        </b:NameList>
      </b:Author>
      <b:Author>
        <b:NameList>
          <b:Person>
            <b:First>Roland</b:First>
            <b:Last>Pooth</b:Last>
          </b:Person>
        </b:NameList>
      </b:Author>
      <b:Author>
        <b:NameList>
          <b:Person>
            <b:First>Henrik</b:First>
            <b:Last>Liljegren</b:Last>
          </b:Person>
        </b:NameList>
      </b:Author>
      <b:Author>
        <b:NameList>
          <b:Person>
            <b:First>Richard</b:First>
            <b:Middle>F.</b:Middle>
            <b:Last>Strand</b:Last>
          </b:Person>
        </b:NameList>
      </b:Author>
      <b:Author>
        <b:NameList>
          <b:Person>
            <b:First>Geoffrey</b:First>
            <b:Last>Haig</b:Last>
          </b:Person>
        </b:NameList>
      </b:Author>
      <b:Author>
        <b:NameList>
          <b:Person>
            <b:First>Martin</b:First>
            <b:Last>Macák</b:Last>
          </b:Person>
        </b:NameList>
      </b:Author>
      <b:Author>
        <b:NameList>
          <b:Person>
            <b:First>Ronald</b:First>
            <b:Middle>I.</b:Middle>
            <b:Last>Kim</b:Last>
          </b:Person>
        </b:NameList>
      </b:Author>
      <b:Author>
        <b:NameList>
          <b:Person>
            <b:First>Erik</b:First>
            <b:Last>Anonby</b:Last>
          </b:Person>
        </b:NameList>
      </b:Author>
      <b:Author>
        <b:NameList>
          <b:Person>
            <b:First>Tijmen</b:First>
            <b:Last>Pronk</b:Last>
          </b:Person>
        </b:NameList>
      </b:Author>
      <b:Author>
        <b:NameList>
          <b:Person>
            <b:First>Oleg</b:First>
            <b:Last>Belyaev</b:Last>
          </b:Person>
        </b:NameList>
      </b:Author>
      <b:Author>
        <b:NameList>
          <b:Person>
            <b:First>Tonya</b:First>
            <b:Middle>Kim</b:Middle>
            <b:Last>Dewey-Findell</b:Last>
          </b:Person>
        </b:NameList>
      </b:Author>
      <b:Author>
        <b:NameList>
          <b:Person>
            <b:First>Matthew</b:First>
            <b:Last>Boutilier</b:Last>
          </b:Person>
        </b:NameList>
      </b:Author>
      <b:Author>
        <b:NameList>
          <b:Person>
            <b:First>Cassandra</b:First>
            <b:Last>Freiberg</b:Last>
          </b:Person>
        </b:NameList>
      </b:Author>
      <b:Author>
        <b:NameList>
          <b:Person>
            <b:First>Robert</b:First>
            <b:Last>Tegethoff</b:Last>
          </b:Person>
        </b:NameList>
      </b:Author>
      <b:Author>
        <b:NameList>
          <b:Person>
            <b:First>Matilde</b:First>
            <b:Last>Serangeli</b:Last>
          </b:Person>
        </b:NameList>
      </b:Author>
      <b:Author>
        <b:NameList>
          <b:Person>
            <b:First>Nikos</b:First>
            <b:Last>Liosis</b:Last>
          </b:Person>
        </b:NameList>
      </b:Author>
      <b:Author>
        <b:NameList>
          <b:Person>
            <b:First>Krzysztof</b:First>
            <b:Last>Stronski</b:Last>
          </b:Person>
        </b:NameList>
      </b:Author>
      <b:Author>
        <b:NameList>
          <b:Person>
            <b:First>Kim</b:First>
            <b:Last>Schulte</b:Last>
          </b:Person>
        </b:NameList>
      </b:Author>
      <b:Author>
        <b:NameList>
          <b:Person>
            <b:First>Ganesh</b:First>
            <b:Middle>Kumar</b:Middle>
            <b:Last>Gupta</b:Last>
          </b:Person>
        </b:NameList>
      </b:Author>
      <b:Author>
        <b:NameList>
          <b:Person>
            <b:First>Wolfgang</b:First>
            <b:Last>Haak</b:Last>
          </b:Person>
        </b:NameList>
      </b:Author>
      <b:Author>
        <b:NameList>
          <b:Person>
            <b:First>Johannes</b:First>
            <b:Last>Krause</b:Last>
          </b:Person>
        </b:NameList>
      </b:Author>
      <b:Author>
        <b:NameList>
          <b:Person>
            <b:First>Quentin</b:First>
            <b:Middle>D.</b:Middle>
            <b:Last>Atkinson</b:Last>
          </b:Person>
        </b:NameList>
      </b:Author>
      <b:Author>
        <b:NameList>
          <b:Person>
            <b:First>Simon</b:First>
            <b:Middle>J.</b:Middle>
            <b:Last>Greenhill</b:Last>
          </b:Person>
        </b:NameList>
      </b:Author>
      <b:Author>
        <b:NameList>
          <b:Person>
            <b:First>Denise</b:First>
            <b:Last>Kühnert</b:Last>
          </b:Person>
        </b:NameList>
      </b:Author>
      <b:Author>
        <b:NameList>
          <b:Person>
            <b:First>Russell</b:First>
            <b:Middle>D.</b:Middle>
            <b:Last>Gray</b:Last>
          </b:Person>
        </b:NameList>
      </b:Author>
    </b:Author>
    <b:JournalName>Science</b:JournalName>
    <b:Year>2023</b:Year>
    <b:Pages>1-12</b:Pages>
  </b:Source>
  <b:Source>
    <b:Tag>Gray2000</b:Tag>
    <b:RefOrder>15</b:RefOrder>
    <b:SourceType>ArticleInAPeriodical</b:SourceType>
    <b:Guid>dc368171-261e-4525-8976-5c5e5de98368</b:Guid>
    <b:Title>Language trees support the express-train sequence of Austronesian expansion</b:Title>
    <b:DOI>10.1038/35016575</b:DOI>
    <b:Volume>405</b:Volume>
    <b:NumberVolumes>6790</b:NumberVolumes>
    <b:Author>
      <b:Author>
        <b:NameList>
          <b:Person>
            <b:First>Russell</b:First>
            <b:Middle>D.</b:Middle>
            <b:Last>Gray</b:Last>
          </b:Person>
        </b:NameList>
      </b:Author>
      <b:Author>
        <b:NameList>
          <b:Person>
            <b:First>Fiona</b:First>
            <b:Last>Jordan</b:Last>
          </b:Person>
        </b:NameList>
      </b:Author>
    </b:Author>
    <b:JournalName>Nature</b:JournalName>
    <b:Year>2000</b:Year>
    <b:Pages>1052-1055</b:Pages>
  </b:Source>
  <b:Source>
    <b:Tag>Holden2002</b:Tag>
    <b:RefOrder>16</b:RefOrder>
    <b:SourceType>ArticleInAPeriodical</b:SourceType>
    <b:Guid>28fc2b13-eae8-48b2-9851-a0f74763e4a1</b:Guid>
    <b:Title>Bantu language trees reflect the spread of farming across sub-Saharan Africa: A maximum-parsimony analysis</b:Title>
    <b:DOI>10.1098/rspb.2002.1955</b:DOI>
    <b:Volume>269</b:Volume>
    <b:Author>
      <b:Author>
        <b:NameList>
          <b:Person>
            <b:First>Clare</b:First>
            <b:Middle>Janaki</b:Middle>
            <b:Last>Holden</b:Last>
          </b:Person>
        </b:NameList>
      </b:Author>
    </b:Author>
    <b:JournalName>Proceedings of the Royal Society B</b:JournalName>
    <b:Year>2002</b:Year>
    <b:Pages>793-799</b:Pages>
  </b:Source>
  <b:Source>
    <b:Tag>Ringe2002</b:Tag>
    <b:RefOrder>17</b:RefOrder>
    <b:SourceType>ArticleInAPeriodical</b:SourceType>
    <b:Guid>ea2b92dc-a0d4-483f-9785-a8948788a8c2</b:Guid>
    <b:Title>Indo-European and computational cladistics</b:Title>
    <b:DOI>10.1111/1467-968X.00091</b:DOI>
    <b:Volume>100</b:Volume>
    <b:NumberVolumes>1</b:NumberVolumes>
    <b:Author>
      <b:Author>
        <b:NameList>
          <b:Person>
            <b:First>Donald</b:First>
            <b:Last>Ringe</b:Last>
          </b:Person>
        </b:NameList>
      </b:Author>
      <b:Author>
        <b:NameList>
          <b:Person>
            <b:First>Tandy</b:First>
            <b:Last>Warnow</b:Last>
          </b:Person>
        </b:NameList>
      </b:Author>
      <b:Author>
        <b:NameList>
          <b:Person>
            <b:First>Ann</b:First>
            <b:Last>Taylor</b:Last>
          </b:Person>
        </b:NameList>
      </b:Author>
    </b:Author>
    <b:JournalName>Transactions of the Philological Society</b:JournalName>
    <b:Year>2002</b:Year>
    <b:Pages>59-129</b:Pages>
  </b:Source>
  <b:Source>
    <b:Tag>Gray2003</b:Tag>
    <b:RefOrder>18</b:RefOrder>
    <b:SourceType>ArticleInAPeriodical</b:SourceType>
    <b:Guid>131982d0-d64c-49fc-8054-8f1419e5b53a</b:Guid>
    <b:Title>Language-tree divergence times support the Anatolian theory of Indo-European origin</b:Title>
    <b:DOI>10.1038/nature02029</b:DOI>
    <b:Volume>426</b:Volume>
    <b:Author>
      <b:Author>
        <b:NameList>
          <b:Person>
            <b:First>Russell</b:First>
            <b:Middle>D.</b:Middle>
            <b:Last>Gray</b:Last>
          </b:Person>
        </b:NameList>
      </b:Author>
      <b:Author>
        <b:NameList>
          <b:Person>
            <b:First>Quentin</b:First>
            <b:Middle>D.</b:Middle>
            <b:Last>Atkinson</b:Last>
          </b:Person>
        </b:NameList>
      </b:Author>
    </b:Author>
    <b:JournalName>Nature</b:JournalName>
    <b:Year>2003</b:Year>
    <b:Pages>435-439</b:Pages>
  </b:Source>
  <b:Source>
    <b:Tag>Tadmor2010</b:Tag>
    <b:RefOrder>19</b:RefOrder>
    <b:SourceType>ArticleInAPeriodical</b:SourceType>
    <b:Guid>1efbe8ed-4d76-4876-8487-ae8e0b9e7b53</b:Guid>
    <b:Title>Borrowability and the notion of basic vocabulary</b:Title>
    <b:DOI>10.1075/dia.27.2.04tad</b:DOI>
    <b:Volume>27</b:Volume>
    <b:NumberVolumes>2</b:NumberVolumes>
    <b:Author>
      <b:Author>
        <b:NameList>
          <b:Person>
            <b:First>Uri</b:First>
            <b:Last>Tadmor</b:Last>
          </b:Person>
        </b:NameList>
      </b:Author>
      <b:Author>
        <b:NameList>
          <b:Person>
            <b:First>Martin</b:First>
            <b:Last>Haspelmath</b:Last>
          </b:Person>
        </b:NameList>
      </b:Author>
      <b:Author>
        <b:NameList>
          <b:Person>
            <b:First>Bradley</b:First>
            <b:Last>Taylor</b:Last>
          </b:Person>
        </b:NameList>
      </b:Author>
    </b:Author>
    <b:JournalName>Diachronica</b:JournalName>
    <b:Year>2010</b:Year>
    <b:Pages>226-246</b:Pages>
  </b:Source>
  <b:Source>
    <b:Tag>Lewis2001</b:Tag>
    <b:RefOrder>20</b:RefOrder>
    <b:SourceType>ArticleInAPeriodical</b:SourceType>
    <b:Guid>d25a645e-79e1-4aec-879a-38cc7721c1ec</b:Guid>
    <b:Title>A likelihood approach to estimating phylogeny from discrete morphological character data</b:Title>
    <b:DOI>10.1080/106351501753462876</b:DOI>
    <b:Volume>50</b:Volume>
    <b:Author>
      <b:Author>
        <b:NameList>
          <b:Person>
            <b:First>Paul</b:First>
            <b:Middle>O.</b:Middle>
            <b:Last>Lewis</b:Last>
          </b:Person>
        </b:NameList>
      </b:Author>
    </b:Author>
    <b:JournalName>Systematic Biology</b:JournalName>
    <b:Year>2001</b:Year>
    <b:Pages>913-925</b:Pages>
  </b:Source>
  <b:Source>
    <b:Tag>BouchardCote2013</b:Tag>
    <b:RefOrder>21</b:RefOrder>
    <b:SourceType>ArticleInAPeriodical</b:SourceType>
    <b:Guid>b43f83cc-0faa-4808-b71c-68d831ec6b71</b:Guid>
    <b:Title>Automated reconstruction of ancient languages using probabilistic models of sound change</b:Title>
    <b:DOI>10.1073/pnas.1204678110</b:DOI>
    <b:Volume>110</b:Volume>
    <b:Author>
      <b:Author>
        <b:NameList>
          <b:Person>
            <b:First>Alexandre</b:First>
            <b:Last>Bouchard-Côté</b:Last>
          </b:Person>
        </b:NameList>
      </b:Author>
      <b:Author>
        <b:NameList>
          <b:Person>
            <b:First>David</b:First>
            <b:Last>Hall</b:Last>
          </b:Person>
        </b:NameList>
      </b:Author>
      <b:Author>
        <b:NameList>
          <b:Person>
            <b:First>Thomas</b:First>
            <b:Middle>L.</b:Middle>
            <b:Last>Griffiths</b:Last>
          </b:Person>
        </b:NameList>
      </b:Author>
      <b:Author>
        <b:NameList>
          <b:Person>
            <b:First>Dan</b:First>
            <b:Last>Klein</b:Last>
          </b:Person>
        </b:NameList>
      </b:Author>
    </b:Author>
    <b:JournalName>Proceedings of the National Academy of Sciences, U.S.A.</b:JournalName>
    <b:Year>2013</b:Year>
    <b:Pages>4224-4229</b:Pages>
  </b:Source>
  <b:Source>
    <b:Tag>Abner2024</b:Tag>
    <b:RefOrder>22</b:RefOrder>
    <b:SourceType>ArticleInAPeriodical</b:SourceType>
    <b:Guid>6d8261ef-5254-4359-a661-c471d949d254</b:Guid>
    <b:Title>Computational phylogenetics reveal histories of sign languages</b:Title>
    <b:DOI>10.1126/science.add7766</b:DOI>
    <b:Volume>383</b:Volume>
    <b:NumberVolumes>6682</b:NumberVolumes>
    <b:Author>
      <b:Author>
        <b:NameList>
          <b:Person>
            <b:First>Natasha</b:First>
            <b:Last>Abner</b:Last>
          </b:Person>
        </b:NameList>
      </b:Author>
      <b:Author>
        <b:NameList>
          <b:Person>
            <b:First>Clarté</b:First>
            <b:Last>Grégoire</b:Last>
          </b:Person>
        </b:NameList>
      </b:Author>
      <b:Author>
        <b:NameList>
          <b:Person>
            <b:First>Carlo</b:First>
            <b:Last>Geraci</b:Last>
          </b:Person>
        </b:NameList>
      </b:Author>
      <b:Author>
        <b:NameList>
          <b:Person>
            <b:First>Robin</b:First>
            <b:Middle>J.</b:Middle>
            <b:Last>Ryder</b:Last>
          </b:Person>
        </b:NameList>
      </b:Author>
      <b:Author>
        <b:NameList>
          <b:Person>
            <b:First>Justine</b:First>
            <b:Last>Mertz</b:Last>
          </b:Person>
        </b:NameList>
      </b:Author>
      <b:Author>
        <b:NameList>
          <b:Person>
            <b:First>Anah</b:First>
            <b:Last>Salgat</b:Last>
          </b:Person>
        </b:NameList>
      </b:Author>
      <b:Author>
        <b:NameList>
          <b:Person>
            <b:First>Shi</b:First>
            <b:Last>Yu</b:Last>
          </b:Person>
        </b:NameList>
      </b:Author>
    </b:Author>
    <b:JournalName>Science</b:JournalName>
    <b:Year>2024</b:Year>
    <b:Pages>519-523</b:Pages>
  </b:Source>
  <b:Source>
    <b:Tag>Thorne1991</b:Tag>
    <b:RefOrder>23</b:RefOrder>
    <b:SourceType>ArticleInAPeriodical</b:SourceType>
    <b:Guid>324b9299-49a9-4545-9aa2-a77a276e752d</b:Guid>
    <b:Title>An evolutionary model for maximum likelihood alignment of DNA sequences</b:Title>
    <b:DOI>10.1007/BF02193625</b:DOI>
    <b:Volume>33</b:Volume>
    <b:Author>
      <b:Author>
        <b:NameList>
          <b:Person>
            <b:First>Jeffrey</b:First>
            <b:Middle>L.</b:Middle>
            <b:Last>Thorne</b:Last>
          </b:Person>
        </b:NameList>
      </b:Author>
      <b:Author>
        <b:NameList>
          <b:Person>
            <b:First>Hirohisa</b:First>
            <b:Last>Kishino</b:Last>
          </b:Person>
        </b:NameList>
      </b:Author>
      <b:Author>
        <b:NameList>
          <b:Person>
            <b:First>Joseph</b:First>
            <b:Last>Felsenstein</b:Last>
          </b:Person>
        </b:NameList>
      </b:Author>
    </b:Author>
    <b:JournalName>Journal of Molecular Evolution</b:JournalName>
    <b:Year>1991</b:Year>
    <b:Pages>114-124</b:Pages>
  </b:Source>
  <b:Source>
    <b:Tag>Wichmann2009</b:Tag>
    <b:RefOrder>24</b:RefOrder>
    <b:SourceType>Book</b:SourceType>
    <b:Guid>0bac75bd-7741-458e-ae0f-b10e00085622</b:Guid>
    <b:Title>Temporal stability of linguistic typological features</b:Title>
    <b:Author>
      <b:Author>
        <b:NameList>
          <b:Person>
            <b:First>Søren</b:First>
            <b:Last>Wichman</b:Last>
          </b:Person>
        </b:NameList>
      </b:Author>
    </b:Author>
    <b:Publisher>LINCOM</b:Publisher>
    <b:Address>Munich</b:Address>
    <b:Year>2009</b:Year>
  </b:Source>
  <b:Source>
    <b:Tag>Moran2018</b:Tag>
    <b:RefOrder>25</b:RefOrder>
    <b:SourceType>ConferenceProceedings</b:SourceType>
    <b:Guid>6d6ce635-8ca1-4469-a37c-2aba99b9e0f3</b:Guid>
    <b:Title>Differential rates of change in consonant and vowel systems</b:Title>
    <b:BookTitle>Proceedings of the 12th International Conference on the Evolution of Language (EvoLang12)</b:BookTitle>
    <b:Author>
      <b:Author>
        <b:NameList>
          <b:Person>
            <b:First>Steven</b:First>
            <b:Last>Moran</b:Last>
          </b:Person>
        </b:NameList>
      </b:Author>
      <b:Author>
        <b:NameList>
          <b:Person>
            <b:First>Annemarie</b:First>
            <b:Last>Verkerk</b:Last>
          </b:Person>
        </b:NameList>
      </b:Author>
    </b:Author>
    <b:Publisher>Wydawnictwo Naukowe Uniwersytetu Mikołaja Kopernika</b:Publisher>
    <b:Address>Toruń</b:Address>
    <b:Year>2018</b:Year>
    <b:Pages>322-325</b:Pages>
  </b:Source>
  <b:Source>
    <b:Tag>Moran2021</b:Tag>
    <b:RefOrder>26</b:RefOrder>
    <b:SourceType>ArticleInAPeriodical</b:SourceType>
    <b:Guid>3392ae0d-3778-4c41-8fe8-090af8e5d867</b:Guid>
    <b:Title>Investigating diachronic trends in phonological inventories using BDPROTO</b:Title>
    <b:DOI>10.1007/s10579-019-09483-3</b:DOI>
    <b:Volume>55</b:Volume>
    <b:NumberVolumes>1</b:NumberVolumes>
    <b:Author>
      <b:Author>
        <b:NameList>
          <b:Person>
            <b:First>Steven</b:First>
            <b:Last>Moran</b:Last>
          </b:Person>
        </b:NameList>
      </b:Author>
      <b:Author>
        <b:NameList>
          <b:Person>
            <b:First>Eitan</b:First>
            <b:Last>Grossman</b:Last>
          </b:Person>
        </b:NameList>
      </b:Author>
      <b:Author>
        <b:NameList>
          <b:Person>
            <b:First>Annemarie</b:First>
            <b:Last>Verkerk</b:Last>
          </b:Person>
        </b:NameList>
      </b:Author>
    </b:Author>
    <b:JournalName>Language Resources and Evaluation</b:JournalName>
    <b:Year>2021</b:Year>
    <b:Pages>79-103</b:Pages>
  </b:Source>
  <b:Source>
    <b:Tag>IPA1999</b:Tag>
    <b:RefOrder>28</b:RefOrder>
    <b:SourceType>Book</b:SourceType>
    <b:Guid>9e1f0dad-24f5-4030-831a-fb73d660c2b7</b:Guid>
    <b:Title>Handbook of the International Phonetic Association: A guide to the use of the International Phonetic Alphabet</b:Title>
    <b:DOI>10.1017/9780511807954</b:DOI>
    <b:Author>
      <b:Author>
        <b:NameList>
          <b:Person>
            <b:Last>International Phonetic Association</b:Last>
          </b:Person>
        </b:NameList>
      </b:Author>
    </b:Author>
    <b:Publisher>Cambridge University Press</b:Publisher>
    <b:Address>Cambridge</b:Address>
    <b:Year>1999</b:Year>
  </b:Source>
  <b:Source>
    <b:Tag>Stefenelli1992</b:Tag>
    <b:RefOrder>29</b:RefOrder>
    <b:SourceType>Book</b:SourceType>
    <b:Guid>b4fb845d-509b-4d55-8104-eea5b45ced3d</b:Guid>
    <b:Title>Das Schicksal des lateinischen Wortschatzes in den romanischen Sprachen</b:Title>
    <b:Author>
      <b:Author>
        <b:NameList>
          <b:Person>
            <b:First>Arnulf</b:First>
            <b:Last>Stefenelli</b:Last>
          </b:Person>
        </b:NameList>
      </b:Author>
    </b:Author>
    <b:Publisher>Rothe</b:Publisher>
    <b:Address>Passau</b:Address>
    <b:Year>1992</b:Year>
  </b:Source>
  <b:Source>
    <b:Tag>Dworkin2016b</b:Tag>
    <b:RefOrder>30</b:RefOrder>
    <b:SourceType>JournalArticle</b:SourceType>
    <b:Guid>801fc071-4630-4950-a6ed-ae6fa7fecd40</b:Guid>
    <b:Title>Lexical stability and shared lexicon</b:Title>
    <b:BookTitle>The Oxford guide to the Romance languages</b:BookTitle>
    <b:DOI>10.1093/acprof:oso/9780199677108.003.0032</b:DOI>
    <b:Author>
      <b:Author>
        <b:NameList>
          <b:Person>
            <b:First>Steven</b:First>
            <b:Middle>N.</b:Middle>
            <b:Last>Dworkin</b:Last>
          </b:Person>
        </b:NameList>
      </b:Author>
      <b:Editor>
        <b:NameList>
          <b:Person>
            <b:First>Adam</b:First>
            <b:Last>Ledgeway</b:Last>
          </b:Person>
        </b:NameList>
      </b:Editor>
      <b:Editor>
        <b:NameList>
          <b:Person>
            <b:First>Martin</b:First>
            <b:Last>Maiden</b:Last>
          </b:Person>
        </b:NameList>
      </b:Editor>
    </b:Author>
    <b:Publisher>Oxford University Press</b:Publisher>
    <b:Address>Oxford</b:Address>
    <b:Year>2016</b:Year>
    <b:Pages>577-587</b:Pages>
  </b:Source>
  <b:Source>
    <b:Tag>Carling2019</b:Tag>
    <b:RefOrder>31</b:RefOrder>
    <b:SourceType>ArticleInAPeriodical</b:SourceType>
    <b:Guid>42f9dea8-c581-4b9b-bad8-02562de2f620</b:Guid>
    <b:Title>The causality of borrowing: Lexical loans in Eurasian languages</b:Title>
    <b:DOI>10.1371/journal.pone.0223588</b:DOI>
    <b:Volume>14</b:Volume>
    <b:NumberVolumes>10</b:NumberVolumes>
    <b:Author>
      <b:Author>
        <b:NameList>
          <b:Person>
            <b:First>Gerd</b:First>
            <b:Last>Carling</b:Last>
          </b:Person>
        </b:NameList>
      </b:Author>
      <b:Author>
        <b:NameList>
          <b:Person>
            <b:First>Sandra</b:First>
            <b:Last>Cronhamm</b:Last>
          </b:Person>
        </b:NameList>
      </b:Author>
      <b:Author>
        <b:NameList>
          <b:Person>
            <b:First>Robert</b:First>
            <b:Last>Farren</b:Last>
          </b:Person>
        </b:NameList>
      </b:Author>
      <b:Author>
        <b:NameList>
          <b:Person>
            <b:First>Aliyev</b:First>
            <b:Last>Elnur</b:Last>
          </b:Person>
        </b:NameList>
      </b:Author>
    </b:Author>
    <b:JournalName>PLoS ONE</b:JournalName>
    <b:Year>2019</b:Year>
    <b:Pages>1-33</b:Pages>
  </b:Source>
  <b:Source>
    <b:Tag>Derom</b:Tag>
    <b:RefOrder>32</b:RefOrder>
    <b:SourceType>InternetSite</b:SourceType>
    <b:Guid>2d4214de-1d38-4785-8c23-92905901c92b</b:Guid>
    <b:Title>Dictionnaire Étymologique Roman: Les mots d’origine latine dans les langues romanes</b:Title>
    <b:Author/>
    <b:URL>http://www.atilf.fr/DERom</b:URL>
    <b:YearAccessed>2025</b:YearAccessed>
    <b:MonthAccessed>7</b:MonthAccessed>
    <b:DayAccessed>4</b:DayAccessed>
    <b:Publisher>Analyse et Traitement Informatique de la Langue Française</b:Publisher>
    <b:Address/>
    <b:Year>2008</b:Year>
  </b:Source>
  <b:Source>
    <b:Tag>Lunter2003</b:Tag>
    <b:RefOrder>33</b:RefOrder>
    <b:SourceType>ArticleInAPeriodical</b:SourceType>
    <b:Guid>c49e21a9-ad2a-4263-b5d3-d9fa66dc8ab2</b:Guid>
    <b:Title>An efficient algorithm for statistical multiple alignment on arbitrary phylogenetic trees</b:Title>
    <b:DOI>10.1089/106652703322756122</b:DOI>
    <b:Volume>10</b:Volume>
    <b:NumberVolumes>6</b:NumberVolumes>
    <b:Author>
      <b:Author>
        <b:NameList>
          <b:Person>
            <b:First>Gerton</b:First>
            <b:Last>Lunter</b:Last>
          </b:Person>
        </b:NameList>
      </b:Author>
      <b:Author>
        <b:NameList>
          <b:Person>
            <b:First>István</b:First>
            <b:Last>Miklós</b:Last>
          </b:Person>
        </b:NameList>
      </b:Author>
      <b:Author>
        <b:NameList>
          <b:Person>
            <b:First>Yun</b:First>
            <b:Middle>S.</b:Middle>
            <b:Last>Song</b:Last>
          </b:Person>
        </b:NameList>
      </b:Author>
      <b:Author>
        <b:NameList>
          <b:Person>
            <b:First>Jotun</b:First>
            <b:Last>Hein</b:Last>
          </b:Person>
        </b:NameList>
      </b:Author>
    </b:Author>
    <b:JournalName>Journal of Computational Biology</b:JournalName>
    <b:Year>2003</b:Year>
    <b:Pages>869-889</b:Pages>
  </b:Source>
  <b:Source>
    <b:Tag>Metropolis1953</b:Tag>
    <b:RefOrder>34</b:RefOrder>
    <b:SourceType>ArticleInAPeriodical</b:SourceType>
    <b:Guid>26ea129e-532c-4e7d-80d5-88f451462d2c</b:Guid>
    <b:Title>Equation of state calculations by fast computing machines</b:Title>
    <b:DOI>10.1063/1.1699114</b:DOI>
    <b:Volume>21</b:Volume>
    <b:Author>
      <b:Author>
        <b:NameList>
          <b:Person>
            <b:First>Nicholas</b:First>
            <b:Last>Metropolis</b:Last>
          </b:Person>
        </b:NameList>
      </b:Author>
      <b:Author>
        <b:NameList>
          <b:Person>
            <b:First>Arianna</b:First>
            <b:Last>Rosenbluth</b:Last>
          </b:Person>
        </b:NameList>
      </b:Author>
      <b:Author>
        <b:NameList>
          <b:Person>
            <b:First>Marshall</b:First>
            <b:Last>Rosenbluth</b:Last>
          </b:Person>
        </b:NameList>
      </b:Author>
      <b:Author>
        <b:NameList>
          <b:Person>
            <b:First>Augusta</b:First>
            <b:Last>Teller</b:Last>
          </b:Person>
        </b:NameList>
      </b:Author>
      <b:Author>
        <b:NameList>
          <b:Person>
            <b:First>Edward</b:First>
            <b:Last>Teller</b:Last>
          </b:Person>
        </b:NameList>
      </b:Author>
    </b:Author>
    <b:JournalName>Journal of Chemical Physics</b:JournalName>
    <b:Year>1953</b:Year>
    <b:Pages>1087-1092</b:Pages>
  </b:Source>
  <b:Source>
    <b:Tag>Hastings1970</b:Tag>
    <b:RefOrder>35</b:RefOrder>
    <b:SourceType>ArticleInAPeriodical</b:SourceType>
    <b:Guid>e2d7249d-01e1-4479-8e6b-df8d01d47e5d</b:Guid>
    <b:Title>Monte Carlo sampling methods using Markov chains and their applications</b:Title>
    <b:DOI>10.2307/2334940</b:DOI>
    <b:Volume>57</b:Volume>
    <b:Author>
      <b:Author>
        <b:NameList>
          <b:Person>
            <b:First>Wilfred</b:First>
            <b:Middle>K.</b:Middle>
            <b:Last>Hastings</b:Last>
          </b:Person>
        </b:NameList>
      </b:Author>
    </b:Author>
    <b:JournalName>Biometrika</b:JournalName>
    <b:Year>1970</b:Year>
    <b:Pages>97-109</b:Pages>
  </b:Source>
  <b:Source>
    <b:Tag>Lunter2005a</b:Tag>
    <b:RefOrder>36</b:RefOrder>
    <b:SourceType>JournalArticle</b:SourceType>
    <b:Guid>9004afba-3ffc-4da5-83e8-a5d90a3fef6f</b:Guid>
    <b:Title>Statistical alignment: Recent progress, new applications, and challenges</b:Title>
    <b:BookTitle>Statistical methods in molecular evolution</b:BookTitle>
    <b:DOI>10.1007/0-387-27733-1_14</b:DOI>
    <b:Author>
      <b:Author>
        <b:NameList>
          <b:Person>
            <b:First>Gerton</b:First>
            <b:Last>Lunter</b:Last>
          </b:Person>
        </b:NameList>
      </b:Author>
      <b:Author>
        <b:NameList>
          <b:Person>
            <b:First>Alexei</b:First>
            <b:Middle>J.</b:Middle>
            <b:Last>Drummond</b:Last>
          </b:Person>
        </b:NameList>
      </b:Author>
      <b:Author>
        <b:NameList>
          <b:Person>
            <b:First>István</b:First>
            <b:Last>Miklós</b:Last>
          </b:Person>
        </b:NameList>
      </b:Author>
      <b:Author>
        <b:NameList>
          <b:Person>
            <b:First>Jotun</b:First>
            <b:Last>Hein</b:Last>
          </b:Person>
        </b:NameList>
      </b:Author>
      <b:Editor>
        <b:NameList>
          <b:Person>
            <b:First>Rasmus</b:First>
            <b:Last>Nielsen</b:Last>
          </b:Person>
        </b:NameList>
      </b:Editor>
    </b:Author>
    <b:Publisher>Springer Verlag</b:Publisher>
    <b:Address/>
    <b:Year>2005</b:Year>
    <b:Pages>375-405</b:Pages>
  </b:Source>
  <b:Source>
    <b:Tag>Wong2008</b:Tag>
    <b:RefOrder>37</b:RefOrder>
    <b:SourceType>ArticleInAPeriodical</b:SourceType>
    <b:Guid>b1bc78c1-7bca-45ba-8612-e7cb6ba787b7</b:Guid>
    <b:Title>Alignment uncertainty and genomic analysis</b:Title>
    <b:DOI>10.1126/science.1151532</b:DOI>
    <b:Volume>319</b:Volume>
    <b:NumberVolumes>5682</b:NumberVolumes>
    <b:Author>
      <b:Author>
        <b:NameList>
          <b:Person>
            <b:First>Karen</b:First>
            <b:Middle>M.</b:Middle>
            <b:Last>Wong</b:Last>
          </b:Person>
        </b:NameList>
      </b:Author>
      <b:Author>
        <b:NameList>
          <b:Person>
            <b:First>Marc</b:First>
            <b:Middle>A.</b:Middle>
            <b:Last>Suchard</b:Last>
          </b:Person>
        </b:NameList>
      </b:Author>
      <b:Author>
        <b:NameList>
          <b:Person>
            <b:First>John</b:First>
            <b:Middle>P.</b:Middle>
            <b:Last>Huelsenbeck</b:Last>
          </b:Person>
        </b:NameList>
      </b:Author>
    </b:Author>
    <b:JournalName>Science</b:JournalName>
    <b:Year>2008</b:Year>
    <b:Pages>473-476</b:Pages>
  </b:Source>
  <b:Source>
    <b:Tag>Jukes1969</b:Tag>
    <b:RefOrder>38</b:RefOrder>
    <b:SourceType>ConferenceProceedings</b:SourceType>
    <b:Guid>a71a816c-8390-4f1c-ad29-5d03e9cb699a</b:Guid>
    <b:Title>Evolution of protein molecules</b:Title>
    <b:BookTitle>Mammalian protein metabolism</b:BookTitle>
    <b:DOI> 10.1016/B978-1-4832-3211-9.50009-7</b:DOI>
    <b:Volume>3</b:Volume>
    <b:Author>
      <b:Author>
        <b:NameList>
          <b:Person>
            <b:First>Thomas</b:First>
            <b:Middle>H.</b:Middle>
            <b:Last>Jukes</b:Last>
          </b:Person>
        </b:NameList>
      </b:Author>
      <b:Author>
        <b:NameList>
          <b:Person>
            <b:First>Charles</b:First>
            <b:Last>Cantor</b:Last>
          </b:Person>
        </b:NameList>
      </b:Author>
      <b:Editor>
        <b:NameList>
          <b:Person>
            <b:First>H.</b:First>
            <b:Middle>N.</b:Middle>
            <b:Last>Munro</b:Last>
          </b:Person>
        </b:NameList>
      </b:Editor>
    </b:Author>
    <b:Publisher>Academic Press</b:Publisher>
    <b:Address/>
    <b:Year>1969</b:Year>
    <b:Pages>21-123</b:Pages>
  </b:Source>
  <b:Source>
    <b:Tag>Felsenstein1981</b:Tag>
    <b:RefOrder>39</b:RefOrder>
    <b:SourceType>ArticleInAPeriodical</b:SourceType>
    <b:Guid>904c149e-ba79-4ede-b528-56434d6e6644</b:Guid>
    <b:Title>Evolutionary trees from DNA sequences: A maximum likelihood approach</b:Title>
    <b:DOI>10.1007/BF01734359</b:DOI>
    <b:Volume>17</b:Volume>
    <b:Author>
      <b:Author>
        <b:NameList>
          <b:Person>
            <b:First>Joseph</b:First>
            <b:Last>Felsenstein</b:Last>
          </b:Person>
        </b:NameList>
      </b:Author>
    </b:Author>
    <b:JournalName>Journal of Molecular Evolution</b:JournalName>
    <b:Year>1981</b:Year>
    <b:Pages>368-376</b:Pages>
  </b:Source>
  <b:Source>
    <b:Tag>Nytrilprogram</b:Tag>
    <b:RefOrder>40</b:RefOrder>
    <b:SourceType>Misc</b:SourceType>
    <b:Guid>2df60d8c-4e4c-4978-854c-26aba70f6bb8</b:Guid>
    <b:Title>The Nytril programming language</b:Title>
    <b:Author>
      <b:Author>
        <b:NameList>
          <b:Person>
            <b:First>Shawn</b:First>
            <b:Middle>H.</b:Middle>
            <b:Last>McCreight</b:Last>
          </b:Person>
        </b:NameList>
      </b:Author>
      <b:Author>
        <b:NameList>
          <b:Person>
            <b:First>John</b:First>
            <b:Middle>Paul</b:Middle>
            <b:Last>Colbert</b:Last>
          </b:Person>
        </b:NameList>
      </b:Author>
    </b:Author>
    <b:URL>www.nytril.com/fda46c87-c829-4c9d-9d64-c89b07aa6643</b:URL>
    <b:Publisher>Nytril LLC</b:Publisher>
    <b:Address>2904 Horsehead Bay Dr. NW, Gig Harbor, WA 98335, USA</b:Address>
    <b:Year>2024</b:Year>
  </b:Source>
  <b:Source>
    <b:Tag>Hall1950</b:Tag>
    <b:RefOrder>41</b:RefOrder>
    <b:SourceType>ArticleInAPeriodical</b:SourceType>
    <b:Guid>4b9e7a42-024d-4a13-9121-5eaf99e5ebf8</b:Guid>
    <b:Title>The reconstruction of Proto-Romance</b:Title>
    <b:DOI>10.2307/410406</b:DOI>
    <b:Volume>26</b:Volume>
    <b:NumberVolumes>1</b:NumberVolumes>
    <b:Author>
      <b:Author>
        <b:NameList>
          <b:Person>
            <b:First>Robert</b:First>
            <b:Middle>A.</b:Middle>
            <b:Last>Hall</b:Last>
          </b:Person>
        </b:NameList>
      </b:Author>
    </b:Author>
    <b:JournalName>Language</b:JournalName>
    <b:Year>1950</b:Year>
    <b:Pages>6-27</b:Pages>
  </b:Source>
  <b:Source>
    <b:Tag>Hall1976</b:Tag>
    <b:RefOrder>42</b:RefOrder>
    <b:SourceType>Book</b:SourceType>
    <b:Guid>6e3befd3-2738-44d5-bafb-54550b3b04ea</b:Guid>
    <b:Title>Proto-Romance phonology</b:Title>
    <b:Author>
      <b:Author>
        <b:NameList>
          <b:Person>
            <b:First>Robert</b:First>
            <b:Middle>A.</b:Middle>
            <b:Last>Hall</b:Last>
          </b:Person>
        </b:NameList>
      </b:Author>
    </b:Author>
    <b:Publisher>Elsevier</b:Publisher>
    <b:Address>New York, NY USA</b:Address>
    <b:Year>1976</b:Year>
  </b:Source>
  <b:Source>
    <b:Tag>Dardel1985</b:Tag>
    <b:RefOrder>43</b:RefOrder>
    <b:SourceType>ArticleInAPeriodical</b:SourceType>
    <b:Guid>0a4fc41c-912e-4986-bd9b-5478861f255e</b:Guid>
    <b:Title>Le sarde représente-t-il un état précoce du roman commun?</b:Title>
    <b:Volume>49</b:Volume>
    <b:Author>
      <b:Author>
        <b:NameList>
          <b:Person>
            <b:First>Robert</b:First>
            <b:Last>De Dardel</b:Last>
          </b:Person>
        </b:NameList>
      </b:Author>
    </b:Author>
    <b:JournalName>Revue de linguistique romane</b:JournalName>
    <b:Year>1985</b:Year>
    <b:Pages>263-269</b:Pages>
  </b:Source>
  <b:Source>
    <b:Tag>Swiggers2001</b:Tag>
    <b:RefOrder>44</b:RefOrder>
    <b:SourceType>ArticleInAPeriodical</b:SourceType>
    <b:Guid>edd1944f-ab32-4453-b0a7-c9f76c4c27f5</b:Guid>
    <b:Title>De Prague à Strasbourg: Phonétique et phonologie du français chez Georges Gougenheim et Georges Straka</b:Title>
    <b:DOI>10.4000/ml.1459</b:DOI>
    <b:Volume>43</b:Volume>
    <b:NumberVolumes>3</b:NumberVolumes>
    <b:Author>
      <b:Author>
        <b:NameList>
          <b:Person>
            <b:First>Pierre</b:First>
            <b:Last>Swiggers</b:Last>
          </b:Person>
        </b:NameList>
      </b:Author>
    </b:Author>
    <b:JournalName>Modéles linguistiques</b:JournalName>
    <b:Year>2001</b:Year>
    <b:Pages>21-44</b:Pages>
  </b:Source>
  <b:Source>
    <b:Tag>Vallejo2012</b:Tag>
    <b:RefOrder>45</b:RefOrder>
    <b:SourceType>ArticleInAPeriodical</b:SourceType>
    <b:Guid>dfe1ec16-21ef-44e1-a8dd-b6678379a4d2</b:Guid>
    <b:Title>Del proto-indoeuropeo al proto-romance</b:Title>
    <b:Volume>66</b:Volume>
    <b:NumberVolumes>2</b:NumberVolumes>
    <b:Author>
      <b:Author>
        <b:NameList>
          <b:Person>
            <b:First>José</b:First>
            <b:Middle>M.</b:Middle>
            <b:Last>Vallejo</b:Last>
          </b:Person>
        </b:NameList>
      </b:Author>
    </b:Author>
    <b:JournalName>Romance Philology</b:JournalName>
    <b:Year>2012</b:Year>
    <b:Pages>449-467</b:Pages>
  </b:Source>
  <b:Source>
    <b:Tag>Buchi2015</b:Tag>
    <b:RefOrder>46</b:RefOrder>
    <b:SourceType>ArticleInAPeriodical</b:SourceType>
    <b:Guid>719e5f62-a79b-48e9-a081-20135ecf62ca</b:Guid>
    <b:Title>L’étymologie de FAIM et de FAMINE revue dans le cadre du DÉRom</b:Title>
    <b:Volume>83</b:Volume>
    <b:Author>
      <b:Author>
        <b:NameList>
          <b:Person>
            <b:First>Éva</b:First>
            <b:Last>Buchi</b:Last>
          </b:Person>
        </b:NameList>
      </b:Author>
      <b:Author>
        <b:NameList>
          <b:Person>
            <b:First>Martín</b:First>
            <b:Last>González</b:Last>
          </b:Person>
        </b:NameList>
      </b:Author>
      <b:Author>
        <b:NameList>
          <b:Person>
            <b:First>Bianca</b:First>
            <b:Last>Mertens</b:Last>
          </b:Person>
        </b:NameList>
      </b:Author>
      <b:Author>
        <b:NameList>
          <b:Person>
            <b:First>Claire</b:First>
            <b:Last>Schlienger</b:Last>
          </b:Person>
        </b:NameList>
      </b:Author>
    </b:Author>
    <b:JournalName>Le Français Moderne - Revue de linguistique Française</b:JournalName>
    <b:Year>2015</b:Year>
    <b:Pages>248-263</b:Pages>
  </b:Source>
  <b:Source>
    <b:Tag>Dworkin2016a</b:Tag>
    <b:RefOrder>47</b:RefOrder>
    <b:SourceType>ArticleInAPeriodical</b:SourceType>
    <b:Guid>965b24e1-e93e-498a-8ee0-43c7dc1a36ab</b:Guid>
    <b:Title>Do Romanists need to reconstruct Proto-Romance?</b:Title>
    <b:DOI>10.1515/zrp-2016-0001</b:DOI>
    <b:Volume>132</b:Volume>
    <b:NumberVolumes>1</b:NumberVolumes>
    <b:Author>
      <b:Author>
        <b:NameList>
          <b:Person>
            <b:First>Steven</b:First>
            <b:Middle>N.</b:Middle>
            <b:Last>Dworkin</b:Last>
          </b:Person>
        </b:NameList>
      </b:Author>
    </b:Author>
    <b:JournalName>Zeitschrift für romanische Philologie</b:JournalName>
    <b:Year>2016</b:Year>
    <b:Pages>1-19</b:Pages>
  </b:Source>
  <b:Source>
    <b:Tag>Posner1996</b:Tag>
    <b:RefOrder>48</b:RefOrder>
    <b:SourceType>Book</b:SourceType>
    <b:Guid>a3d4fe36-5d02-404a-a795-b78c78af4717</b:Guid>
    <b:Title>The Romance languages</b:Title>
    <b:Author>
      <b:Author>
        <b:NameList>
          <b:Person>
            <b:First>Rebecca</b:First>
            <b:Last>Posner</b:Last>
          </b:Person>
        </b:NameList>
      </b:Author>
    </b:Author>
    <b:Publisher>Cambridge University Press</b:Publisher>
    <b:Address>Cambridge</b:Address>
    <b:Year>1996</b:Year>
  </b:Source>
  <b:Source>
    <b:Tag>Harris2003</b:Tag>
    <b:RefOrder>49</b:RefOrder>
    <b:SourceType>Book</b:SourceType>
    <b:Guid>cf468e54-8e72-4e57-9e9d-5299f9ecd983</b:Guid>
    <b:Title>The Romance languages</b:Title>
    <b:Author>
      <b:Author>
        <b:NameList>
          <b:Person>
            <b:First>Martin</b:First>
            <b:Last>Harris</b:Last>
          </b:Person>
        </b:NameList>
      </b:Author>
      <b:Author>
        <b:NameList>
          <b:Person>
            <b:First>Nigel</b:First>
            <b:Last>Vincent</b:Last>
          </b:Person>
        </b:NameList>
      </b:Author>
    </b:Author>
    <b:Publisher>Routledge</b:Publisher>
    <b:Address>London</b:Address>
    <b:Year>2003</b:Year>
  </b:Source>
  <b:Source>
    <b:Tag>Goldstein2024</b:Tag>
    <b:RefOrder>50</b:RefOrder>
    <b:SourceType>ArticleInAPeriodical</b:SourceType>
    <b:Guid>4b48fff5-1c6a-493d-9370-8a673e1c68da</b:Guid>
    <b:Title>Divergence-time estimation in Indo-European: The case of Latin</b:Title>
    <b:DOI>10.1075/dia.22031.gol</b:DOI>
    <b:Volume>41</b:Volume>
    <b:Author>
      <b:Author>
        <b:NameList>
          <b:Person>
            <b:First>David</b:First>
            <b:Middle>M.</b:Middle>
            <b:Last>Goldstein</b:Last>
          </b:Person>
        </b:NameList>
      </b:Author>
    </b:Author>
    <b:JournalName>Diachronica</b:JournalName>
    <b:Year>2024</b:Year>
    <b:Pages>1-45</b:Pages>
  </b:Source>
  <b:Source>
    <b:Tag>Dickey1971</b:Tag>
    <b:RefOrder>51</b:RefOrder>
    <b:SourceType>ArticleInAPeriodical</b:SourceType>
    <b:Guid>6ff4c703-b21a-4571-842b-aa9fd3b26b10</b:Guid>
    <b:Title>The weighted likelihood ratio, linear hypotheses on normal location parameters</b:Title>
    <b:DOI>10.1214/aoms/1177693507</b:DOI>
    <b:Volume>42</b:Volume>
    <b:Author>
      <b:Author>
        <b:NameList>
          <b:Person>
            <b:First>James</b:First>
            <b:Middle>M.</b:Middle>
            <b:Last>Dickey</b:Last>
          </b:Person>
        </b:NameList>
      </b:Author>
    </b:Author>
    <b:JournalName>The Annals of Mathematical Statistics</b:JournalName>
    <b:Year>1971</b:Year>
    <b:Pages>204-223</b:Pages>
  </b:Source>
  <b:Source>
    <b:Tag>Jeffreys1939</b:Tag>
    <b:RefOrder>52</b:RefOrder>
    <b:SourceType>Book</b:SourceType>
    <b:Guid>c74553a3-0bd3-4dd0-a7b3-a46556e067cb</b:Guid>
    <b:Title>Theory of probability</b:Title>
    <b:Author>
      <b:Author>
        <b:NameList>
          <b:Person>
            <b:First>Harold</b:First>
            <b:Last>Jeffreys</b:Last>
          </b:Person>
        </b:NameList>
      </b:Author>
    </b:Author>
    <b:Publisher>Oxford University Press</b:Publisher>
    <b:Address>Oxford</b:Address>
    <b:Year>1939</b:Year>
  </b:Source>
  <b:Source>
    <b:Tag>Bloomfield1933</b:Tag>
    <b:RefOrder>53</b:RefOrder>
    <b:SourceType>Book</b:SourceType>
    <b:Guid>dc10e510-df28-435a-b4f8-bdffd33cc3c8</b:Guid>
    <b:Title>Language</b:Title>
    <b:Author>
      <b:Author>
        <b:NameList>
          <b:Person>
            <b:First>Leonard</b:First>
            <b:Last>Bloomfield</b:Last>
          </b:Person>
        </b:NameList>
      </b:Author>
    </b:Author>
    <b:Publisher>H. Holt and Company</b:Publisher>
    <b:Address>New York, NY USA</b:Address>
    <b:Year>1933</b:Year>
    <b:Pages>354</b:Pages>
  </b:Source>
  <b:Source>
    <b:Tag>Ohala2003</b:Tag>
    <b:RefOrder>54</b:RefOrder>
    <b:SourceType>JournalArticle</b:SourceType>
    <b:Guid>d631e6bc-0382-4012-a384-d1f03c5ccd72</b:Guid>
    <b:Title>Phonetics and historical phonology</b:Title>
    <b:BookTitle>The handbook of historical linguistics</b:BookTitle>
    <b:DOI>10.1002/9780470756393.ch22</b:DOI>
    <b:Author>
      <b:Author>
        <b:NameList>
          <b:Person>
            <b:First>John</b:First>
            <b:Middle>J.</b:Middle>
            <b:Last>Ohala</b:Last>
          </b:Person>
        </b:NameList>
      </b:Author>
      <b:Editor>
        <b:NameList>
          <b:Person>
            <b:First>Brian</b:First>
            <b:Middle>D.</b:Middle>
            <b:Last>Joseph</b:Last>
          </b:Person>
        </b:NameList>
      </b:Editor>
      <b:Editor>
        <b:NameList>
          <b:Person>
            <b:First>Richard</b:First>
            <b:Middle>D.</b:Middle>
            <b:Last>Janda</b:Last>
          </b:Person>
        </b:NameList>
      </b:Editor>
    </b:Author>
    <b:Publisher>Wiley-Blackwell</b:Publisher>
    <b:Address>Malden, MA USA</b:Address>
    <b:Year>2003</b:Year>
    <b:Pages>669-686</b:Pages>
  </b:Source>
  <b:Source>
    <b:Tag>Blevins2004a</b:Tag>
    <b:RefOrder>55</b:RefOrder>
    <b:SourceType>Book</b:SourceType>
    <b:Guid>102f0e7a-e6ea-4a61-ac65-008e2bd04777</b:Guid>
    <b:Title>Evolutionary Phonology: The emergence of sound patterns</b:Title>
    <b:DOI>10.1017/CBO9780511486357</b:DOI>
    <b:Author>
      <b:Author>
        <b:NameList>
          <b:Person>
            <b:First>Juliette</b:First>
            <b:Last>Blevins</b:Last>
          </b:Person>
        </b:NameList>
      </b:Author>
    </b:Author>
    <b:Publisher>Cambridge University Press</b:Publisher>
    <b:Address>Cambridge</b:Address>
    <b:Year>2004</b:Year>
  </b:Source>
  <b:Source>
    <b:Tag>Ohala2012</b:Tag>
    <b:RefOrder>56</b:RefOrder>
    <b:SourceType>JournalArticle</b:SourceType>
    <b:Guid>1c60f125-35de-4d50-8875-12c249a1a828</b:Guid>
    <b:Title>The listener as a source of sound change: An update</b:Title>
    <b:BookTitle>The initiation of sound change</b:BookTitle>
    <b:DOI>10.1075/cilt.323.05oha</b:DOI>
    <b:Author>
      <b:Author>
        <b:NameList>
          <b:Person>
            <b:First>John</b:First>
            <b:Middle>J.</b:Middle>
            <b:Last>Ohala</b:Last>
          </b:Person>
        </b:NameList>
      </b:Author>
      <b:Editor>
        <b:NameList>
          <b:Person>
            <b:First>Maria-Josep</b:First>
            <b:Last>Solé</b:Last>
          </b:Person>
        </b:NameList>
      </b:Editor>
      <b:Editor>
        <b:NameList>
          <b:Person>
            <b:First>Daniel</b:First>
            <b:Last>Recasens</b:Last>
          </b:Person>
        </b:NameList>
      </b:Editor>
    </b:Author>
    <b:Publisher>John Benjamins</b:Publisher>
    <b:Address>Amsterdam</b:Address>
    <b:Year>2012</b:Year>
    <b:Pages>21-36</b:Pages>
  </b:Source>
  <b:Source>
    <b:Tag>Chen1975a</b:Tag>
    <b:RefOrder>57</b:RefOrder>
    <b:SourceType>ArticleInAPeriodical</b:SourceType>
    <b:Guid>560fa891-f290-4156-8d13-a1917404aa07</b:Guid>
    <b:Title>Sound change: Actuation and implementation</b:Title>
    <b:DOI>10.2307/412854</b:DOI>
    <b:Volume>51</b:Volume>
    <b:NumberVolumes>2</b:NumberVolumes>
    <b:Author>
      <b:Author>
        <b:NameList>
          <b:Person>
            <b:First>Matthew</b:First>
            <b:Middle>Y.</b:Middle>
            <b:Last>Chen</b:Last>
          </b:Person>
        </b:NameList>
      </b:Author>
      <b:Author>
        <b:NameList>
          <b:Person>
            <b:First>William</b:First>
            <b:Middle>Shi-Yuan</b:Middle>
            <b:Last>Wang</b:Last>
          </b:Person>
        </b:NameList>
      </b:Author>
    </b:Author>
    <b:JournalName>Language</b:JournalName>
    <b:Year>1975</b:Year>
    <b:Pages>255-281</b:Pages>
  </b:Source>
  <b:Source>
    <b:Tag>Phillips2015</b:Tag>
    <b:RefOrder>58</b:RefOrder>
    <b:SourceType>JournalArticle</b:SourceType>
    <b:Guid>89ed1fee-b29e-4038-abce-48abccaa8488</b:Guid>
    <b:Title>Lexical diffusion in historical phonology</b:Title>
    <b:BookTitle>The Oxford handbook of historical phonology</b:BookTitle>
    <b:DOI>10.1093/oxfordhb/9780199232819.013.015</b:DOI>
    <b:Author>
      <b:Author>
        <b:NameList>
          <b:Person>
            <b:First>Betty</b:First>
            <b:Middle>S.</b:Middle>
            <b:Last>Phillips</b:Last>
          </b:Person>
        </b:NameList>
      </b:Author>
      <b:Author>
        <b:NameList>
          <b:Person>
            <b:First>Patrick</b:First>
            <b:Last>Honeybone</b:Last>
          </b:Person>
        </b:NameList>
      </b:Author>
      <b:Author>
        <b:NameList>
          <b:Person>
            <b:First>Joseph</b:First>
            <b:Last>Salmons</b:Last>
          </b:Person>
        </b:NameList>
      </b:Author>
      <b:Editor>
        <b:NameList>
          <b:Person>
            <b:First>Patrick</b:First>
            <b:Last>Honeybone</b:Last>
          </b:Person>
        </b:NameList>
      </b:Editor>
      <b:Editor>
        <b:NameList>
          <b:Person>
            <b:First>Joseph</b:First>
            <b:Last>Salmons</b:Last>
          </b:Person>
        </b:NameList>
      </b:Editor>
    </b:Author>
    <b:Publisher>Oxford University Press</b:Publisher>
    <b:Address>Oxford</b:Address>
    <b:Year>2015</b:Year>
    <b:Pages>359-373</b:Pages>
  </b:Source>
  <b:Source>
    <b:Tag>Holmes2001</b:Tag>
    <b:RefOrder>59</b:RefOrder>
    <b:SourceType>ArticleInAPeriodical</b:SourceType>
    <b:Guid>bfa4668f-e0e9-4ae2-b6f8-b8ce9afd637d</b:Guid>
    <b:Title>Evolutionary HMMs: A Bayesian approach to multiple alignment</b:Title>
    <b:DOI>10.1093/bioinformatics/17.9.803</b:DOI>
    <b:Volume>17</b:Volume>
    <b:Author>
      <b:Author>
        <b:NameList>
          <b:Person>
            <b:First>Ian</b:First>
            <b:Last>Holmes</b:Last>
          </b:Person>
        </b:NameList>
      </b:Author>
      <b:Author>
        <b:NameList>
          <b:Person>
            <b:First>William</b:First>
            <b:Last>Bruno</b:Last>
          </b:Person>
        </b:NameList>
      </b:Author>
    </b:Author>
    <b:JournalName>Bioinformatics</b:JournalName>
    <b:Year>2001</b:Year>
    <b:Pages>803-820</b:Pages>
  </b:Source>
  <b:Source>
    <b:Tag>BouchardCote2013b</b:Tag>
    <b:RefOrder>60</b:RefOrder>
    <b:SourceType>ArticleInAPeriodical</b:SourceType>
    <b:Guid>240350ef-9cf5-4188-82e2-b5c3656b8149</b:Guid>
    <b:Title>Evolutionary inference via the Poisson Indel Process</b:Title>
    <b:DOI>10.1073/pnas.1220450110</b:DOI>
    <b:Volume>110</b:Volume>
    <b:NumberVolumes>4</b:NumberVolumes>
    <b:Author>
      <b:Author>
        <b:NameList>
          <b:Person>
            <b:First>Alexandre</b:First>
            <b:Last>Bouchard-Côté</b:Last>
          </b:Person>
        </b:NameList>
      </b:Author>
      <b:Author>
        <b:NameList>
          <b:Person>
            <b:First>Michael</b:First>
            <b:Middle>I.</b:Middle>
            <b:Last>Jordan</b:Last>
          </b:Person>
        </b:NameList>
      </b:Author>
    </b:Author>
    <b:JournalName>Proceedings of the National Academy of Sciences, U.S.A.</b:JournalName>
    <b:Year>2013</b:Year>
    <b:Pages>1160-1166</b:Pages>
  </b:Source>
  <b:Source>
    <b:Tag>Janson1979</b:Tag>
    <b:RefOrder>61</b:RefOrder>
    <b:SourceType>Book</b:SourceType>
    <b:Guid>3ae32a2e-8c7f-42ea-9087-8593db67b24b</b:Guid>
    <b:Title>Mechanisms of language change in Latin</b:Title>
    <b:Author>
      <b:Author>
        <b:NameList>
          <b:Person>
            <b:First>Tore</b:First>
            <b:Last>Janson</b:Last>
          </b:Person>
        </b:NameList>
      </b:Author>
    </b:Author>
    <b:Publisher>Almqvist &amp; Wiksell</b:Publisher>
    <b:Address>Stockholm</b:Address>
    <b:Year>1979</b:Year>
  </b:Source>
  <b:Source>
    <b:Tag>Loporcaro2015</b:Tag>
    <b:RefOrder>62</b:RefOrder>
    <b:SourceType>Book</b:SourceType>
    <b:Guid>e37d002a-d402-4fc6-b670-db77bce9a80e</b:Guid>
    <b:Title>Vowel length from Latin to Romance</b:Title>
    <b:DOI>10.1093/acprof:oso/9780199656554.001.0001</b:DOI>
    <b:Author>
      <b:Author>
        <b:NameList>
          <b:Person>
            <b:First>Michele</b:First>
            <b:Last>Loporcaro</b:Last>
          </b:Person>
        </b:NameList>
      </b:Author>
    </b:Author>
    <b:Publisher>Oxford University Press</b:Publisher>
    <b:Address>Oxford</b:Address>
    <b:Year>2015</b:Year>
  </b:Source>
  <b:Source>
    <b:Tag>Nikolaev2020</b:Tag>
    <b:RefOrder>65</b:RefOrder>
    <b:SourceType>ArticleInAPeriodical</b:SourceType>
    <b:Guid>7b967c21-cf39-4af3-a63e-f90b56d645f5</b:Guid>
    <b:Title>Consonant co-occurrence classes and the feature-economy principle</b:Title>
    <b:DOI>10.1017/s0952675720000226</b:DOI>
    <b:Volume>37</b:Volume>
    <b:NumberVolumes>3</b:NumberVolumes>
    <b:Author>
      <b:Author>
        <b:NameList>
          <b:Person>
            <b:First>Dmitry</b:First>
            <b:Last>Nikolaev</b:Last>
          </b:Person>
        </b:NameList>
      </b:Author>
      <b:Author>
        <b:NameList>
          <b:Person>
            <b:First>Eitan</b:First>
            <b:Last>Grossman</b:Last>
          </b:Person>
        </b:NameList>
      </b:Author>
    </b:Author>
    <b:JournalName>Phonology</b:JournalName>
    <b:Year>2020</b:Year>
    <b:Pages>419-451</b:Pages>
  </b:Source>
  <b:Source>
    <b:Tag>Bybee2022</b:Tag>
    <b:RefOrder>66</b:RefOrder>
    <b:SourceType>ArticleInAPeriodical</b:SourceType>
    <b:Guid>357d563a-c463-4723-b48f-bea18898dd80</b:Guid>
    <b:Title>Primal consonants and the evolution of consonant inventories</b:Title>
    <b:DOI>10.1163/22105832-bja10020</b:DOI>
    <b:Volume>13</b:Volume>
    <b:NumberVolumes>1</b:NumberVolumes>
    <b:Author>
      <b:Author>
        <b:NameList>
          <b:Person>
            <b:First>Joan</b:First>
            <b:Middle>L.</b:Middle>
            <b:Last>Bybee</b:Last>
          </b:Person>
        </b:NameList>
      </b:Author>
      <b:Author>
        <b:NameList>
          <b:Person>
            <b:First>Shelece</b:First>
            <b:Last>Easterday</b:Last>
          </b:Person>
        </b:NameList>
      </b:Author>
    </b:Author>
    <b:JournalName>Language Dynamics and Change</b:JournalName>
    <b:Year>2022</b:Year>
    <b:Pages>1-33</b:Pages>
  </b:Source>
  <b:Source>
    <b:Tag>Abrego2013</b:Tag>
    <b:RefOrder>67</b:RefOrder>
    <b:SourceType>ConferenceProceedings</b:SourceType>
    <b:Guid>26137797-ce38-402c-be10-0980cb65e416</b:Guid>
    <b:Title>Liquid dissimilation as listener hypocorrection</b:Title>
    <b:BookTitle>Proceedings of the 37th Annual Meeting of the Berkeley Linguistics Society</b:BookTitle>
    <b:DOI>10.3765/bls.v37i1.3195</b:DOI>
    <b:Author>
      <b:Author>
        <b:NameList>
          <b:Person>
            <b:First>Carissa</b:First>
            <b:Last>Abrego-Collier</b:Last>
          </b:Person>
        </b:NameList>
      </b:Author>
      <b:Editor>
        <b:NameList>
          <b:Person>
            <b:First>Chundra</b:First>
            <b:Last>Cathcart</b:Last>
          </b:Person>
        </b:NameList>
      </b:Editor>
      <b:Editor>
        <b:NameList>
          <b:Person>
            <b:First>I-Hsuan</b:First>
            <b:Last>Chen</b:Last>
          </b:Person>
        </b:NameList>
      </b:Editor>
      <b:Editor>
        <b:NameList>
          <b:Person>
            <b:First>Greg</b:First>
            <b:Last>Finley</b:Last>
          </b:Person>
        </b:NameList>
      </b:Editor>
      <b:Editor>
        <b:NameList>
          <b:Person>
            <b:First>Shinae</b:First>
            <b:Last>Kang</b:Last>
          </b:Person>
        </b:NameList>
      </b:Editor>
      <b:Editor>
        <b:NameList>
          <b:Person>
            <b:First>Clare</b:First>
            <b:Middle>S.</b:Middle>
            <b:Last>Sandy</b:Last>
          </b:Person>
        </b:NameList>
      </b:Editor>
      <b:Editor>
        <b:NameList>
          <b:Person>
            <b:First>Elise</b:First>
            <b:Last>Stickles</b:Last>
          </b:Person>
        </b:NameList>
      </b:Editor>
    </b:Author>
    <b:Publisher>Berkeley Linguistics Society</b:Publisher>
    <b:Address>Berkeley, CA USA</b:Address>
    <b:Year>2013</b:Year>
    <b:Pages>3-17</b:Pages>
  </b:Source>
  <b:Source>
    <b:Tag>Mueller2013</b:Tag>
    <b:RefOrder>68</b:RefOrder>
    <b:SourceType>JournalArticle</b:SourceType>
    <b:Guid>12664a1e-f51c-4b6b-bb23-f9f6595fb7cf</b:Guid>
    <b:Title>Liquid dissimilation with a special regard to Latin</b:Title>
    <b:BookTitle>Studies in phonetics, phonology and sound change in Romance</b:BookTitle>
    <b:Author>
      <b:Author>
        <b:NameList>
          <b:Person>
            <b:First>Daniela</b:First>
            <b:Last>Müller</b:Last>
          </b:Person>
        </b:NameList>
      </b:Author>
      <b:Editor>
        <b:NameList>
          <b:Person>
            <b:First>Fernando</b:First>
            <b:Last>Sánchez Miret</b:Last>
          </b:Person>
        </b:NameList>
      </b:Editor>
      <b:Editor>
        <b:NameList>
          <b:Person>
            <b:First>Daniel</b:First>
            <b:Last>Recasens</b:Last>
          </b:Person>
        </b:NameList>
      </b:Editor>
    </b:Author>
    <b:Publisher>LINCOM</b:Publisher>
    <b:Address>Munich</b:Address>
    <b:Year>2013</b:Year>
    <b:Pages>95-109</b:Pages>
  </b:Source>
  <b:Source>
    <b:Tag>King1969</b:Tag>
    <b:RefOrder>69</b:RefOrder>
    <b:SourceType>Book</b:SourceType>
    <b:Guid>a42e4bf7-61ba-4ad8-8d83-3a1dd970b5e9</b:Guid>
    <b:Title>Historical linguistics and generative grammar</b:Title>
    <b:Author>
      <b:Author>
        <b:NameList>
          <b:Person>
            <b:First>Adam</b:First>
            <b:Last>King</b:Last>
          </b:Person>
        </b:NameList>
      </b:Author>
    </b:Author>
    <b:Publisher>Prentice-Hall</b:Publisher>
    <b:Address>Englewood Cliffs</b:Address>
    <b:Year>1969</b:Year>
  </b:Source>
  <b:Source>
    <b:Tag>Dockum2019</b:Tag>
    <b:RefOrder>70</b:RefOrder>
    <b:SourceType>ArticleInAPeriodical</b:SourceType>
    <b:Guid>88612bbe-8fd4-484b-a767-acf1aac86fc7</b:Guid>
    <b:Title>Swadesh lists are not long enough: Drawing phonological generalizations from limited data</b:Title>
    <b:Volume>16</b:Volume>
    <b:Author>
      <b:Author>
        <b:NameList>
          <b:Person>
            <b:First>Rikker</b:First>
            <b:Last>Dockum</b:Last>
          </b:Person>
        </b:NameList>
      </b:Author>
      <b:Author>
        <b:NameList>
          <b:Person>
            <b:First>Claire</b:First>
            <b:Last>Bowern</b:Last>
          </b:Person>
        </b:NameList>
      </b:Author>
      <b:Editor>
        <b:NameList>
          <b:Person>
            <b:First>Peter</b:First>
            <b:Middle>K.</b:Middle>
            <b:Last>Austin</b:Last>
          </b:Person>
        </b:NameList>
      </b:Editor>
    </b:Author>
    <b:Publisher>Aperio Press</b:Publisher>
    <b:Address>Charlottesville, VA USA</b:Address>
    <b:JournalName>Language Documentation and Description</b:JournalName>
    <b:Year>2019</b:Year>
    <b:Pages>35-54</b:Pages>
  </b:Source>
  <b:Source>
    <b:Tag>Herman2000</b:Tag>
    <b:RefOrder>72</b:RefOrder>
    <b:SourceType>Book</b:SourceType>
    <b:Guid>f25df51f-ce13-4dee-a4e6-3eec8f484a8d</b:Guid>
    <b:Title>Vulgar Latin</b:Title>
    <b:Author>
      <b:Author>
        <b:NameList>
          <b:Person>
            <b:First>József</b:First>
            <b:Last>Herman</b:Last>
          </b:Person>
        </b:NameList>
      </b:Author>
    </b:Author>
    <b:Publisher>The Pennsylvania State University Press</b:Publisher>
    <b:Address>University Park</b:Address>
    <b:Year>2000</b:Year>
  </b:Source>
</b:Sources>
</file>

<file path=customXml/itemProps1.xml><?xml version="1.0" encoding="utf-8"?>
<ds:datastoreItem xmlns:ds="http://schemas.openxmlformats.org/officeDocument/2006/customXml" ds:itemID="{033DF0D8-6F57-4974-925E-C45766DF131B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LinksUpToDate>false</LinksUpToDate>
  <SharedDoc>false</SharedDoc>
  <HyperlinksChanged>false</HyperlinksChanged>
  <AppVersion>16.0000</AppVersion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Phylogenetic inference from cognate word forms</dc:title>
  <dc:creator>David M. Goldstein, Shawn H. McCreight, Éva Buchi, and John P. Huelsenbeck</dc:creator>
  <cp:lastModifiedBy>David M. Goldstein, Shawn H. McCreight, Éva Buchi, and John P. Huelsenbeck</cp:lastModifiedBy>
  <dc:description>Linguistics research paper</dc:description>
  <dcterms:created xsi:type="dcterms:W3CDTF">2026-04-16T10:14:30Z</dcterms:created>
  <dcterms:modified xsi:type="dcterms:W3CDTF">0001-01-01T08:00:00Z</dcterms:modified>
  <cp:keywords>Bayesian inference,Historical linguistics,Historical phonology,Phylogenetics,Romance</cp:keywords>
</cp:coreProperties>
</file>