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D28A" w14:textId="77777777" w:rsidR="00222696" w:rsidRPr="00F31944" w:rsidRDefault="00000000">
      <w:pPr>
        <w:jc w:val="center"/>
        <w:rPr>
          <w:rFonts w:ascii="Arial" w:hAnsi="Arial" w:cs="Arial"/>
          <w:b/>
          <w:bCs/>
          <w:sz w:val="24"/>
        </w:rPr>
      </w:pPr>
      <w:r w:rsidRPr="00F31944">
        <w:rPr>
          <w:rFonts w:ascii="Arial" w:hAnsi="Arial" w:cs="Arial"/>
          <w:b/>
          <w:bCs/>
          <w:sz w:val="24"/>
        </w:rPr>
        <w:t>AI Applications in Intelligent Warehousing and Health Informatics</w:t>
      </w:r>
    </w:p>
    <w:p w14:paraId="6950637F" w14:textId="77777777" w:rsidR="009745FC" w:rsidRPr="00F31944" w:rsidRDefault="009745FC">
      <w:pPr>
        <w:jc w:val="center"/>
        <w:rPr>
          <w:rFonts w:ascii="Arial" w:hAnsi="Arial" w:cs="Arial"/>
          <w:b/>
          <w:bCs/>
          <w:sz w:val="24"/>
        </w:rPr>
      </w:pPr>
    </w:p>
    <w:p w14:paraId="44A3365C" w14:textId="77777777" w:rsidR="00222696" w:rsidRPr="00F31944" w:rsidRDefault="00000000">
      <w:pPr>
        <w:jc w:val="center"/>
        <w:rPr>
          <w:rFonts w:ascii="Arial" w:hAnsi="Arial" w:cs="Arial"/>
          <w:sz w:val="24"/>
        </w:rPr>
        <w:sectPr w:rsidR="00222696" w:rsidRPr="00F31944">
          <w:pgSz w:w="11906" w:h="16838"/>
          <w:pgMar w:top="1418" w:right="1797" w:bottom="1418" w:left="1797" w:header="851" w:footer="992" w:gutter="0"/>
          <w:cols w:space="425"/>
          <w:docGrid w:type="lines" w:linePitch="312"/>
        </w:sectPr>
      </w:pPr>
      <w:r w:rsidRPr="00F31944">
        <w:rPr>
          <w:rFonts w:ascii="Arial" w:hAnsi="Arial" w:cs="Arial"/>
          <w:sz w:val="24"/>
        </w:rPr>
        <w:t>LI HAO LONG</w:t>
      </w:r>
    </w:p>
    <w:p w14:paraId="15B170BD" w14:textId="77777777" w:rsidR="00222696" w:rsidRPr="00F31944" w:rsidRDefault="00000000">
      <w:pPr>
        <w:jc w:val="center"/>
        <w:rPr>
          <w:rFonts w:ascii="Arial" w:hAnsi="Arial" w:cs="Arial"/>
          <w:sz w:val="24"/>
        </w:rPr>
        <w:sectPr w:rsidR="00222696" w:rsidRPr="00F31944">
          <w:type w:val="continuous"/>
          <w:pgSz w:w="11906" w:h="16838"/>
          <w:pgMar w:top="1418" w:right="1797" w:bottom="1418" w:left="1797" w:header="851" w:footer="992" w:gutter="0"/>
          <w:cols w:space="425"/>
          <w:docGrid w:type="lines" w:linePitch="312"/>
        </w:sectPr>
      </w:pPr>
      <w:r w:rsidRPr="00F31944">
        <w:rPr>
          <w:rFonts w:ascii="Arial" w:hAnsi="Arial" w:cs="Arial"/>
          <w:sz w:val="24"/>
        </w:rPr>
        <w:br/>
        <w:t xml:space="preserve">Email: </w:t>
      </w:r>
      <w:hyperlink r:id="rId6" w:history="1">
        <w:r w:rsidR="00222696" w:rsidRPr="00F31944">
          <w:rPr>
            <w:rStyle w:val="aa"/>
            <w:rFonts w:ascii="Arial" w:hAnsi="Arial" w:cs="Arial"/>
            <w:sz w:val="24"/>
          </w:rPr>
          <w:t>2216882968@qq.com</w:t>
        </w:r>
      </w:hyperlink>
    </w:p>
    <w:p w14:paraId="5646F7FE" w14:textId="77777777" w:rsidR="00222696" w:rsidRPr="00F31944" w:rsidRDefault="00222696">
      <w:pPr>
        <w:jc w:val="center"/>
        <w:rPr>
          <w:rFonts w:ascii="Arial" w:hAnsi="Arial" w:cs="Arial"/>
          <w:sz w:val="24"/>
        </w:rPr>
      </w:pPr>
    </w:p>
    <w:p w14:paraId="2470B1BC" w14:textId="49AAB3DB" w:rsidR="00222696" w:rsidRPr="00F31944" w:rsidRDefault="00000000">
      <w:pPr>
        <w:pStyle w:val="ab"/>
        <w:numPr>
          <w:ilvl w:val="0"/>
          <w:numId w:val="1"/>
        </w:numPr>
        <w:spacing w:beforeLines="100" w:before="312" w:afterLines="100" w:after="312"/>
        <w:ind w:left="0" w:firstLineChars="0" w:firstLine="0"/>
        <w:rPr>
          <w:rFonts w:ascii="Arial" w:hAnsi="Arial" w:cs="Arial"/>
          <w:sz w:val="24"/>
        </w:rPr>
      </w:pPr>
      <w:r w:rsidRPr="00F31944">
        <w:rPr>
          <w:rFonts w:ascii="Arial" w:hAnsi="Arial" w:cs="Arial"/>
          <w:b/>
          <w:bCs/>
          <w:sz w:val="24"/>
        </w:rPr>
        <w:t>Introduction</w:t>
      </w:r>
      <w:r w:rsidRPr="00F31944">
        <w:rPr>
          <w:rFonts w:ascii="Arial" w:hAnsi="Arial" w:cs="Arial"/>
          <w:b/>
          <w:bCs/>
          <w:sz w:val="24"/>
        </w:rPr>
        <w:br/>
      </w:r>
      <w:r w:rsidR="00F31944" w:rsidRPr="00F31944">
        <w:rPr>
          <w:rFonts w:ascii="Arial" w:hAnsi="Arial" w:cs="Arial"/>
          <w:sz w:val="24"/>
        </w:rPr>
        <w:t>Artificial intelligence (AI) has become a transformative force across various departments, reshaping operational paradigms and decision-making frameworks. This article focuses on two strategically significant fields - intelligent warehouses and health informatics - where the application of artificial intelligence has demonstrated distinct but profound impacts. The reason for choosing these fields for comparative analysis is that they are representative in the field of artificial intelligence applications. In the field of health informatics, artificial intelligence is not only a technological enhancement but also a driving force for integrated health information systems, decision support frameworks, and digital health services. It fundamentally changes the way health data is collected, processed, and used to improve health management and service provision. On the contrary, in the field of intelligent warehousing, artificial intelligence not only significantly enhances efficiency but also optimizes inventory management, resource allocation, and logistics coordination, driving the operational transformation of the entire supply chain ecosystem. This comparison highlights domain-specific features such as data sensitivity, fault tolerance, and ethical constraints, as well as how to shape effective implementation strategies for artificial intelligence.</w:t>
      </w:r>
    </w:p>
    <w:p w14:paraId="0D5459DD" w14:textId="77777777" w:rsidR="00222696" w:rsidRPr="00F31944" w:rsidRDefault="00000000">
      <w:pPr>
        <w:pStyle w:val="ab"/>
        <w:numPr>
          <w:ilvl w:val="0"/>
          <w:numId w:val="1"/>
        </w:numPr>
        <w:spacing w:beforeLines="100" w:before="312" w:afterLines="100" w:after="312"/>
        <w:ind w:left="0" w:firstLineChars="0" w:firstLine="0"/>
        <w:rPr>
          <w:rFonts w:ascii="Arial" w:hAnsi="Arial" w:cs="Arial"/>
          <w:sz w:val="24"/>
          <w:u w:val="single"/>
        </w:rPr>
      </w:pPr>
      <w:r w:rsidRPr="00F31944">
        <w:rPr>
          <w:rFonts w:ascii="Arial" w:hAnsi="Arial" w:cs="Arial"/>
          <w:b/>
          <w:bCs/>
          <w:sz w:val="24"/>
        </w:rPr>
        <w:t>Comparative Analysis of AI Applications</w:t>
      </w:r>
    </w:p>
    <w:p w14:paraId="6A2E5E0F" w14:textId="56CF9C6B" w:rsidR="00222696" w:rsidRPr="00F31944" w:rsidRDefault="00000000">
      <w:pPr>
        <w:pStyle w:val="ab"/>
        <w:numPr>
          <w:ilvl w:val="1"/>
          <w:numId w:val="1"/>
        </w:numPr>
        <w:spacing w:beforeLines="100" w:before="312" w:afterLines="100" w:after="312"/>
        <w:ind w:left="0" w:firstLineChars="0" w:firstLine="0"/>
        <w:rPr>
          <w:rFonts w:ascii="Arial" w:hAnsi="Arial" w:cs="Arial"/>
          <w:i/>
          <w:iCs/>
          <w:sz w:val="24"/>
        </w:rPr>
      </w:pPr>
      <w:r w:rsidRPr="00F31944">
        <w:rPr>
          <w:rFonts w:ascii="Arial" w:hAnsi="Arial" w:cs="Arial"/>
          <w:sz w:val="24"/>
        </w:rPr>
        <w:t>AI Techniques in Domain Literature</w:t>
      </w:r>
      <w:r w:rsidRPr="00F31944">
        <w:rPr>
          <w:rFonts w:ascii="Arial" w:hAnsi="Arial" w:cs="Arial"/>
          <w:sz w:val="24"/>
        </w:rPr>
        <w:br/>
      </w:r>
      <w:r w:rsidRPr="00F31944">
        <w:rPr>
          <w:rFonts w:ascii="Arial" w:hAnsi="Arial" w:cs="Arial"/>
          <w:b/>
          <w:bCs/>
          <w:i/>
          <w:iCs/>
          <w:sz w:val="24"/>
        </w:rPr>
        <w:t>Intelligent Warehousing:</w:t>
      </w:r>
      <w:r w:rsidRPr="00F31944">
        <w:rPr>
          <w:rFonts w:ascii="Arial" w:hAnsi="Arial" w:cs="Arial"/>
          <w:sz w:val="24"/>
        </w:rPr>
        <w:t xml:space="preserve"> AI in intelligent warehousing commonly employs machine learning, reinforcement learning, computer vision, and digital twins to support tasks such as demand forecasting, path optimization, visual recognition, and system simulation [3].</w:t>
      </w:r>
      <w:r w:rsidR="0089798C" w:rsidRPr="00F31944">
        <w:rPr>
          <w:rFonts w:ascii="Arial" w:hAnsi="Arial" w:cs="Arial"/>
          <w:sz w:val="24"/>
        </w:rPr>
        <w:br/>
      </w:r>
      <w:r w:rsidRPr="00F31944">
        <w:rPr>
          <w:rFonts w:ascii="Arial" w:hAnsi="Arial" w:cs="Arial"/>
          <w:b/>
          <w:bCs/>
          <w:i/>
          <w:iCs/>
          <w:sz w:val="24"/>
        </w:rPr>
        <w:t>Health Informatics:</w:t>
      </w:r>
      <w:r w:rsidRPr="00F31944">
        <w:rPr>
          <w:rFonts w:ascii="Arial" w:hAnsi="Arial" w:cs="Arial"/>
          <w:sz w:val="24"/>
        </w:rPr>
        <w:t xml:space="preserve"> AI applications in health informatics typically rely on deep learning, natural language processing, predictive modeling, and federated learning to support health data management, decision-support systems, and digital health services [4]. </w:t>
      </w:r>
    </w:p>
    <w:p w14:paraId="0DFEECCB" w14:textId="75B095FA" w:rsidR="00393276" w:rsidRPr="00F31944" w:rsidRDefault="00000000">
      <w:pPr>
        <w:pStyle w:val="ab"/>
        <w:numPr>
          <w:ilvl w:val="1"/>
          <w:numId w:val="1"/>
        </w:numPr>
        <w:spacing w:beforeLines="100" w:before="312" w:afterLines="100" w:after="312"/>
        <w:ind w:left="0" w:firstLineChars="0" w:firstLine="0"/>
        <w:rPr>
          <w:rFonts w:ascii="Arial" w:hAnsi="Arial" w:cs="Arial"/>
          <w:i/>
          <w:iCs/>
          <w:sz w:val="24"/>
        </w:rPr>
      </w:pPr>
      <w:r w:rsidRPr="00F31944">
        <w:rPr>
          <w:rFonts w:ascii="Arial" w:hAnsi="Arial" w:cs="Arial"/>
          <w:sz w:val="24"/>
        </w:rPr>
        <w:t>Domain-Specific Challenges and Technical Solutions</w:t>
      </w:r>
      <w:r w:rsidRPr="00F31944">
        <w:rPr>
          <w:rFonts w:ascii="Arial" w:hAnsi="Arial" w:cs="Arial"/>
          <w:sz w:val="24"/>
        </w:rPr>
        <w:br/>
      </w:r>
      <w:r w:rsidRPr="00F31944">
        <w:rPr>
          <w:rFonts w:ascii="Arial" w:hAnsi="Arial" w:cs="Arial"/>
          <w:b/>
          <w:bCs/>
          <w:sz w:val="24"/>
        </w:rPr>
        <w:t>Intelligent warehousing</w:t>
      </w:r>
      <w:r w:rsidRPr="00F31944">
        <w:rPr>
          <w:rFonts w:ascii="Arial" w:hAnsi="Arial" w:cs="Arial"/>
          <w:sz w:val="24"/>
        </w:rPr>
        <w:t xml:space="preserve"> tackles dynamic inventory and operational complexity using machine learning, reinforcement learning, and digital twins, whereas </w:t>
      </w:r>
      <w:r w:rsidR="0089798C" w:rsidRPr="00F31944">
        <w:rPr>
          <w:rFonts w:ascii="Arial" w:hAnsi="Arial" w:cs="Arial"/>
          <w:sz w:val="24"/>
        </w:rPr>
        <w:br/>
      </w:r>
      <w:r w:rsidRPr="00F31944">
        <w:rPr>
          <w:rFonts w:ascii="Arial" w:hAnsi="Arial" w:cs="Arial"/>
          <w:b/>
          <w:bCs/>
          <w:sz w:val="24"/>
        </w:rPr>
        <w:t>health informatics</w:t>
      </w:r>
      <w:r w:rsidRPr="00F31944">
        <w:rPr>
          <w:rFonts w:ascii="Arial" w:hAnsi="Arial" w:cs="Arial"/>
          <w:sz w:val="24"/>
        </w:rPr>
        <w:t xml:space="preserve"> addresses heterogeneous data, privacy, and interpretability through deep learning, federated learning, and explainable AI.</w:t>
      </w:r>
    </w:p>
    <w:tbl>
      <w:tblPr>
        <w:tblStyle w:val="OPExcelTableContent-3481"/>
        <w:tblpPr w:leftFromText="180" w:rightFromText="180" w:vertAnchor="text" w:horzAnchor="margin" w:tblpY="262"/>
        <w:tblW w:w="5000" w:type="pct"/>
        <w:tblLook w:val="04A0" w:firstRow="1" w:lastRow="0" w:firstColumn="1" w:lastColumn="0" w:noHBand="0" w:noVBand="1"/>
      </w:tblPr>
      <w:tblGrid>
        <w:gridCol w:w="2842"/>
        <w:gridCol w:w="2843"/>
        <w:gridCol w:w="2843"/>
      </w:tblGrid>
      <w:tr w:rsidR="00393276" w:rsidRPr="00F31944" w14:paraId="22B5306A" w14:textId="77777777" w:rsidTr="00393276">
        <w:trPr>
          <w:cnfStyle w:val="100000000000" w:firstRow="1" w:lastRow="0" w:firstColumn="0" w:lastColumn="0" w:oddVBand="0" w:evenVBand="0" w:oddHBand="0" w:evenHBand="0" w:firstRowFirstColumn="0" w:firstRowLastColumn="0" w:lastRowFirstColumn="0" w:lastRowLastColumn="0"/>
        </w:trPr>
        <w:tc>
          <w:tcPr>
            <w:tcW w:w="1666" w:type="pct"/>
            <w:tcBorders>
              <w:right w:val="single" w:sz="4" w:space="0" w:color="FFC94A"/>
            </w:tcBorders>
          </w:tcPr>
          <w:p w14:paraId="2F9FC2D7" w14:textId="77777777" w:rsidR="00393276" w:rsidRPr="00F31944" w:rsidRDefault="00393276" w:rsidP="00393276">
            <w:pPr>
              <w:pStyle w:val="ab"/>
              <w:spacing w:beforeLines="100" w:before="312" w:afterLines="100" w:after="312"/>
              <w:ind w:firstLineChars="0" w:firstLine="0"/>
              <w:rPr>
                <w:rFonts w:ascii="Arial" w:hAnsi="Arial" w:cs="Arial"/>
                <w:b w:val="0"/>
                <w:sz w:val="24"/>
              </w:rPr>
            </w:pPr>
            <w:r w:rsidRPr="00F31944">
              <w:rPr>
                <w:rFonts w:ascii="Arial" w:hAnsi="Arial" w:cs="Arial"/>
                <w:sz w:val="24"/>
              </w:rPr>
              <w:lastRenderedPageBreak/>
              <w:t>Domain</w:t>
            </w:r>
          </w:p>
        </w:tc>
        <w:tc>
          <w:tcPr>
            <w:tcW w:w="1667" w:type="pct"/>
            <w:tcBorders>
              <w:right w:val="single" w:sz="4" w:space="0" w:color="FFC94A"/>
            </w:tcBorders>
          </w:tcPr>
          <w:p w14:paraId="1F026ECD" w14:textId="77777777" w:rsidR="00393276" w:rsidRPr="00F31944" w:rsidRDefault="00393276" w:rsidP="00393276">
            <w:pPr>
              <w:pStyle w:val="ab"/>
              <w:spacing w:beforeLines="100" w:before="312" w:afterLines="100" w:after="312"/>
              <w:ind w:firstLineChars="0" w:firstLine="0"/>
              <w:rPr>
                <w:rFonts w:ascii="Arial" w:hAnsi="Arial" w:cs="Arial"/>
                <w:b w:val="0"/>
                <w:sz w:val="24"/>
              </w:rPr>
            </w:pPr>
            <w:r w:rsidRPr="00F31944">
              <w:rPr>
                <w:rFonts w:ascii="Arial" w:hAnsi="Arial" w:cs="Arial"/>
                <w:sz w:val="24"/>
              </w:rPr>
              <w:t>Key Challenge</w:t>
            </w:r>
          </w:p>
        </w:tc>
        <w:tc>
          <w:tcPr>
            <w:tcW w:w="1667" w:type="pct"/>
          </w:tcPr>
          <w:p w14:paraId="3B6166E5" w14:textId="77777777" w:rsidR="00393276" w:rsidRPr="00F31944" w:rsidRDefault="00393276" w:rsidP="00393276">
            <w:pPr>
              <w:pStyle w:val="ab"/>
              <w:spacing w:beforeLines="100" w:before="312" w:afterLines="100" w:after="312"/>
              <w:ind w:firstLineChars="0" w:firstLine="0"/>
              <w:rPr>
                <w:rFonts w:ascii="Arial" w:hAnsi="Arial" w:cs="Arial"/>
                <w:b w:val="0"/>
                <w:sz w:val="24"/>
              </w:rPr>
            </w:pPr>
            <w:r w:rsidRPr="00F31944">
              <w:rPr>
                <w:rFonts w:ascii="Arial" w:hAnsi="Arial" w:cs="Arial"/>
                <w:sz w:val="24"/>
              </w:rPr>
              <w:t>AI Solution</w:t>
            </w:r>
          </w:p>
        </w:tc>
      </w:tr>
      <w:tr w:rsidR="00393276" w:rsidRPr="00F31944" w14:paraId="4AF956CB" w14:textId="77777777" w:rsidTr="006B6A70">
        <w:trPr>
          <w:trHeight w:val="1884"/>
        </w:trPr>
        <w:tc>
          <w:tcPr>
            <w:tcW w:w="1666" w:type="pct"/>
          </w:tcPr>
          <w:p w14:paraId="1C0F2874"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Intelligent warehousing</w:t>
            </w:r>
          </w:p>
        </w:tc>
        <w:tc>
          <w:tcPr>
            <w:tcW w:w="1667" w:type="pct"/>
          </w:tcPr>
          <w:p w14:paraId="0C8FAABB"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Poor real-time performance and complex inventory management</w:t>
            </w:r>
          </w:p>
        </w:tc>
        <w:tc>
          <w:tcPr>
            <w:tcW w:w="1667" w:type="pct"/>
          </w:tcPr>
          <w:p w14:paraId="7E95916F"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Process intelligence is achieved by adopting technologies such as machine learning, the Internet of Things, automated robots, and digital twins [5].</w:t>
            </w:r>
          </w:p>
        </w:tc>
      </w:tr>
      <w:tr w:rsidR="00393276" w:rsidRPr="00F31944" w14:paraId="042F27B6" w14:textId="77777777" w:rsidTr="00393276">
        <w:tc>
          <w:tcPr>
            <w:tcW w:w="1666" w:type="pct"/>
          </w:tcPr>
          <w:p w14:paraId="5A83932B"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Intelligent warehousing</w:t>
            </w:r>
          </w:p>
        </w:tc>
        <w:tc>
          <w:tcPr>
            <w:tcW w:w="1667" w:type="pct"/>
          </w:tcPr>
          <w:p w14:paraId="04B1C845"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Traditional warehousing systems have difficulty handling large amounts of heterogeneous data and dynamic changes</w:t>
            </w:r>
          </w:p>
        </w:tc>
        <w:tc>
          <w:tcPr>
            <w:tcW w:w="1667" w:type="pct"/>
          </w:tcPr>
          <w:p w14:paraId="335CA4E8"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Introduce machine learning models for demand forecasting, inventory optimization, path planning [6].</w:t>
            </w:r>
          </w:p>
        </w:tc>
      </w:tr>
      <w:tr w:rsidR="00393276" w:rsidRPr="00F31944" w14:paraId="2A11C2B8" w14:textId="77777777" w:rsidTr="00393276">
        <w:tc>
          <w:tcPr>
            <w:tcW w:w="1666" w:type="pct"/>
          </w:tcPr>
          <w:p w14:paraId="201312EA"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Health Informatics</w:t>
            </w:r>
          </w:p>
        </w:tc>
        <w:tc>
          <w:tcPr>
            <w:tcW w:w="1667" w:type="pct"/>
          </w:tcPr>
          <w:p w14:paraId="16C94B6A"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The data in the health system is highly dimensional, heterogeneous, sparse and has missing labels</w:t>
            </w:r>
          </w:p>
        </w:tc>
        <w:tc>
          <w:tcPr>
            <w:tcW w:w="1667" w:type="pct"/>
          </w:tcPr>
          <w:p w14:paraId="435EE205"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Break through data bottlenecks by leveraging technologies such as deep learning, multimodal fusion, and transfer learning [7].</w:t>
            </w:r>
          </w:p>
        </w:tc>
      </w:tr>
      <w:tr w:rsidR="00393276" w:rsidRPr="00F31944" w14:paraId="5559AC05" w14:textId="77777777" w:rsidTr="006B6A70">
        <w:trPr>
          <w:trHeight w:val="878"/>
        </w:trPr>
        <w:tc>
          <w:tcPr>
            <w:tcW w:w="1666" w:type="pct"/>
          </w:tcPr>
          <w:p w14:paraId="0667CBB6"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Health Informatics</w:t>
            </w:r>
          </w:p>
        </w:tc>
        <w:tc>
          <w:tcPr>
            <w:tcW w:w="1667" w:type="pct"/>
          </w:tcPr>
          <w:p w14:paraId="56FEC7CD" w14:textId="77777777" w:rsidR="00393276" w:rsidRPr="00F31944" w:rsidRDefault="00393276" w:rsidP="00393276">
            <w:pPr>
              <w:pStyle w:val="ab"/>
              <w:spacing w:beforeLines="100" w:before="312" w:afterLines="100" w:after="312"/>
              <w:ind w:firstLineChars="0" w:firstLine="0"/>
              <w:rPr>
                <w:rFonts w:ascii="Arial" w:hAnsi="Arial" w:cs="Arial"/>
                <w:sz w:val="24"/>
              </w:rPr>
            </w:pPr>
            <w:r w:rsidRPr="00F31944">
              <w:rPr>
                <w:rFonts w:ascii="Arial" w:hAnsi="Arial" w:cs="Arial"/>
                <w:sz w:val="24"/>
              </w:rPr>
              <w:t>Health AI is confronted with issues of privacy, security, explainability and trust</w:t>
            </w:r>
          </w:p>
        </w:tc>
        <w:tc>
          <w:tcPr>
            <w:tcW w:w="1667" w:type="pct"/>
          </w:tcPr>
          <w:p w14:paraId="0743F6A4" w14:textId="77777777" w:rsidR="00393276" w:rsidRPr="00F31944" w:rsidRDefault="00393276" w:rsidP="00393276">
            <w:pPr>
              <w:pStyle w:val="ab"/>
              <w:keepNext/>
              <w:spacing w:beforeLines="100" w:before="312" w:afterLines="100" w:after="312"/>
              <w:ind w:firstLineChars="0" w:firstLine="0"/>
              <w:rPr>
                <w:rFonts w:ascii="Arial" w:hAnsi="Arial" w:cs="Arial"/>
                <w:sz w:val="24"/>
              </w:rPr>
            </w:pPr>
            <w:r w:rsidRPr="00F31944">
              <w:rPr>
                <w:rFonts w:ascii="Arial" w:hAnsi="Arial" w:cs="Arial"/>
                <w:sz w:val="24"/>
              </w:rPr>
              <w:t>Introduce secure multi-party computation, explainable AI, privacy protection frameworks [8].</w:t>
            </w:r>
          </w:p>
        </w:tc>
      </w:tr>
    </w:tbl>
    <w:p w14:paraId="7BF3ED89" w14:textId="5B9B8CC2" w:rsidR="006B6A70" w:rsidRPr="00F31944" w:rsidRDefault="00393276" w:rsidP="006B6A70">
      <w:pPr>
        <w:pStyle w:val="ab"/>
        <w:numPr>
          <w:ilvl w:val="1"/>
          <w:numId w:val="1"/>
        </w:numPr>
        <w:spacing w:beforeLines="100" w:before="312" w:afterLines="100" w:after="312"/>
        <w:ind w:left="0" w:firstLineChars="0" w:firstLine="0"/>
        <w:rPr>
          <w:rFonts w:ascii="Arial" w:hAnsi="Arial" w:cs="Arial"/>
          <w:sz w:val="24"/>
        </w:rPr>
        <w:sectPr w:rsidR="006B6A70" w:rsidRPr="00F31944">
          <w:type w:val="continuous"/>
          <w:pgSz w:w="11906" w:h="16838"/>
          <w:pgMar w:top="1418" w:right="1797" w:bottom="1418" w:left="1797" w:header="851" w:footer="992" w:gutter="0"/>
          <w:cols w:space="425"/>
          <w:docGrid w:type="lines" w:linePitch="312"/>
        </w:sectPr>
      </w:pPr>
      <w:r w:rsidRPr="00F31944">
        <w:rPr>
          <w:rFonts w:ascii="Arial" w:hAnsi="Arial" w:cs="Arial"/>
          <w:sz w:val="24"/>
        </w:rPr>
        <w:t>Ethical Implications</w:t>
      </w:r>
      <w:r w:rsidRPr="00F31944">
        <w:rPr>
          <w:rFonts w:ascii="Arial" w:hAnsi="Arial" w:cs="Arial"/>
          <w:sz w:val="24"/>
        </w:rPr>
        <w:br/>
      </w:r>
      <w:r w:rsidRPr="00F31944">
        <w:rPr>
          <w:rFonts w:ascii="Arial" w:hAnsi="Arial" w:cs="Arial"/>
          <w:b/>
          <w:bCs/>
          <w:i/>
          <w:iCs/>
          <w:sz w:val="24"/>
        </w:rPr>
        <w:t>AI Warehousing:</w:t>
      </w:r>
      <w:r w:rsidRPr="00F31944">
        <w:rPr>
          <w:rFonts w:ascii="Arial" w:hAnsi="Arial" w:cs="Arial"/>
          <w:sz w:val="24"/>
        </w:rPr>
        <w:t xml:space="preserve"> AI-driven automation in warehousing is associated with workforce reductions, with reports showing a 20–25% decrease in labor demand in highly automated fulfillment centers. Moreover, 50–70% of logistics and transportation jobs may be affected by automation by 2030, disproportionately impacting routine, low-skill workers and potentially widening economic inequality. To mitigate these risks, the literature suggests strategies such as reskilling and upskilling programs, redesigning roles for human–AI </w:t>
      </w:r>
      <w:r w:rsidRPr="00F31944">
        <w:rPr>
          <w:rFonts w:ascii="Arial" w:hAnsi="Arial" w:cs="Arial"/>
          <w:sz w:val="24"/>
        </w:rPr>
        <w:lastRenderedPageBreak/>
        <w:t>collaboration, adopting phased automation, and maintaining transparent communication to support workforce adaptation [9].</w:t>
      </w:r>
      <w:r w:rsidRPr="00F31944">
        <w:rPr>
          <w:rFonts w:ascii="Arial" w:hAnsi="Arial" w:cs="Arial"/>
          <w:sz w:val="24"/>
        </w:rPr>
        <w:br/>
        <w:t>Health informatics</w:t>
      </w:r>
      <w:r w:rsidRPr="00F31944">
        <w:rPr>
          <w:rFonts w:ascii="Arial" w:hAnsi="Arial" w:cs="Arial"/>
          <w:sz w:val="24"/>
        </w:rPr>
        <w:br/>
      </w:r>
      <w:r w:rsidRPr="00F31944">
        <w:rPr>
          <w:rFonts w:ascii="Arial" w:hAnsi="Arial" w:cs="Arial"/>
          <w:b/>
          <w:bCs/>
          <w:i/>
          <w:iCs/>
          <w:sz w:val="24"/>
        </w:rPr>
        <w:t>health informatics:</w:t>
      </w:r>
      <w:r w:rsidRPr="00F31944">
        <w:rPr>
          <w:rFonts w:ascii="Arial" w:hAnsi="Arial" w:cs="Arial"/>
          <w:sz w:val="24"/>
        </w:rPr>
        <w:t xml:space="preserve"> key ethical concerns include the sensitivity and privacy of patient records, the lack of interpretability in clinical AI models[10], and the risk of biased outcomes that disproportionately impact certain patient groups[11]. Federated learning offers a privacy-preserving alternative to centralized data sharing, whereas explainable AI techniques improve model transparency for clinicians. Additionally, fairness-aware machine learning frameworks are recommended to mitigate demographic bias and promote equitable healthcare outcomes.</w:t>
      </w:r>
      <w:r w:rsidR="006B6A70" w:rsidRPr="00F31944">
        <w:rPr>
          <w:rFonts w:ascii="Arial" w:hAnsi="Arial" w:cs="Arial"/>
          <w:sz w:val="24"/>
        </w:rPr>
        <w:br/>
      </w:r>
    </w:p>
    <w:p w14:paraId="3FD0668C" w14:textId="77777777" w:rsidR="00222696" w:rsidRPr="00F31944" w:rsidRDefault="00222696">
      <w:pPr>
        <w:pStyle w:val="ab"/>
        <w:spacing w:beforeLines="100" w:before="312" w:afterLines="100" w:after="312"/>
        <w:ind w:firstLineChars="0" w:firstLine="0"/>
        <w:rPr>
          <w:rFonts w:ascii="Arial" w:hAnsi="Arial" w:cs="Arial"/>
          <w:i/>
          <w:iCs/>
          <w:sz w:val="24"/>
        </w:rPr>
      </w:pPr>
    </w:p>
    <w:p w14:paraId="7D368106" w14:textId="77777777" w:rsidR="000853CA" w:rsidRPr="00F31944" w:rsidRDefault="000853CA" w:rsidP="00755422">
      <w:pPr>
        <w:pStyle w:val="ab"/>
        <w:numPr>
          <w:ilvl w:val="0"/>
          <w:numId w:val="1"/>
        </w:numPr>
        <w:spacing w:beforeLines="100" w:before="312" w:afterLines="100" w:after="312"/>
        <w:ind w:firstLineChars="0"/>
        <w:rPr>
          <w:rFonts w:ascii="Arial" w:hAnsi="Arial" w:cs="Arial"/>
          <w:sz w:val="24"/>
        </w:rPr>
        <w:sectPr w:rsidR="000853CA" w:rsidRPr="00F31944">
          <w:type w:val="continuous"/>
          <w:pgSz w:w="11906" w:h="16838"/>
          <w:pgMar w:top="1418" w:right="1797" w:bottom="1418" w:left="1797" w:header="851" w:footer="992" w:gutter="0"/>
          <w:cols w:num="2" w:space="425"/>
          <w:docGrid w:type="lines" w:linePitch="312"/>
        </w:sectPr>
      </w:pPr>
    </w:p>
    <w:p w14:paraId="54FC97ED" w14:textId="3E382092" w:rsidR="000853CA" w:rsidRPr="00F31944" w:rsidRDefault="00755422" w:rsidP="000853CA">
      <w:pPr>
        <w:pStyle w:val="ab"/>
        <w:numPr>
          <w:ilvl w:val="0"/>
          <w:numId w:val="1"/>
        </w:numPr>
        <w:spacing w:beforeLines="100" w:before="312" w:afterLines="100" w:after="312"/>
        <w:ind w:left="0" w:firstLineChars="0" w:firstLine="0"/>
        <w:rPr>
          <w:rFonts w:ascii="Arial" w:hAnsi="Arial" w:cs="Arial"/>
          <w:b/>
          <w:bCs/>
          <w:sz w:val="24"/>
        </w:rPr>
      </w:pPr>
      <w:r w:rsidRPr="00F31944">
        <w:rPr>
          <w:rFonts w:ascii="Arial" w:hAnsi="Arial" w:cs="Arial"/>
          <w:b/>
          <w:bCs/>
          <w:sz w:val="24"/>
        </w:rPr>
        <w:t>Critical Review</w:t>
      </w:r>
      <w:r w:rsidR="000853CA" w:rsidRPr="00F31944">
        <w:rPr>
          <w:rFonts w:ascii="Arial" w:hAnsi="Arial" w:cs="Arial"/>
          <w:b/>
          <w:bCs/>
          <w:sz w:val="24"/>
        </w:rPr>
        <w:br/>
      </w:r>
      <w:r w:rsidR="000853CA" w:rsidRPr="00F31944">
        <w:rPr>
          <w:rFonts w:ascii="Arial" w:hAnsi="Arial" w:cs="Arial"/>
          <w:sz w:val="24"/>
        </w:rPr>
        <w:t>This work has reviewed the applications of AI in intelligent warehousing and health informatics, identifying how each domain benefits from automation and data-driven decision support. However, the review also shows that these technologies face distinct constraints: warehousing systems must balance efficiency gains with potential labor displacement, while health informatics must address privacy and model transparency to maintain clinical trust. Although the proposed AI solutions are promising, their effectiveness depends on organizational readiness, regulatory frameworks, and the ability to integrate human expertise. Future research should therefore place greater emphasis on responsible deployment and long-term social impacts.</w:t>
      </w:r>
    </w:p>
    <w:p w14:paraId="57A685F9" w14:textId="10E984DE" w:rsidR="000853CA" w:rsidRPr="00F31944" w:rsidRDefault="000853CA" w:rsidP="000853CA">
      <w:pPr>
        <w:pStyle w:val="ab"/>
        <w:numPr>
          <w:ilvl w:val="0"/>
          <w:numId w:val="1"/>
        </w:numPr>
        <w:spacing w:beforeLines="100" w:before="312" w:afterLines="100" w:after="312"/>
        <w:ind w:left="0" w:firstLineChars="0" w:firstLine="0"/>
        <w:rPr>
          <w:rFonts w:ascii="Arial" w:hAnsi="Arial" w:cs="Arial"/>
          <w:b/>
          <w:bCs/>
          <w:sz w:val="24"/>
        </w:rPr>
      </w:pPr>
      <w:r w:rsidRPr="00F31944">
        <w:rPr>
          <w:rFonts w:ascii="Arial" w:hAnsi="Arial" w:cs="Arial"/>
          <w:b/>
          <w:bCs/>
          <w:sz w:val="24"/>
        </w:rPr>
        <w:t>Conclusion</w:t>
      </w:r>
      <w:r w:rsidRPr="00F31944">
        <w:rPr>
          <w:rFonts w:ascii="Arial" w:hAnsi="Arial" w:cs="Arial"/>
          <w:b/>
          <w:bCs/>
          <w:sz w:val="24"/>
        </w:rPr>
        <w:br/>
      </w:r>
      <w:r w:rsidRPr="00F31944">
        <w:rPr>
          <w:rFonts w:ascii="Arial" w:hAnsi="Arial" w:cs="Arial"/>
          <w:sz w:val="24"/>
        </w:rPr>
        <w:t>The comparison of AI in intelligent warehousing and health informatics demonstrates that AI adoption is deeply shaped by domain-specific priorities. While warehousing emphasizes operational optimization and workflow automation, health informatics requires privacy-preserving and interpretable AI to support safe and ethical clinical use. The study highlights that successful AI implementation relies not only on technical capability, but also on ethical alignment and human-centered integration. Continued interdisciplinary development will be essential to ensure that AI systems contribute positively to both industrial efficiency and public well-being.</w:t>
      </w:r>
    </w:p>
    <w:p w14:paraId="28CD00F5" w14:textId="094AC16A" w:rsidR="000853CA" w:rsidRPr="00F31944" w:rsidRDefault="000853CA" w:rsidP="000853CA">
      <w:pPr>
        <w:rPr>
          <w:rFonts w:ascii="Arial" w:hAnsi="Arial" w:cs="Arial"/>
          <w:sz w:val="24"/>
        </w:rPr>
      </w:pPr>
      <w:r w:rsidRPr="00F31944">
        <w:rPr>
          <w:rFonts w:ascii="Arial" w:hAnsi="Arial" w:cs="Arial"/>
          <w:b/>
          <w:bCs/>
          <w:sz w:val="24"/>
        </w:rPr>
        <w:t>5. References</w:t>
      </w:r>
      <w:r w:rsidRPr="00F31944">
        <w:rPr>
          <w:rFonts w:ascii="Arial" w:hAnsi="Arial" w:cs="Arial"/>
          <w:sz w:val="24"/>
        </w:rPr>
        <w:br/>
        <w:t xml:space="preserve">[1] “Artificial intelligence in healthcare: transforming the practice of medicine” by </w:t>
      </w:r>
      <w:hyperlink r:id="rId7" w:history="1">
        <w:r w:rsidRPr="00F31944">
          <w:rPr>
            <w:rFonts w:ascii="Arial" w:hAnsi="Arial" w:cs="Arial"/>
            <w:sz w:val="24"/>
          </w:rPr>
          <w:t>Junaid Bajwa</w:t>
        </w:r>
      </w:hyperlink>
      <w:r w:rsidRPr="00F31944">
        <w:rPr>
          <w:rFonts w:ascii="Arial" w:hAnsi="Arial" w:cs="Arial"/>
          <w:sz w:val="24"/>
        </w:rPr>
        <w:t> , </w:t>
      </w:r>
      <w:hyperlink r:id="rId8" w:history="1">
        <w:r w:rsidRPr="00F31944">
          <w:rPr>
            <w:rFonts w:ascii="Arial" w:hAnsi="Arial" w:cs="Arial"/>
            <w:sz w:val="24"/>
          </w:rPr>
          <w:t>Usman Munir</w:t>
        </w:r>
      </w:hyperlink>
      <w:r w:rsidRPr="00F31944">
        <w:rPr>
          <w:rFonts w:ascii="Arial" w:hAnsi="Arial" w:cs="Arial"/>
          <w:sz w:val="24"/>
        </w:rPr>
        <w:t> B, </w:t>
      </w:r>
      <w:hyperlink r:id="rId9" w:history="1">
        <w:r w:rsidRPr="00F31944">
          <w:rPr>
            <w:rFonts w:ascii="Arial" w:hAnsi="Arial" w:cs="Arial"/>
            <w:sz w:val="24"/>
          </w:rPr>
          <w:t>Aditya Nori</w:t>
        </w:r>
      </w:hyperlink>
      <w:r w:rsidRPr="00F31944">
        <w:rPr>
          <w:rFonts w:ascii="Arial" w:hAnsi="Arial" w:cs="Arial"/>
          <w:sz w:val="24"/>
        </w:rPr>
        <w:t> C, </w:t>
      </w:r>
      <w:hyperlink r:id="rId10" w:history="1">
        <w:r w:rsidRPr="00F31944">
          <w:rPr>
            <w:rFonts w:ascii="Arial" w:hAnsi="Arial" w:cs="Arial"/>
            <w:sz w:val="24"/>
          </w:rPr>
          <w:t>Bryan Williams</w:t>
        </w:r>
      </w:hyperlink>
      <w:r w:rsidRPr="00F31944">
        <w:rPr>
          <w:rFonts w:ascii="Arial" w:hAnsi="Arial" w:cs="Arial"/>
          <w:sz w:val="24"/>
        </w:rPr>
        <w:t> D</w:t>
      </w:r>
      <w:r w:rsidRPr="00F31944">
        <w:rPr>
          <w:rFonts w:ascii="Arial" w:hAnsi="Arial" w:cs="Arial"/>
          <w:sz w:val="24"/>
        </w:rPr>
        <w:br/>
        <w:t xml:space="preserve">[2] “Artificial intelligence in logistics and supply chain management: A primer and roadmap for research” by </w:t>
      </w:r>
      <w:hyperlink r:id="rId11" w:history="1">
        <w:r w:rsidRPr="00F31944">
          <w:rPr>
            <w:rFonts w:ascii="Arial" w:hAnsi="Arial" w:cs="Arial"/>
            <w:sz w:val="24"/>
          </w:rPr>
          <w:t>Robert Glenn Richey Jr.</w:t>
        </w:r>
      </w:hyperlink>
      <w:r w:rsidRPr="00F31944">
        <w:rPr>
          <w:rFonts w:ascii="Arial" w:hAnsi="Arial" w:cs="Arial"/>
          <w:sz w:val="24"/>
        </w:rPr>
        <w:t>, </w:t>
      </w:r>
      <w:hyperlink r:id="rId12" w:history="1">
        <w:r w:rsidRPr="00F31944">
          <w:rPr>
            <w:rFonts w:ascii="Arial" w:hAnsi="Arial" w:cs="Arial"/>
            <w:sz w:val="24"/>
          </w:rPr>
          <w:t>Soumyadeb Chowdhury</w:t>
        </w:r>
      </w:hyperlink>
      <w:r w:rsidRPr="00F31944">
        <w:rPr>
          <w:rFonts w:ascii="Arial" w:hAnsi="Arial" w:cs="Arial"/>
          <w:sz w:val="24"/>
        </w:rPr>
        <w:t>, </w:t>
      </w:r>
      <w:hyperlink r:id="rId13" w:history="1">
        <w:r w:rsidRPr="00F31944">
          <w:rPr>
            <w:rFonts w:ascii="Arial" w:hAnsi="Arial" w:cs="Arial"/>
            <w:sz w:val="24"/>
          </w:rPr>
          <w:t>Beth Davis-Sramek</w:t>
        </w:r>
      </w:hyperlink>
      <w:r w:rsidRPr="00F31944">
        <w:rPr>
          <w:rFonts w:ascii="Arial" w:hAnsi="Arial" w:cs="Arial"/>
          <w:sz w:val="24"/>
        </w:rPr>
        <w:t>, </w:t>
      </w:r>
      <w:hyperlink r:id="rId14" w:history="1">
        <w:r w:rsidRPr="00F31944">
          <w:rPr>
            <w:rFonts w:ascii="Arial" w:hAnsi="Arial" w:cs="Arial"/>
            <w:sz w:val="24"/>
          </w:rPr>
          <w:t>Mihalis Giannakis</w:t>
        </w:r>
      </w:hyperlink>
      <w:r w:rsidRPr="00F31944">
        <w:rPr>
          <w:rFonts w:ascii="Arial" w:hAnsi="Arial" w:cs="Arial"/>
          <w:sz w:val="24"/>
        </w:rPr>
        <w:t>, </w:t>
      </w:r>
      <w:hyperlink r:id="rId15" w:history="1">
        <w:r w:rsidRPr="00F31944">
          <w:rPr>
            <w:rFonts w:ascii="Arial" w:hAnsi="Arial" w:cs="Arial"/>
            <w:sz w:val="24"/>
          </w:rPr>
          <w:t>Yogesh K. Dwivedi</w:t>
        </w:r>
      </w:hyperlink>
      <w:r w:rsidRPr="00F31944">
        <w:rPr>
          <w:rFonts w:ascii="Arial" w:hAnsi="Arial" w:cs="Arial"/>
          <w:sz w:val="24"/>
        </w:rPr>
        <w:br/>
        <w:t xml:space="preserve">[3]“AI-driven warehouse automation: A comprehensive review of systems” by Enoch Oluwademilade Sodiya 1, *, Uchenna Joseph </w:t>
      </w:r>
      <w:proofErr w:type="spellStart"/>
      <w:r w:rsidRPr="00F31944">
        <w:rPr>
          <w:rFonts w:ascii="Arial" w:hAnsi="Arial" w:cs="Arial"/>
          <w:sz w:val="24"/>
        </w:rPr>
        <w:t>Umoga</w:t>
      </w:r>
      <w:proofErr w:type="spellEnd"/>
      <w:r w:rsidRPr="00F31944">
        <w:rPr>
          <w:rFonts w:ascii="Arial" w:hAnsi="Arial" w:cs="Arial"/>
          <w:sz w:val="24"/>
        </w:rPr>
        <w:t xml:space="preserve"> 2, </w:t>
      </w:r>
      <w:proofErr w:type="spellStart"/>
      <w:r w:rsidRPr="00F31944">
        <w:rPr>
          <w:rFonts w:ascii="Arial" w:hAnsi="Arial" w:cs="Arial"/>
          <w:sz w:val="24"/>
        </w:rPr>
        <w:t>Olukunle</w:t>
      </w:r>
      <w:proofErr w:type="spellEnd"/>
      <w:r w:rsidRPr="00F31944">
        <w:rPr>
          <w:rFonts w:ascii="Arial" w:hAnsi="Arial" w:cs="Arial"/>
          <w:sz w:val="24"/>
        </w:rPr>
        <w:t xml:space="preserve"> </w:t>
      </w:r>
      <w:r w:rsidRPr="00F31944">
        <w:rPr>
          <w:rFonts w:ascii="Arial" w:hAnsi="Arial" w:cs="Arial"/>
          <w:sz w:val="24"/>
        </w:rPr>
        <w:lastRenderedPageBreak/>
        <w:t xml:space="preserve">Oladipupo Amoo 3 and </w:t>
      </w:r>
      <w:proofErr w:type="spellStart"/>
      <w:r w:rsidRPr="00F31944">
        <w:rPr>
          <w:rFonts w:ascii="Arial" w:hAnsi="Arial" w:cs="Arial"/>
          <w:sz w:val="24"/>
        </w:rPr>
        <w:t>Akoh</w:t>
      </w:r>
      <w:proofErr w:type="spellEnd"/>
      <w:r w:rsidRPr="00F31944">
        <w:rPr>
          <w:rFonts w:ascii="Arial" w:hAnsi="Arial" w:cs="Arial"/>
          <w:sz w:val="24"/>
        </w:rPr>
        <w:t xml:space="preserve"> </w:t>
      </w:r>
      <w:proofErr w:type="spellStart"/>
      <w:r w:rsidRPr="00F31944">
        <w:rPr>
          <w:rFonts w:ascii="Arial" w:hAnsi="Arial" w:cs="Arial"/>
          <w:sz w:val="24"/>
        </w:rPr>
        <w:t>Atadoga</w:t>
      </w:r>
      <w:proofErr w:type="spellEnd"/>
      <w:r w:rsidRPr="00F31944">
        <w:rPr>
          <w:rFonts w:ascii="Arial" w:hAnsi="Arial" w:cs="Arial"/>
          <w:sz w:val="24"/>
        </w:rPr>
        <w:t> 4</w:t>
      </w:r>
      <w:r w:rsidRPr="00F31944">
        <w:rPr>
          <w:rFonts w:ascii="Arial" w:hAnsi="Arial" w:cs="Arial"/>
          <w:sz w:val="24"/>
        </w:rPr>
        <w:br/>
        <w:t xml:space="preserve">[4]Artificial Intelligence Applications in Smart Healthcare: A Survey by Xian Gao, </w:t>
      </w:r>
      <w:proofErr w:type="spellStart"/>
      <w:r w:rsidRPr="00F31944">
        <w:rPr>
          <w:rFonts w:ascii="Arial" w:hAnsi="Arial" w:cs="Arial"/>
          <w:sz w:val="24"/>
        </w:rPr>
        <w:t>Peixiong</w:t>
      </w:r>
      <w:proofErr w:type="spellEnd"/>
      <w:r w:rsidRPr="00F31944">
        <w:rPr>
          <w:rFonts w:ascii="Arial" w:hAnsi="Arial" w:cs="Arial"/>
          <w:sz w:val="24"/>
        </w:rPr>
        <w:t xml:space="preserve"> He, Yi Zhou and Xiao Qin</w:t>
      </w:r>
      <w:r w:rsidRPr="00F31944">
        <w:rPr>
          <w:rFonts w:ascii="Arial" w:hAnsi="Arial" w:cs="Arial"/>
          <w:sz w:val="24"/>
        </w:rPr>
        <w:br/>
        <w:t>[5] Smart Warehouses: Rationale, Challenges and Solution Directions, Appl. Sci. 2022, 12(1), 219; </w:t>
      </w:r>
      <w:hyperlink r:id="rId16" w:history="1">
        <w:r w:rsidRPr="00F31944">
          <w:rPr>
            <w:rFonts w:ascii="Arial" w:hAnsi="Arial" w:cs="Arial"/>
            <w:sz w:val="24"/>
          </w:rPr>
          <w:t>https://doi.org/10.3390/app12010219</w:t>
        </w:r>
      </w:hyperlink>
      <w:r w:rsidRPr="00F31944">
        <w:rPr>
          <w:rFonts w:ascii="Arial" w:hAnsi="Arial" w:cs="Arial"/>
          <w:sz w:val="24"/>
        </w:rPr>
        <w:br/>
        <w:t xml:space="preserve">[6] Machine Learning in Warehouse Management: A Survey Author links open overlay </w:t>
      </w:r>
      <w:proofErr w:type="spellStart"/>
      <w:r w:rsidRPr="00F31944">
        <w:rPr>
          <w:rFonts w:ascii="Arial" w:hAnsi="Arial" w:cs="Arial"/>
          <w:sz w:val="24"/>
        </w:rPr>
        <w:t>panelRodrigo</w:t>
      </w:r>
      <w:proofErr w:type="spellEnd"/>
      <w:r w:rsidRPr="00F31944">
        <w:rPr>
          <w:rFonts w:ascii="Arial" w:hAnsi="Arial" w:cs="Arial"/>
          <w:sz w:val="24"/>
        </w:rPr>
        <w:t xml:space="preserve"> Furlan de Assis, Alexandre Frias Faria, Vincent Thomasset-Laperrière,</w:t>
      </w:r>
      <w:bookmarkStart w:id="0" w:name="bau0004-profile"/>
      <w:r w:rsidRPr="00F31944">
        <w:rPr>
          <w:rFonts w:ascii="Arial" w:hAnsi="Arial" w:cs="Arial"/>
          <w:sz w:val="24"/>
        </w:rPr>
        <w:t xml:space="preserve"> </w:t>
      </w:r>
      <w:hyperlink r:id="rId17" w:history="1">
        <w:r w:rsidRPr="00F31944">
          <w:rPr>
            <w:rFonts w:ascii="Arial" w:hAnsi="Arial" w:cs="Arial"/>
            <w:sz w:val="24"/>
          </w:rPr>
          <w:t>Luis Antonio Santa-Eulalia c</w:t>
        </w:r>
      </w:hyperlink>
      <w:bookmarkEnd w:id="0"/>
      <w:r w:rsidRPr="00F31944">
        <w:rPr>
          <w:rFonts w:ascii="Arial" w:hAnsi="Arial" w:cs="Arial"/>
          <w:sz w:val="24"/>
        </w:rPr>
        <w:t>, Mustapha </w:t>
      </w:r>
      <w:proofErr w:type="spellStart"/>
      <w:r w:rsidRPr="00F31944">
        <w:rPr>
          <w:rFonts w:ascii="Arial" w:hAnsi="Arial" w:cs="Arial"/>
          <w:sz w:val="24"/>
        </w:rPr>
        <w:t>Ouhimmou</w:t>
      </w:r>
      <w:proofErr w:type="spellEnd"/>
      <w:r w:rsidRPr="00F31944">
        <w:rPr>
          <w:rFonts w:ascii="Arial" w:hAnsi="Arial" w:cs="Arial"/>
          <w:sz w:val="24"/>
        </w:rPr>
        <w:t> a, William de Paula Ferreira </w:t>
      </w:r>
    </w:p>
    <w:p w14:paraId="4B34552C" w14:textId="25A7C6F4" w:rsidR="000853CA" w:rsidRPr="00F31944" w:rsidRDefault="000853CA" w:rsidP="000853CA">
      <w:pPr>
        <w:rPr>
          <w:rFonts w:ascii="Arial" w:hAnsi="Arial" w:cs="Arial"/>
          <w:sz w:val="24"/>
        </w:rPr>
      </w:pPr>
      <w:r w:rsidRPr="00F31944">
        <w:rPr>
          <w:rFonts w:ascii="Arial" w:hAnsi="Arial" w:cs="Arial"/>
          <w:sz w:val="24"/>
        </w:rPr>
        <w:t xml:space="preserve">[7] </w:t>
      </w:r>
      <w:proofErr w:type="spellStart"/>
      <w:r w:rsidRPr="00F31944">
        <w:rPr>
          <w:rFonts w:ascii="Arial" w:hAnsi="Arial" w:cs="Arial"/>
          <w:sz w:val="24"/>
        </w:rPr>
        <w:t>DeepHealth</w:t>
      </w:r>
      <w:proofErr w:type="spellEnd"/>
      <w:r w:rsidRPr="00F31944">
        <w:rPr>
          <w:rFonts w:ascii="Arial" w:hAnsi="Arial" w:cs="Arial"/>
          <w:sz w:val="24"/>
        </w:rPr>
        <w:t xml:space="preserve">: Review and challenges of artificial intelligence in health informatics (Kwak &amp; Hui, 2019) </w:t>
      </w:r>
    </w:p>
    <w:p w14:paraId="31B4645C" w14:textId="0FA25166" w:rsidR="000853CA" w:rsidRPr="00F31944" w:rsidRDefault="000853CA" w:rsidP="000853CA">
      <w:pPr>
        <w:rPr>
          <w:rFonts w:ascii="Arial" w:hAnsi="Arial" w:cs="Arial"/>
          <w:sz w:val="24"/>
        </w:rPr>
      </w:pPr>
      <w:r w:rsidRPr="00F31944">
        <w:rPr>
          <w:rFonts w:ascii="Arial" w:hAnsi="Arial" w:cs="Arial"/>
          <w:sz w:val="24"/>
        </w:rPr>
        <w:t>[8] Review article Towards secure and trusted AI in healthcare (Khan et al., 2024)</w:t>
      </w:r>
    </w:p>
    <w:p w14:paraId="466B1757" w14:textId="2B7C9957" w:rsidR="000853CA" w:rsidRPr="00F31944" w:rsidRDefault="000853CA" w:rsidP="000853CA">
      <w:pPr>
        <w:rPr>
          <w:rFonts w:ascii="Arial" w:hAnsi="Arial" w:cs="Arial"/>
          <w:sz w:val="24"/>
        </w:rPr>
      </w:pPr>
      <w:r w:rsidRPr="00F31944">
        <w:rPr>
          <w:rFonts w:ascii="Arial" w:hAnsi="Arial" w:cs="Arial"/>
          <w:sz w:val="24"/>
        </w:rPr>
        <w:t xml:space="preserve">[9] M. Garcia, "The impact of AI on warehouse employment: A case study," Journal of Business Ethics, vol. 182, no. 1, pp. 112-128, Jan. 2023, </w:t>
      </w:r>
      <w:proofErr w:type="spellStart"/>
      <w:r w:rsidRPr="00F31944">
        <w:rPr>
          <w:rFonts w:ascii="Arial" w:hAnsi="Arial" w:cs="Arial"/>
          <w:sz w:val="24"/>
        </w:rPr>
        <w:t>doi</w:t>
      </w:r>
      <w:proofErr w:type="spellEnd"/>
      <w:r w:rsidRPr="00F31944">
        <w:rPr>
          <w:rFonts w:ascii="Arial" w:hAnsi="Arial" w:cs="Arial"/>
          <w:sz w:val="24"/>
        </w:rPr>
        <w:t>: 10.1007/s10551-021-04876-7.</w:t>
      </w:r>
    </w:p>
    <w:p w14:paraId="156B4C89" w14:textId="77777777" w:rsidR="000853CA" w:rsidRPr="00F31944" w:rsidRDefault="000853CA" w:rsidP="000853CA">
      <w:pPr>
        <w:rPr>
          <w:rFonts w:ascii="Arial" w:hAnsi="Arial" w:cs="Arial"/>
          <w:sz w:val="24"/>
        </w:rPr>
      </w:pPr>
      <w:r w:rsidRPr="00F31944">
        <w:rPr>
          <w:rFonts w:ascii="Arial" w:hAnsi="Arial" w:cs="Arial"/>
          <w:sz w:val="24"/>
        </w:rPr>
        <w:t>[10] Rieke, N., et al. (2020). The future of digital health with federated learning</w:t>
      </w:r>
    </w:p>
    <w:p w14:paraId="5063D4C6" w14:textId="77777777" w:rsidR="000853CA" w:rsidRPr="00F31944" w:rsidRDefault="000853CA" w:rsidP="000853CA">
      <w:pPr>
        <w:rPr>
          <w:rFonts w:ascii="Arial" w:hAnsi="Arial" w:cs="Arial"/>
          <w:sz w:val="24"/>
        </w:rPr>
      </w:pPr>
      <w:r w:rsidRPr="00F31944">
        <w:rPr>
          <w:rFonts w:ascii="Arial" w:hAnsi="Arial" w:cs="Arial"/>
          <w:sz w:val="24"/>
        </w:rPr>
        <w:t>[11] Tjoa, E., &amp; Guan, C. (2020). A survey on explainable artificial intelligence (XAI): Towards medical transparency</w:t>
      </w:r>
    </w:p>
    <w:p w14:paraId="43C5FD48" w14:textId="5BAA83F4" w:rsidR="000853CA" w:rsidRPr="00F31944" w:rsidRDefault="000853CA" w:rsidP="000853CA">
      <w:pPr>
        <w:rPr>
          <w:rFonts w:ascii="Arial" w:hAnsi="Arial" w:cs="Arial"/>
          <w:b/>
          <w:bCs/>
          <w:sz w:val="24"/>
        </w:rPr>
      </w:pPr>
      <w:r w:rsidRPr="00F31944">
        <w:rPr>
          <w:rFonts w:ascii="Arial" w:hAnsi="Arial" w:cs="Arial"/>
          <w:sz w:val="24"/>
        </w:rPr>
        <w:br/>
      </w:r>
    </w:p>
    <w:sectPr w:rsidR="000853CA" w:rsidRPr="00F31944" w:rsidSect="000853CA">
      <w:type w:val="continuous"/>
      <w:pgSz w:w="11906" w:h="16838"/>
      <w:pgMar w:top="1418" w:right="1797" w:bottom="1418"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3515"/>
    <w:multiLevelType w:val="multilevel"/>
    <w:tmpl w:val="670C9962"/>
    <w:lvl w:ilvl="0">
      <w:start w:val="1"/>
      <w:numFmt w:val="decimal"/>
      <w:lvlText w:val="%1."/>
      <w:lvlJc w:val="left"/>
      <w:pPr>
        <w:ind w:left="425" w:hanging="425"/>
      </w:pPr>
      <w:rPr>
        <w:rFonts w:hint="eastAsia"/>
        <w:b/>
        <w:bCs/>
        <w:i w:val="0"/>
        <w:iCs w:val="0"/>
        <w:sz w:val="24"/>
        <w:szCs w:val="24"/>
      </w:rPr>
    </w:lvl>
    <w:lvl w:ilvl="1">
      <w:start w:val="1"/>
      <w:numFmt w:val="decimal"/>
      <w:lvlText w:val="%1.%2"/>
      <w:lvlJc w:val="left"/>
      <w:pPr>
        <w:ind w:left="851" w:hanging="567"/>
      </w:pPr>
      <w:rPr>
        <w:rFonts w:hint="eastAsia"/>
        <w:i w:val="0"/>
        <w:iCs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7846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autoHyphenation/>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55A0"/>
    <w:rsid w:val="00034B06"/>
    <w:rsid w:val="00054CA2"/>
    <w:rsid w:val="0006277D"/>
    <w:rsid w:val="00067798"/>
    <w:rsid w:val="000853CA"/>
    <w:rsid w:val="000871BE"/>
    <w:rsid w:val="00094BE8"/>
    <w:rsid w:val="000C5B08"/>
    <w:rsid w:val="00101871"/>
    <w:rsid w:val="00175DBB"/>
    <w:rsid w:val="001C71BC"/>
    <w:rsid w:val="001D51A6"/>
    <w:rsid w:val="00222696"/>
    <w:rsid w:val="002771F5"/>
    <w:rsid w:val="0033738A"/>
    <w:rsid w:val="003373E0"/>
    <w:rsid w:val="00346B26"/>
    <w:rsid w:val="00374011"/>
    <w:rsid w:val="00393276"/>
    <w:rsid w:val="003A41B0"/>
    <w:rsid w:val="003B5F5D"/>
    <w:rsid w:val="00427169"/>
    <w:rsid w:val="0043795C"/>
    <w:rsid w:val="004529F4"/>
    <w:rsid w:val="004619E8"/>
    <w:rsid w:val="00503044"/>
    <w:rsid w:val="00557AD3"/>
    <w:rsid w:val="005F69CB"/>
    <w:rsid w:val="00613A15"/>
    <w:rsid w:val="00631CD8"/>
    <w:rsid w:val="006543D0"/>
    <w:rsid w:val="006847AF"/>
    <w:rsid w:val="00696486"/>
    <w:rsid w:val="006B6A70"/>
    <w:rsid w:val="00750103"/>
    <w:rsid w:val="00755422"/>
    <w:rsid w:val="008938EF"/>
    <w:rsid w:val="0089798C"/>
    <w:rsid w:val="009745FC"/>
    <w:rsid w:val="00AF466F"/>
    <w:rsid w:val="00B02D28"/>
    <w:rsid w:val="00B82EA0"/>
    <w:rsid w:val="00BD4338"/>
    <w:rsid w:val="00D052AE"/>
    <w:rsid w:val="00D12419"/>
    <w:rsid w:val="00D57916"/>
    <w:rsid w:val="00DA3C34"/>
    <w:rsid w:val="00DA66D4"/>
    <w:rsid w:val="00DB57D4"/>
    <w:rsid w:val="00DC08C3"/>
    <w:rsid w:val="00E50103"/>
    <w:rsid w:val="00E722A8"/>
    <w:rsid w:val="00E755A0"/>
    <w:rsid w:val="00E9424C"/>
    <w:rsid w:val="00EA5D2C"/>
    <w:rsid w:val="00EE4E60"/>
    <w:rsid w:val="00EF3466"/>
    <w:rsid w:val="00F31944"/>
    <w:rsid w:val="00F32759"/>
    <w:rsid w:val="00FA48A9"/>
    <w:rsid w:val="2C1044F5"/>
    <w:rsid w:val="5B11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5504E"/>
  <w15:docId w15:val="{CBFF5EC5-FC1A-4319-9325-3818A990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nhideWhenUsed="1" w:qFormat="1"/>
    <w:lsdException w:name="Title" w:qFormat="1"/>
    <w:lsdException w:name="Default Paragraph Font"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9">
    <w:name w:val="heading 9"/>
    <w:basedOn w:val="a"/>
    <w:next w:val="a"/>
    <w:link w:val="90"/>
    <w:semiHidden/>
    <w:unhideWhenUsed/>
    <w:qFormat/>
    <w:rsid w:val="000853CA"/>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qFormat/>
    <w:rPr>
      <w:rFonts w:ascii="Times New Roman" w:hAnsi="Times New Roman" w:cs="Times New Roman"/>
      <w:sz w:val="24"/>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qFormat/>
    <w:rPr>
      <w:color w:val="0026E5" w:themeColor="hyperlink"/>
      <w:u w:val="single"/>
    </w:rPr>
  </w:style>
  <w:style w:type="character" w:customStyle="1" w:styleId="10">
    <w:name w:val="标题 1 字符"/>
    <w:basedOn w:val="a0"/>
    <w:link w:val="1"/>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paragraph" w:styleId="ab">
    <w:name w:val="List Paragraph"/>
    <w:basedOn w:val="a"/>
    <w:uiPriority w:val="99"/>
    <w:unhideWhenUsed/>
    <w:qFormat/>
    <w:pPr>
      <w:ind w:firstLineChars="200" w:firstLine="420"/>
    </w:p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semiHidden/>
    <w:qFormat/>
    <w:rPr>
      <w:b/>
      <w:bCs/>
      <w:kern w:val="2"/>
      <w:sz w:val="32"/>
      <w:szCs w:val="32"/>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OPExcelTableContent-3481">
    <w:name w:val="OP_ExcelTableContent-3481"/>
    <w:basedOn w:val="a1"/>
    <w:qFormat/>
    <w:rPr>
      <w:color w:val="000000"/>
    </w:rPr>
    <w:tblPr>
      <w:tblBorders>
        <w:top w:val="single" w:sz="4" w:space="0" w:color="FFC94A"/>
        <w:left w:val="single" w:sz="4" w:space="0" w:color="FFC94A"/>
        <w:bottom w:val="single" w:sz="4" w:space="0" w:color="FFC94A"/>
        <w:right w:val="single" w:sz="4" w:space="0" w:color="FFC94A"/>
        <w:insideH w:val="single" w:sz="4" w:space="0" w:color="FFC94A"/>
        <w:insideV w:val="single" w:sz="4" w:space="0" w:color="FFC94A"/>
      </w:tblBorders>
    </w:tblPr>
    <w:tcPr>
      <w:shd w:val="clear" w:color="auto" w:fill="auto"/>
    </w:tcPr>
    <w:tblStylePr w:type="firstRow">
      <w:rPr>
        <w:b/>
      </w:rPr>
      <w:tblPr/>
      <w:tcPr>
        <w:tcBorders>
          <w:top w:val="single" w:sz="4" w:space="0" w:color="FFC94A"/>
          <w:left w:val="single" w:sz="4" w:space="0" w:color="FFC94A"/>
          <w:bottom w:val="single" w:sz="4" w:space="0" w:color="FFC94A"/>
          <w:right w:val="single" w:sz="4" w:space="0" w:color="FFC94A"/>
          <w:insideH w:val="single" w:sz="4" w:space="0" w:color="auto"/>
          <w:insideV w:val="single" w:sz="4" w:space="0" w:color="auto"/>
        </w:tcBorders>
        <w:shd w:val="clear" w:color="auto" w:fill="FFC94A"/>
      </w:tcPr>
    </w:tblStylePr>
  </w:style>
  <w:style w:type="character" w:customStyle="1" w:styleId="90">
    <w:name w:val="标题 9 字符"/>
    <w:basedOn w:val="a0"/>
    <w:link w:val="9"/>
    <w:uiPriority w:val="9"/>
    <w:semiHidden/>
    <w:rsid w:val="000853CA"/>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Munir%20U%22%5BAuthor%5D" TargetMode="External"/><Relationship Id="rId13" Type="http://schemas.openxmlformats.org/officeDocument/2006/relationships/hyperlink" Target="https://onlinelibrary.wiley.com/authored-by/Davis%E2%80%90Sramek/Bet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ubmed.ncbi.nlm.nih.gov/?term=%22Bajwa%20J%22%5BAuthor%5D" TargetMode="External"/><Relationship Id="rId12" Type="http://schemas.openxmlformats.org/officeDocument/2006/relationships/hyperlink" Target="https://onlinelibrary.wiley.com/authored-by/Chowdhury/Soumyadeb" TargetMode="External"/><Relationship Id="rId17" Type="http://schemas.openxmlformats.org/officeDocument/2006/relationships/hyperlink" Target="https://www.sciencedirect.com/author/58183402800/luis-antonio-santa-eulalia" TargetMode="External"/><Relationship Id="rId2" Type="http://schemas.openxmlformats.org/officeDocument/2006/relationships/numbering" Target="numbering.xml"/><Relationship Id="rId16" Type="http://schemas.openxmlformats.org/officeDocument/2006/relationships/hyperlink" Target="https://doi.org/10.3390/app12010219" TargetMode="External"/><Relationship Id="rId1" Type="http://schemas.openxmlformats.org/officeDocument/2006/relationships/customXml" Target="../customXml/item1.xml"/><Relationship Id="rId6" Type="http://schemas.openxmlformats.org/officeDocument/2006/relationships/hyperlink" Target="mailto:2216882968@qq.com" TargetMode="External"/><Relationship Id="rId11" Type="http://schemas.openxmlformats.org/officeDocument/2006/relationships/hyperlink" Target="https://onlinelibrary.wiley.com/authored-by/Richey/Robert+Glenn/Jr." TargetMode="External"/><Relationship Id="rId5" Type="http://schemas.openxmlformats.org/officeDocument/2006/relationships/webSettings" Target="webSettings.xml"/><Relationship Id="rId15" Type="http://schemas.openxmlformats.org/officeDocument/2006/relationships/hyperlink" Target="https://onlinelibrary.wiley.com/authored-by/Dwivedi/Yogesh+K." TargetMode="External"/><Relationship Id="rId10" Type="http://schemas.openxmlformats.org/officeDocument/2006/relationships/hyperlink" Target="https://pubmed.ncbi.nlm.nih.gov/?term=%22Williams%20B%22%5BAuthor%5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ubmed.ncbi.nlm.nih.gov/?term=%22Nori%20A%22%5BAuthor%5D" TargetMode="External"/><Relationship Id="rId14" Type="http://schemas.openxmlformats.org/officeDocument/2006/relationships/hyperlink" Target="https://onlinelibrary.wiley.com/authored-by/Giannakis/Mihalis"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1B594-E8E9-4667-AEAE-EEF6C93DC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4</Pages>
  <Words>1099</Words>
  <Characters>7453</Characters>
  <Application>Microsoft Office Word</Application>
  <DocSecurity>0</DocSecurity>
  <Lines>181</Lines>
  <Paragraphs>40</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22168</dc:creator>
  <cp:lastModifiedBy>LI, HAOLONG (UG)</cp:lastModifiedBy>
  <cp:revision>37</cp:revision>
  <dcterms:created xsi:type="dcterms:W3CDTF">2025-11-08T06:39:00Z</dcterms:created>
  <dcterms:modified xsi:type="dcterms:W3CDTF">2025-11-20T09:36:00Z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eyJoZGlkIjoiYjY4ZDQ3NGQ2MTAzMjRhN2M2NmYyMDQ3NmFjZmFjMjAiLCJ1c2VySWQiOiIxMTMzMjczODk2In0=</vt:lpwstr>
  </property>
  <property fmtid="{D5CDD505-2E9C-101B-9397-08002B2CF9AE}" pid="4" name="ICV">
    <vt:lpwstr>B5C9D901162A42C2B66841D0353627F9_12</vt:lpwstr>
  </property>
</Properties>
</file>