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BA7A5">
      <w:pPr>
        <w:keepNext w:val="0"/>
        <w:keepLines w:val="0"/>
        <w:widowControl/>
        <w:suppressLineNumbers w:val="0"/>
        <w:jc w:val="center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美团下沉市场-城市储备商</w:t>
      </w:r>
    </w:p>
    <w:p w14:paraId="29C48A5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 xml:space="preserve">一、美团下沉市场 </w:t>
      </w:r>
    </w:p>
    <w:p w14:paraId="2D07962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下沉市场发展部于2015年成立，通过招募优质的合作商伙伴并对其业务经营能力、组织能力等赋能，以期为下沉城市提供一站式的本地生活服务。截至目前，下沉市场发展部已开拓全国4000+县区市，帮助百万商户实现本地生活服务数字化，让本地生活服务逐渐成长为地方新基建，实现美团“帮助大家吃得更好，生活更好”的使命！ </w:t>
      </w:r>
    </w:p>
    <w:p w14:paraId="352154BD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 xml:space="preserve">合作业务 </w:t>
      </w:r>
    </w:p>
    <w:p w14:paraId="3E79A57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覆盖餐饮、闪购、医药等全品类外卖业务，负责从商家入驻、骑手管理到用户增长的全链路运营，平台同步开放本地团购业务合作权，双赛道叠加收益加成。 </w:t>
      </w:r>
    </w:p>
    <w:p w14:paraId="567E096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合作优势</w:t>
      </w:r>
    </w:p>
    <w:p w14:paraId="2960C36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 xml:space="preserve">抢占本地生活服务新风口 </w:t>
      </w:r>
    </w:p>
    <w:p w14:paraId="6BC28FA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本地生活服务市场蓬勃发展，代理美团业务乃把握行业先机、推动业务多元布局的上选。率先布局，为公司赢得未来竞争中的有利地势。</w:t>
      </w:r>
    </w:p>
    <w:p w14:paraId="5244A17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 xml:space="preserve">赋能数字化转型升级 </w:t>
      </w:r>
    </w:p>
    <w:p w14:paraId="6DA3ED4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全链路产品技术赋能，覆盖 “商家入驻 - 订单履约 - 用户留存” 全流程，保障业务高效运转。助力客户加速数字化转型，优化服务效率与管理水平，强势提升行业内的综合竞争力。</w:t>
      </w:r>
    </w:p>
    <w:p w14:paraId="00A1B30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 xml:space="preserve">城市唯一经营权 </w:t>
      </w:r>
    </w:p>
    <w:p w14:paraId="212B728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作为该城市美团唯一合作商，享受站内流量与成熟体系。资金稳定结算，政策优厚支持大，合作前景无限宽广，未来可期。</w:t>
      </w:r>
    </w:p>
    <w:p w14:paraId="32A5CCD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 xml:space="preserve">前期无任何花费，资金风险小 </w:t>
      </w:r>
    </w:p>
    <w:p w14:paraId="0B0616F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此次为储备商登记，仅需在平台录入信息，待相应城市标的发布，可自由选择参与与否，全程无任何费用</w:t>
      </w:r>
    </w:p>
    <w:p w14:paraId="73CA52A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四、收入&amp;成本</w:t>
      </w:r>
    </w:p>
    <w:p w14:paraId="16BC669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 xml:space="preserve">收入构成  </w:t>
      </w:r>
    </w:p>
    <w:p w14:paraId="5C33AD3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商业支持服务费：向商家收取的平台支持服务费； </w:t>
      </w:r>
    </w:p>
    <w:p w14:paraId="3A75D10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配送费收入：用户订单配送费用分成（或自配送收益）； </w:t>
      </w:r>
    </w:p>
    <w:p w14:paraId="1AA4F5D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广告销售分成：本地商家广告位、营销活动的收益分成； </w:t>
      </w:r>
    </w:p>
    <w:p w14:paraId="27865A9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平台激励：达成业务指标的额外奖励。</w:t>
      </w:r>
    </w:p>
    <w:p w14:paraId="2AC9975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 xml:space="preserve">成本构成 </w:t>
      </w:r>
    </w:p>
    <w:p w14:paraId="10FCDC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固定成本：运营 / 招商 / 骑手管理等人员工资、办公/仓库房租； </w:t>
      </w:r>
    </w:p>
    <w:p w14:paraId="6E266104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变动成本：平台服务费（技术使用、数据支持）、本地营销推广费用（商家活动、用户拉新）。</w:t>
      </w:r>
    </w:p>
    <w:p w14:paraId="6762B6C4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合作要求</w:t>
      </w:r>
    </w:p>
    <w:p w14:paraId="3A0CB03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流动资金：月度流动资金200万以上。 </w:t>
      </w:r>
    </w:p>
    <w:p w14:paraId="20B2351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 xml:space="preserve">可用资金：账户可用资金120万以上。 </w:t>
      </w:r>
    </w:p>
    <w:p w14:paraId="63F0ABB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社保缴纳人数：社保缴纳人数5人以上。</w:t>
      </w:r>
    </w:p>
    <w:p w14:paraId="149D38D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21"/>
          <w:szCs w:val="21"/>
          <w:lang w:val="en-US" w:eastAsia="zh-CN" w:bidi="ar"/>
        </w:rPr>
        <w:t>备注：流动资金、可用资金可以为法人私户+公司公户合计金额</w:t>
      </w:r>
    </w:p>
    <w:p w14:paraId="0F7D4B9D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1"/>
          <w:szCs w:val="21"/>
          <w:lang w:val="en-US" w:eastAsia="zh-CN" w:bidi="ar"/>
        </w:rPr>
        <w:t>材料收集</w:t>
      </w:r>
    </w:p>
    <w:p w14:paraId="2BDCC427">
      <w:pPr>
        <w:keepNext w:val="0"/>
        <w:keepLines w:val="0"/>
        <w:widowControl/>
        <w:numPr>
          <w:ilvl w:val="0"/>
          <w:numId w:val="2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公司营业执照+法人联系电话</w:t>
      </w:r>
    </w:p>
    <w:p w14:paraId="3B087F06">
      <w:pPr>
        <w:keepNext w:val="0"/>
        <w:keepLines w:val="0"/>
        <w:widowControl/>
        <w:numPr>
          <w:ilvl w:val="0"/>
          <w:numId w:val="2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近半年公司流水记录（表格/PDF）</w:t>
      </w:r>
    </w:p>
    <w:p w14:paraId="5032CD6A">
      <w:pPr>
        <w:keepNext w:val="0"/>
        <w:keepLines w:val="0"/>
        <w:widowControl/>
        <w:numPr>
          <w:ilvl w:val="0"/>
          <w:numId w:val="2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账户可用资金（表格/PDF）</w:t>
      </w:r>
    </w:p>
    <w:p w14:paraId="3D5FF385">
      <w:pPr>
        <w:keepNext w:val="0"/>
        <w:keepLines w:val="0"/>
        <w:widowControl/>
        <w:numPr>
          <w:ilvl w:val="0"/>
          <w:numId w:val="2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社保缴纳人员明细（表格/PDF）</w:t>
      </w:r>
    </w:p>
    <w:p w14:paraId="2A07D25E">
      <w:pPr>
        <w:keepNext w:val="0"/>
        <w:keepLines w:val="0"/>
        <w:widowControl/>
        <w:numPr>
          <w:ilvl w:val="0"/>
          <w:numId w:val="2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无欠税证明（当地税局网站可查询下载）</w:t>
      </w:r>
    </w:p>
    <w:p w14:paraId="1C87FC18">
      <w:pPr>
        <w:keepNext w:val="0"/>
        <w:keepLines w:val="0"/>
        <w:widowControl/>
        <w:numPr>
          <w:ilvl w:val="0"/>
          <w:numId w:val="2"/>
        </w:numPr>
        <w:suppressLineNumbers w:val="0"/>
        <w:ind w:leftChars="0"/>
        <w:jc w:val="left"/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公司办公室照片</w:t>
      </w:r>
    </w:p>
    <w:p w14:paraId="3BABA282">
      <w:pPr>
        <w:keepNext w:val="0"/>
        <w:keepLines w:val="0"/>
        <w:widowControl/>
        <w:numPr>
          <w:ilvl w:val="0"/>
          <w:numId w:val="2"/>
        </w:numPr>
        <w:suppressLineNumbers w:val="0"/>
        <w:ind w:leftChars="0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val="en-US" w:eastAsia="zh-CN" w:bidi="ar"/>
        </w:rPr>
        <w:t>合作意向城市</w:t>
      </w:r>
    </w:p>
    <w:sectPr>
      <w:pgSz w:w="11906" w:h="16838"/>
      <w:pgMar w:top="1440" w:right="1519" w:bottom="1440" w:left="151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7E5A08"/>
    <w:multiLevelType w:val="singleLevel"/>
    <w:tmpl w:val="AF7E5A08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BF68DC0"/>
    <w:multiLevelType w:val="singleLevel"/>
    <w:tmpl w:val="BBF68DC0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B3A60C"/>
    <w:rsid w:val="080D5678"/>
    <w:rsid w:val="F7B3A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863</Words>
  <Characters>883</Characters>
  <Lines>0</Lines>
  <Paragraphs>0</Paragraphs>
  <TotalTime>42</TotalTime>
  <ScaleCrop>false</ScaleCrop>
  <LinksUpToDate>false</LinksUpToDate>
  <CharactersWithSpaces>910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2026-02-04T09:41:00Z</dcterms:created>
  <dc:creator>Mr.Guo</dc:creator>
  <cp:lastModifiedBy>阳光男孩</cp:lastModifiedBy>
  <dcterms:modified xsi:type="dcterms:W3CDTF">2026-09-01T02:57:48Z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3C3C462E66DA49FA88A9909B1581DAD0_13</vt:lpwstr>
  </property>
</Properties>
</file>