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华东区域 2026 年第二季度经营分析报告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执行摘要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本季度收入保持增长，但回款周期和重点客户续约率需要持续关注。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核心结论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收入同比增长 12.4%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毛利率提升 1.8 个百分点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应收账款周转天数增加 6 天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850" w:bottom="1134" w:left="850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1 关键经营指标</w:t>
      </w:r>
    </w:p>
    <w:tbl>
      <w:tblPr>
        <w:tblW w:type="dxa" w:w="15138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672"/>
        <w:gridCol w:w="2014"/>
        <w:gridCol w:w="1644"/>
        <w:gridCol w:w="1699"/>
        <w:gridCol w:w="1672"/>
        <w:gridCol w:w="1699"/>
        <w:gridCol w:w="1525"/>
        <w:gridCol w:w="1512"/>
        <w:gridCol w:w="1701"/>
      </w:tblGrid>
      <w:tr>
        <w:trPr>
          <w:tblHeader/>
          <w:cantSplit/>
        </w:trPr>
        <w:tc>
          <w:tcPr>
            <w:tcW w:type="dxa" w:w="16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区域</w:t>
            </w:r>
          </w:p>
        </w:tc>
        <w:tc>
          <w:tcPr>
            <w:tcW w:type="dxa" w:w="201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收入</w:t>
            </w:r>
          </w:p>
        </w:tc>
        <w:tc>
          <w:tcPr>
            <w:tcW w:type="dxa" w:w="1644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同比</w:t>
            </w:r>
          </w:p>
        </w:tc>
        <w:tc>
          <w:tcPr>
            <w:tcW w:type="dxa" w:w="169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毛利率</w:t>
            </w:r>
          </w:p>
        </w:tc>
        <w:tc>
          <w:tcPr>
            <w:tcW w:type="dxa" w:w="167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客户数</w:t>
            </w:r>
          </w:p>
        </w:tc>
        <w:tc>
          <w:tcPr>
            <w:tcW w:type="dxa" w:w="169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续约率</w:t>
            </w:r>
          </w:p>
        </w:tc>
        <w:tc>
          <w:tcPr>
            <w:tcW w:type="dxa" w:w="1525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回款天数</w:t>
            </w:r>
          </w:p>
        </w:tc>
        <w:tc>
          <w:tcPr>
            <w:tcW w:type="dxa" w:w="15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风险等级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负责人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片区1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1337万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9%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32%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97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83%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39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经理1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片区2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1474万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10%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33%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104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84%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40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经理2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片区3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1611万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11%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34%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111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85%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41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17"/>
                <w:u w:val="none"/>
                <w:lang w:val="zh-CN" w:eastAsia="zh-CN"/>
              </w:rPr>
              <w:t>经理3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片区4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1748万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12%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35%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118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86%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42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701"/>
            <w:vAlign w:val="center"/>
          </w:tcPr>
          <w:p>
            <w:r>
              <w:rPr>
                <w:color w:val="000000"/>
                <w:sz w:val="26"/>
              </w:rPr>
              <w:t>经理4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片区5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1885万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13%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36%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125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87%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43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</w:tcPr>
          <w:p>
            <w:r>
              <w:rPr>
                <w:color w:val="000000"/>
                <w:sz w:val="26"/>
              </w:rPr>
              <w:t>经理5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片区6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2022万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14%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37%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132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88%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44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701"/>
            <w:vAlign w:val="center"/>
          </w:tcPr>
          <w:p>
            <w:r>
              <w:rPr>
                <w:color w:val="000000"/>
                <w:sz w:val="26"/>
              </w:rPr>
              <w:t>经理6</w:t>
            </w:r>
          </w:p>
        </w:tc>
      </w:tr>
      <w:tr>
        <w:trPr>
          <w:cantSplit/>
        </w:trPr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片区7</w:t>
            </w:r>
          </w:p>
        </w:tc>
        <w:tc>
          <w:tcPr>
            <w:tcW w:type="dxa" w:w="2014"/>
            <w:vAlign w:val="center"/>
          </w:tcPr>
          <w:p>
            <w:r>
              <w:rPr>
                <w:color w:val="000000"/>
                <w:sz w:val="18"/>
              </w:rPr>
              <w:t>2159万</w:t>
            </w:r>
          </w:p>
        </w:tc>
        <w:tc>
          <w:tcPr>
            <w:tcW w:type="dxa" w:w="1644"/>
            <w:vAlign w:val="center"/>
          </w:tcPr>
          <w:p>
            <w:r>
              <w:rPr>
                <w:color w:val="000000"/>
                <w:sz w:val="26"/>
              </w:rPr>
              <w:t>15%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38%</w:t>
            </w:r>
          </w:p>
        </w:tc>
        <w:tc>
          <w:tcPr>
            <w:tcW w:type="dxa" w:w="1672"/>
            <w:vAlign w:val="center"/>
          </w:tcPr>
          <w:p>
            <w:r>
              <w:rPr>
                <w:color w:val="000000"/>
                <w:sz w:val="26"/>
              </w:rPr>
              <w:t>139</w:t>
            </w:r>
          </w:p>
        </w:tc>
        <w:tc>
          <w:tcPr>
            <w:tcW w:type="dxa" w:w="1699"/>
            <w:vAlign w:val="center"/>
          </w:tcPr>
          <w:p>
            <w:r>
              <w:rPr>
                <w:color w:val="000000"/>
                <w:sz w:val="18"/>
              </w:rPr>
              <w:t>89%</w:t>
            </w:r>
          </w:p>
        </w:tc>
        <w:tc>
          <w:tcPr>
            <w:tcW w:type="dxa" w:w="1525"/>
            <w:vAlign w:val="center"/>
          </w:tcPr>
          <w:p>
            <w:r>
              <w:rPr>
                <w:color w:val="000000"/>
                <w:sz w:val="26"/>
              </w:rPr>
              <w:t>45</w:t>
            </w:r>
          </w:p>
        </w:tc>
        <w:tc>
          <w:tcPr>
            <w:tcW w:type="dxa" w:w="1512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</w:tcPr>
          <w:p>
            <w:r>
              <w:rPr>
                <w:color w:val="000000"/>
                <w:sz w:val="26"/>
              </w:rPr>
              <w:t>经理7</w:t>
            </w:r>
          </w:p>
        </w:tc>
      </w:tr>
    </w:tbl>
    <w:p>
      <w:pPr>
        <w:sectPr>
          <w:pgSz w:w="16838" w:h="11906" w:orient="landscape"/>
          <w:pgMar w:top="1134" w:right="850" w:bottom="1134" w:left="850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2 风险与行动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针对回款风险，将按客户分层设置跟进节奏并明确升级机制。</w:t>
      </w:r>
    </w:p>
    <w:sectPr w:rsidR="00FC693F" w:rsidRPr="0006063C" w:rsidSect="00034616">
      <w:pgSz w:w="16838" w:h="11906" w:orient="landscape"/>
      <w:pgMar w:top="1134" w:right="850" w:bottom="1134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经营分析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AppendixHeading">
    <w:name w:val="DA Appendix Heading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ody">
    <w:name w:val="DA Body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keepLines/>
      <w:spacing w:lineRule="auto" w:line="360" w:before="0" w:after="36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">
    <w:name w:val="DA Abstract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keepLines/>
      <w:spacing w:lineRule="auto" w:line="360" w:before="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FigureCaption">
    <w:name w:val="DA Figure Caption"/>
    <w:basedOn w:val="Normal"/>
    <w:pPr>
      <w:keepLines/>
      <w:spacing w:lineRule="auto" w:line="360" w:before="6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Appendix">
    <w:name w:val="DA Appendix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keepLines/>
      <w:spacing w:line="240" w:lineRule="auto" w:before="120" w:after="120"/>
      <w:ind w:firstLine="48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Keywords">
    <w:name w:val="DA Keywords"/>
    <w:basedOn w:val="Normal"/>
    <w:pPr>
      <w:keepLines/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keepLines/>
      <w:spacing w:lineRule="auto" w:line="300" w:before="0" w:after="6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keepLines/>
      <w:spacing w:lineRule="auto" w:line="360" w:before="120" w:after="6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keepLines/>
      <w:spacing w:lineRule="auto" w:line="360" w:before="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keepLines/>
      <w:spacing w:lineRule="auto" w:line="360" w:before="240" w:after="12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">
    <w:name w:val="DA Bibliography"/>
    <w:basedOn w:val="Normal"/>
    <w:pPr>
      <w:keepLines/>
      <w:spacing w:line="240" w:lineRule="auto" w:before="0" w:after="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keepLines/>
      <w:spacing w:lineRule="auto" w:line="360" w:before="24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keepLines/>
      <w:spacing w:lineRule="auto" w:line="360" w:before="180" w:after="6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keepLines/>
      <w:spacing w:lineRule="auto" w:line="360" w:before="6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