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华东区域 2026 年第二季度经营分析报告</w:t>
      </w:r>
    </w:p>
    <w:p>
      <w:r>
        <w:t>执行摘要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本季度收入保持增长，但回款周期和重点客户续约率需要持续关注。</w:t>
      </w:r>
    </w:p>
    <w:p>
      <w:r>
        <w:t>核心结论</w:t>
      </w:r>
    </w:p>
    <w:p>
      <w:pPr>
        <w:pStyle w:val="ListBullet"/>
      </w:pPr>
      <w:r>
        <w:t>收入同比增长 12.4%</w:t>
      </w:r>
    </w:p>
    <w:p>
      <w:pPr>
        <w:pStyle w:val="ListBullet"/>
      </w:pPr>
      <w:r>
        <w:t>毛利率提升 1.8 个百分点</w:t>
      </w:r>
    </w:p>
    <w:p>
      <w:pPr>
        <w:pStyle w:val="ListBullet"/>
      </w:pPr>
      <w:r>
        <w:t>应收账款周转天数增加 6 天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1 关键经营指标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区域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收入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同比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毛利率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客户数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续约率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回款天数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风险等级</w:t>
            </w:r>
          </w:p>
        </w:tc>
        <w:tc>
          <w:tcPr>
            <w:tcW w:type="dxa" w:w="1609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负责人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片区1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1337万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9%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32%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97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83%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39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中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经理1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片区2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1474万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10%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33%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104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84%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40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低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经理2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片区3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1611万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11%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34%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111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85%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41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中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经理3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片区4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1748万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12%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35%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118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86%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42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低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经理4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片区5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1885万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13%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36%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125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87%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43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中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经理5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片区6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2022万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14%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37%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132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88%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44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低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经理6</w:t>
            </w:r>
          </w:p>
        </w:tc>
      </w:tr>
      <w:tr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片区7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2159万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15%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38%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139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89%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45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中</w:t>
            </w:r>
          </w:p>
        </w:tc>
        <w:tc>
          <w:tcPr>
            <w:tcW w:type="dxa" w:w="1609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经理7</w:t>
            </w:r>
          </w:p>
        </w:tc>
      </w:tr>
    </w:tbl>
    <w:p>
      <w:pPr>
        <w:sectPr>
          <w:pgSz w:w="15840" w:h="12240" w:orient="landscape"/>
          <w:pgMar w:top="1440" w:right="680" w:bottom="1440" w:left="680" w:header="720" w:footer="720" w:gutter="0"/>
          <w:cols w:space="720"/>
          <w:docGrid w:linePitch="360"/>
        </w:sectPr>
      </w:pPr>
    </w:p>
    <w:p>
      <w:r>
        <w:t>2 风险与行动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针对回款风险，将按客户分层设置跟进节奏并明确升级机制。</w:t>
      </w:r>
    </w:p>
    <w:sectPr w:rsidR="00FC693F" w:rsidRPr="0006063C" w:rsidSect="00034616">
      <w:pgSz w:w="15840" w:h="12240" w:orient="landscape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经营分析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