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jc w:val="center"/>
        <w:shd w:fill="FFF2CC"/>
      </w:pPr>
      <w:r>
        <w:rPr>
          <w:rFonts w:ascii="Arial" w:hAnsi="Arial"/>
          <w:b/>
          <w:i/>
          <w:color w:val="C00000"/>
          <w:sz w:val="30"/>
          <w:highlight w:val="yellow"/>
          <w:u w:val="single"/>
          <w:shd w:fill="D9EAD3"/>
        </w:rPr>
        <w:t>2026 年度预算执行情况表</w:t>
      </w:r>
    </w:p>
    <w:p>
      <w:r>
        <w:t>编制单位：示例集团财务部   单位：万元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  <w:gridCol w:w="1316"/>
      </w:tblGrid>
      <w:tr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科目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年初预算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一月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二月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三月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四月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五月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六月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累计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18"/>
                <w:highlight w:val="yellow"/>
              </w:rPr>
              <w:t>完成率</w:t>
            </w:r>
          </w:p>
        </w:tc>
        <w:tc>
          <w:tcPr>
            <w:tcW w:type="dxa" w:w="1316"/>
            <w:vAlign w:val="center"/>
            <w:shd w:fill="FFF2CC"/>
          </w:tcPr>
          <w:p>
            <w:r>
              <w:rPr>
                <w:color w:val="C00000"/>
                <w:sz w:val="26"/>
                <w:highlight w:val="yellow"/>
              </w:rPr>
              <w:t>差异说明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825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390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48%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850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396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49%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402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50%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900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408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51%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925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414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52%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950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420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53%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975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69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426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54%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1000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432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55%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1025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438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56%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成本科目10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1050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69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78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444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57%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成本科目11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1075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73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79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450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58%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  <w:tr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成本科目12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1100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74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71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77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80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82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456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18"/>
                <w:highlight w:val="yellow"/>
              </w:rPr>
              <w:t>59%</w:t>
            </w:r>
          </w:p>
        </w:tc>
        <w:tc>
          <w:tcPr>
            <w:tcW w:type="dxa" w:w="1316"/>
            <w:vAlign w:val="center"/>
            <w:shd w:fill="DDEBF7"/>
          </w:tcPr>
          <w:p>
            <w:r>
              <w:rPr>
                <w:color w:val="C00000"/>
                <w:sz w:val="26"/>
                <w:highlight w:val="yellow"/>
              </w:rPr>
              <w:t>受采购节奏和项目交付周期影响</w:t>
            </w:r>
          </w:p>
        </w:tc>
      </w:tr>
    </w:tbl>
    <w:p>
      <w:pPr>
        <w:sectPr>
          <w:pgSz w:w="15840" w:h="12240" w:orient="landscape"/>
          <w:pgMar w:top="1440" w:right="680" w:bottom="1440" w:left="680" w:header="720" w:footer="720" w:gutter="0"/>
          <w:cols w:space="720"/>
          <w:docGrid w:linePitch="360"/>
        </w:sectPr>
      </w:pPr>
    </w:p>
    <w:p>
      <w:r>
        <w:t>预算执行说明</w:t>
      </w:r>
    </w:p>
    <w:p>
      <w:r>
        <w:rPr>
          <w:rFonts w:ascii="Arial" w:hAnsi="Arial"/>
          <w:b/>
          <w:i/>
          <w:color w:val="0070C0"/>
          <w:sz w:val="30"/>
          <w:highlight w:val="green"/>
          <w:u w:val="single"/>
          <w:shd w:fill="D9EAD3"/>
        </w:rPr>
        <w:t>上半年整体执行进度符合计划，部分项目付款节点延后至第三季度。</w:t>
      </w:r>
    </w:p>
    <w:sectPr w:rsidR="00FC693F" w:rsidRPr="0006063C" w:rsidSect="00034616">
      <w:pgSz w:w="15840" w:h="12240" w:orient="landscape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/>
        <w:color w:val="7030A0"/>
        <w:sz w:val="30"/>
        <w:highlight w:val="cyan"/>
        <w:u w:val="single"/>
        <w:shd w:fill="D9EAD3"/>
      </w:rPr>
      <w:t>财务报表 ·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