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中英混排测试标题</w:t>
      </w:r>
    </w:p>
    <w:p>
      <w:r>
        <w:t>1 测试范围</w:t>
      </w:r>
    </w:p>
    <w:p>
      <w:r>
        <w:t>正文使用中文字体，并包含 English words and numbers 2026。</w:t>
      </w:r>
      <w:r>
        <w:rPr>
          <w:b/>
        </w:rPr>
        <w:t>这段强调必须保留。</w:t>
      </w:r>
    </w:p>
    <w:p>
      <w:pPr>
        <w:ind w:firstLine="170"/>
      </w:pPr>
      <w:r>
        <w:t>第二段 intentionally uses mixed language for run-font checks.</w:t>
      </w:r>
    </w:p>
    <w:sectPr w:rsidR="00FC693F" w:rsidRPr="0006063C" w:rsidSect="00034616">
      <w:pgSz w:w="12240" w:h="15840"/>
      <w:pgMar w:top="1440" w:right="1531" w:bottom="1440" w:left="187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DocAlign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