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Songti SC" w:hAnsi="Songti SC" w:eastAsia="Songti SC" w:cs="Songti SC" w:hint="eastAsia"/>
          <w:b/>
          <w:i w:val="0"/>
          <w:color w:val="000000"/>
          <w:sz w:val="44"/>
          <w:u w:val="none"/>
          <w:lang w:val="zh-CN" w:eastAsia="zh-CN"/>
        </w:rPr>
        <w:t>面向复杂 Word 文档的确定性排版方法研究</w:t>
      </w:r>
    </w:p>
    <w:p>
      <w:pPr>
        <w:pStyle w:val="DAAuthorInfo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张三1，李四2</w:t>
      </w:r>
    </w:p>
    <w:p>
      <w:pPr>
        <w:pStyle w:val="DAAbstractHeading"/>
      </w:pPr>
      <w:r>
        <w:rPr>
          <w:rFonts w:ascii="Songti SC" w:hAnsi="Songti SC" w:eastAsia="Songti SC" w:cs="Songti SC" w:hint="eastAsia"/>
          <w:b/>
          <w:i w:val="0"/>
          <w:color w:val="000000"/>
          <w:sz w:val="28"/>
          <w:u w:val="none"/>
          <w:lang w:val="zh-CN" w:eastAsia="zh-CN"/>
        </w:rPr>
        <w:t>摘要</w:t>
      </w:r>
    </w:p>
    <w:p>
      <w:pPr>
        <w:pStyle w:val="DAAbstract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本文研究跨领域文档的结构识别、格式归一与内容完整性验证方法。</w:t>
      </w:r>
    </w:p>
    <w:p>
      <w:pPr>
        <w:pStyle w:val="DAKeywords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关键词：Word；OOXML；自动排版；内容保护</w:t>
      </w: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1 引言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实际文档常包含样式漂移、直接格式、突出显示以及多节页面设置。传统的全选后统一字体无法可靠恢复语义层级，也容易破坏字段、超链接和公式。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因此需要先识别标题、正文、题注与参考文献，再执行可审计的确定性变换。这一段故意使用手动换行，验证自动分段不会损坏内容。</w:t>
      </w:r>
    </w:p>
    <w:p>
      <w:pPr>
        <w:pStyle w:val="DAHeading2"/>
      </w:pPr>
      <w:r>
        <w:rPr>
          <w:rFonts w:ascii="Songti SC" w:hAnsi="Songti SC" w:eastAsia="Songti SC" w:cs="Songti SC" w:hint="eastAsia"/>
          <w:b/>
          <w:i w:val="0"/>
          <w:color w:val="000000"/>
          <w:sz w:val="28"/>
          <w:u w:val="none"/>
          <w:lang w:val="zh-CN" w:eastAsia="zh-CN"/>
        </w:rPr>
        <w:t>1.1 研究方法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方法由结构解析、角色推断、格式计划、落盘验证和自动修复五个阶段组成。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1"/>
          <w:u w:val="none"/>
          <w:lang w:val="zh-CN" w:eastAsia="zh-CN"/>
        </w:rPr>
        <w:t>图 1 确定性处理流程示意</w:t>
      </w:r>
    </w:p>
    <w:p>
      <w:pPr>
        <w:pStyle w:val="DATableCaptio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1"/>
          <w:u w:val="none"/>
          <w:lang w:val="zh-CN" w:eastAsia="zh-CN"/>
        </w:rPr>
        <w:t>表 1 评价指标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指标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定义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目标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当前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判定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内容完整性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文本、表格、图片指纹一致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格式合规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强制属性全部命中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100%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926"/>
            <w:vAlign w:val="center"/>
          </w:tcPr>
          <w:p>
            <w:r>
              <w:rPr>
                <w:color w:val="000000"/>
                <w:sz w:val="26"/>
              </w:rPr>
              <w:t>通过</w:t>
            </w:r>
          </w:p>
        </w:tc>
      </w:tr>
      <w:tr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处理时延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本地端到端耗时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26"/>
              </w:rPr>
              <w:t>&lt;30秒</w:t>
            </w:r>
          </w:p>
        </w:tc>
        <w:tc>
          <w:tcPr>
            <w:tcW w:type="dxa" w:w="1928"/>
            <w:vAlign w:val="center"/>
          </w:tcPr>
          <w:p>
            <w:r>
              <w:rPr>
                <w:color w:val="000000"/>
                <w:sz w:val="18"/>
              </w:rPr>
              <w:t>3秒</w:t>
            </w:r>
          </w:p>
        </w:tc>
        <w:tc>
          <w:tcPr>
            <w:tcW w:type="dxa" w:w="192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通过</w:t>
            </w:r>
          </w:p>
        </w:tc>
      </w:tr>
    </w:tbl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2 结果与讨论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结果表明，内容安全约束与格式归一可以同时实现。</w:t>
      </w:r>
    </w:p>
    <w:p>
      <w:pPr>
        <w:pStyle w:val="DABibliographyHeading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参考文献</w:t>
      </w:r>
    </w:p>
    <w:p>
      <w:pPr>
        <w:pStyle w:val="DABibliograph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Songti SC" w:hAnsi="Songti SC" w:eastAsia="Songti SC" w:cs="Songti SC" w:hint="eastAsia"/>
        <w:b w:val="0"/>
        <w:i w:val="0"/>
        <w:color w:val="000000"/>
        <w:sz w:val="18"/>
        <w:u w:val="none"/>
        <w:lang w:val="zh-CN" w:eastAsia="zh-CN"/>
      </w:rPr>
      <w:t>学术论文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0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Songti SC" w:hAnsi="Songti SC" w:eastAsia="Songti SC" w:cs="Songti SC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