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eastAsia="zh-CN"/>
        </w:rPr>
        <w:t>华东区域 2026 年第二季度经营分析报告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执行摘要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本季度收入保持增长，但回款周期和重点客户续约率需要持续关注。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1 关键经营指标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0"/>
      </w:tblGrid>
      <w:tr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区域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收入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同比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毛利率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客户数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续约率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回款天数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风险等级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负责人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经理1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经理2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1"/>
                <w:u w:val="none"/>
                <w:lang w:eastAsia="zh-CN"/>
              </w:rPr>
              <w:t>经理3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eastAsia="zh-CN"/>
        </w:rPr>
        <w:t>2 风险与行动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eastAsia="zh-CN"/>
        </w:rPr>
        <w:t>针对回款风险，将按客户分层设置跟进节奏并明确升级机制。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eastAsia="zh-CN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