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示例办发〔2026〕18号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一、检查范围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（一）自查阶段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二、工作要求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压实主体责任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如实记录问题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阶段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时间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交付物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自查表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9月11日-20日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408"/>
            <w:vAlign w:val="center"/>
          </w:tcPr>
          <w:p>
            <w:r>
              <w:rPr>
                <w:color w:val="000000"/>
                <w:sz w:val="18"/>
              </w:rPr>
              <w:t>记录单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整改报告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示例市数字化办公室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