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AHeading1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  <w:u w:val="none"/>
        </w:rPr>
        <w:t>2026 年度预算执行情况表</w:t>
      </w:r>
    </w:p>
    <w:p>
      <w:pPr>
        <w:pStyle w:val="DABody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编制单位：示例集团财务部   单位：万元</w:t>
      </w:r>
    </w:p>
    <w:p>
      <w:pPr>
        <w:sectPr>
          <w:headerReference w:type="default" r:id="rId9"/>
          <w:footerReference w:type="default" r:id="rId10"/>
          <w:headerReference w:type="first" r:id="rId11"/>
          <w:headerReference w:type="even" r:id="rId12"/>
          <w:footerReference w:type="first" r:id="rId13"/>
          <w:footerReference w:type="even" r:id="rId14"/>
          <w:pgSz w:w="11906" w:h="16838"/>
          <w:pgMar w:top="1134" w:right="1134" w:bottom="1134" w:left="1134" w:header="850" w:footer="850" w:gutter="0"/>
          <w:cols w:space="720"/>
          <w:docGrid w:linePitch="360"/>
        </w:sectPr>
      </w:pPr>
    </w:p>
    <w:tbl>
      <w:tblPr>
        <w:tblW w:type="dxa" w:w="9638"/>
        <w:jc w:val="center"/>
        <w:tblLook w:firstColumn="1" w:firstRow="1" w:lastColumn="0" w:lastRow="0" w:noHBand="0" w:noVBand="1" w:val="04A0"/>
        <w:tblLayout w:type="fixed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8"/>
      </w:tblGrid>
      <w:tr>
        <w:tc>
          <w:tcPr>
            <w:tcW w:type="dxa" w:w="87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科目</w:t>
            </w:r>
          </w:p>
        </w:tc>
        <w:tc>
          <w:tcPr>
            <w:tcW w:type="dxa" w:w="87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年初预算</w:t>
            </w:r>
          </w:p>
        </w:tc>
        <w:tc>
          <w:tcPr>
            <w:tcW w:type="dxa" w:w="87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一月</w:t>
            </w:r>
          </w:p>
        </w:tc>
        <w:tc>
          <w:tcPr>
            <w:tcW w:type="dxa" w:w="87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二月</w:t>
            </w:r>
          </w:p>
        </w:tc>
        <w:tc>
          <w:tcPr>
            <w:tcW w:type="dxa" w:w="87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三月</w:t>
            </w:r>
          </w:p>
        </w:tc>
        <w:tc>
          <w:tcPr>
            <w:tcW w:type="dxa" w:w="87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四月</w:t>
            </w:r>
          </w:p>
        </w:tc>
        <w:tc>
          <w:tcPr>
            <w:tcW w:type="dxa" w:w="87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五月</w:t>
            </w:r>
          </w:p>
        </w:tc>
        <w:tc>
          <w:tcPr>
            <w:tcW w:type="dxa" w:w="87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六月</w:t>
            </w:r>
          </w:p>
        </w:tc>
        <w:tc>
          <w:tcPr>
            <w:tcW w:type="dxa" w:w="87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累计</w:t>
            </w:r>
          </w:p>
        </w:tc>
        <w:tc>
          <w:tcPr>
            <w:tcW w:type="dxa" w:w="87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完成率</w:t>
            </w:r>
          </w:p>
        </w:tc>
        <w:tc>
          <w:tcPr>
            <w:tcW w:type="dxa" w:w="87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差异说明</w:t>
            </w:r>
          </w:p>
        </w:tc>
      </w:tr>
      <w:tr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成本科目1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825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61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63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66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69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71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390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48%</w:t>
            </w:r>
          </w:p>
        </w:tc>
        <w:tc>
          <w:tcPr>
            <w:tcW w:type="dxa" w:w="87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受采购节奏和项目交付周期影响</w:t>
            </w:r>
          </w:p>
        </w:tc>
      </w:tr>
      <w:tr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成本科目2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850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62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64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61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67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72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396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49%</w:t>
            </w:r>
          </w:p>
        </w:tc>
        <w:tc>
          <w:tcPr>
            <w:tcW w:type="dxa" w:w="878"/>
            <w:vAlign w:val="center"/>
          </w:tcPr>
          <w:p>
            <w:r>
              <w:rPr>
                <w:color w:val="000000"/>
                <w:sz w:val="26"/>
              </w:rPr>
              <w:t>受采购节奏和项目交付周期影响</w:t>
            </w:r>
          </w:p>
        </w:tc>
      </w:tr>
      <w:tr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成本科目3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875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63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65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62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68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71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73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402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50%</w:t>
            </w:r>
          </w:p>
        </w:tc>
        <w:tc>
          <w:tcPr>
            <w:tcW w:type="dxa" w:w="87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受采购节奏和项目交付周期影响</w:t>
            </w:r>
          </w:p>
        </w:tc>
      </w:tr>
      <w:tr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成本科目4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900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64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66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63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69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72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74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408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51%</w:t>
            </w:r>
          </w:p>
        </w:tc>
        <w:tc>
          <w:tcPr>
            <w:tcW w:type="dxa" w:w="878"/>
            <w:vAlign w:val="center"/>
          </w:tcPr>
          <w:p>
            <w:r>
              <w:rPr>
                <w:color w:val="000000"/>
                <w:sz w:val="26"/>
              </w:rPr>
              <w:t>受采购节奏和项目交付周期影响</w:t>
            </w:r>
          </w:p>
        </w:tc>
      </w:tr>
      <w:tr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成本科目5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925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67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64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73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414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52%</w:t>
            </w:r>
          </w:p>
        </w:tc>
        <w:tc>
          <w:tcPr>
            <w:tcW w:type="dxa" w:w="87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受采购节奏和项目交付周期影响</w:t>
            </w:r>
          </w:p>
        </w:tc>
      </w:tr>
      <w:tr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成本科目6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950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66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68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71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74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76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420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53%</w:t>
            </w:r>
          </w:p>
        </w:tc>
        <w:tc>
          <w:tcPr>
            <w:tcW w:type="dxa" w:w="878"/>
            <w:vAlign w:val="center"/>
          </w:tcPr>
          <w:p>
            <w:r>
              <w:rPr>
                <w:color w:val="000000"/>
                <w:sz w:val="26"/>
              </w:rPr>
              <w:t>受采购节奏和项目交付周期影响</w:t>
            </w:r>
          </w:p>
        </w:tc>
      </w:tr>
      <w:tr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成本科目7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975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67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69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66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72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77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426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54%</w:t>
            </w:r>
          </w:p>
        </w:tc>
        <w:tc>
          <w:tcPr>
            <w:tcW w:type="dxa" w:w="878"/>
            <w:vAlign w:val="center"/>
          </w:tcPr>
          <w:p>
            <w:r>
              <w:rPr>
                <w:color w:val="000000"/>
                <w:sz w:val="26"/>
              </w:rPr>
              <w:t>受采购节奏和项目交付周期影响</w:t>
            </w:r>
          </w:p>
        </w:tc>
      </w:tr>
      <w:tr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成本科目8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1000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68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67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73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76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78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432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55%</w:t>
            </w:r>
          </w:p>
        </w:tc>
        <w:tc>
          <w:tcPr>
            <w:tcW w:type="dxa" w:w="878"/>
            <w:vAlign w:val="center"/>
          </w:tcPr>
          <w:p>
            <w:r>
              <w:rPr>
                <w:color w:val="000000"/>
                <w:sz w:val="26"/>
              </w:rPr>
              <w:t>受采购节奏和项目交付周期影响</w:t>
            </w:r>
          </w:p>
        </w:tc>
      </w:tr>
      <w:tr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成本科目9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1025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69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71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68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74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77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79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438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56%</w:t>
            </w:r>
          </w:p>
        </w:tc>
        <w:tc>
          <w:tcPr>
            <w:tcW w:type="dxa" w:w="878"/>
            <w:vAlign w:val="center"/>
          </w:tcPr>
          <w:p>
            <w:r>
              <w:rPr>
                <w:color w:val="000000"/>
                <w:sz w:val="26"/>
              </w:rPr>
              <w:t>受采购节奏和项目交付周期影响</w:t>
            </w:r>
          </w:p>
        </w:tc>
      </w:tr>
      <w:tr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成本科目10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1050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72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69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78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80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444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57%</w:t>
            </w:r>
          </w:p>
        </w:tc>
        <w:tc>
          <w:tcPr>
            <w:tcW w:type="dxa" w:w="878"/>
            <w:vAlign w:val="center"/>
          </w:tcPr>
          <w:p>
            <w:r>
              <w:rPr>
                <w:color w:val="000000"/>
                <w:sz w:val="26"/>
              </w:rPr>
              <w:t>受采购节奏和项目交付周期影响</w:t>
            </w:r>
          </w:p>
        </w:tc>
      </w:tr>
      <w:tr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成本科目11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1075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71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73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76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79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81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450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58%</w:t>
            </w:r>
          </w:p>
        </w:tc>
        <w:tc>
          <w:tcPr>
            <w:tcW w:type="dxa" w:w="878"/>
            <w:vAlign w:val="center"/>
          </w:tcPr>
          <w:p>
            <w:r>
              <w:rPr>
                <w:color w:val="000000"/>
                <w:sz w:val="26"/>
              </w:rPr>
              <w:t>受采购节奏和项目交付周期影响</w:t>
            </w:r>
          </w:p>
        </w:tc>
      </w:tr>
      <w:tr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成本科目12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1100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72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74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71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77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80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82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456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59%</w:t>
            </w:r>
          </w:p>
        </w:tc>
        <w:tc>
          <w:tcPr>
            <w:tcW w:type="dxa" w:w="878"/>
            <w:vAlign w:val="center"/>
          </w:tcPr>
          <w:p>
            <w:r>
              <w:rPr>
                <w:color w:val="000000"/>
                <w:sz w:val="26"/>
              </w:rPr>
              <w:t>受采购节奏和项目交付周期影响</w:t>
            </w:r>
          </w:p>
        </w:tc>
      </w:tr>
    </w:tbl>
    <w:p>
      <w:pPr>
        <w:sectPr>
          <w:pgSz w:w="11906" w:h="16838"/>
          <w:pgMar w:top="1134" w:right="1134" w:bottom="1134" w:left="1134" w:header="850" w:footer="850" w:gutter="0"/>
          <w:cols w:space="720"/>
          <w:docGrid w:linePitch="360"/>
        </w:sectPr>
      </w:pPr>
    </w:p>
    <w:p>
      <w:pPr>
        <w:pStyle w:val="DABody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预算执行说明</w:t>
      </w:r>
    </w:p>
    <w:p>
      <w:pPr>
        <w:pStyle w:val="DAUnknown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上半年整体执行进度符合计划，部分项目付款节点延后至第三季度。</w:t>
      </w:r>
    </w:p>
    <w:sectPr w:rsidR="00FC693F" w:rsidRPr="0006063C" w:rsidSect="00034616">
      <w:pgSz w:w="11906" w:h="16838"/>
      <w:pgMar w:top="1134" w:right="1134" w:bottom="1134" w:left="1134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宋体">
    <w:altName w:val="Songti SC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jc w:val="center"/>
    </w:pPr>
    <w:r>
      <w:rPr>
        <w:color w:val="00000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  <w:r>
      <w:rPr>
        <w:rFonts w:ascii="Times New Roman" w:hAnsi="Times New Roman" w:eastAsia="宋体" w:cs="Times New Roman"/>
        <w:b w:val="0"/>
        <w:i w:val="0"/>
        <w:color w:val="000000"/>
        <w:sz w:val="18"/>
        <w:u w:val="none"/>
      </w:rPr>
      <w:t>财务报表 · 内部资料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paragraph" w:customStyle="1" w:styleId="DAHeading4">
    <w:name w:val="DA Heading 4"/>
    <w:basedOn w:val="Normal"/>
    <w:pPr>
      <w:keepNext/>
      <w:spacing w:lineRule="auto" w:line="360" w:before="120" w:after="60"/>
      <w:ind w:firstLine="480"/>
      <w:jc w:val="left"/>
    </w:pPr>
    <w:rPr>
      <w:rFonts w:ascii="Times New Roman" w:hAnsi="Times New Roman" w:eastAsia="宋体" w:cs="Times New Roman"/>
      <w:b/>
      <w:i w:val="0"/>
      <w:color w:val="000000"/>
      <w:sz w:val="24"/>
      <w:u w:val="none"/>
    </w:rPr>
  </w:style>
  <w:style w:type="paragraph" w:customStyle="1" w:styleId="DAListItem">
    <w:name w:val="DA List Item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Unknown">
    <w:name w:val="DA Unknown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AuthorInfo">
    <w:name w:val="DA Author Info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AppendixHeading">
    <w:name w:val="DA Appendix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32"/>
      <w:u w:val="none"/>
    </w:rPr>
  </w:style>
  <w:style w:type="paragraph" w:customStyle="1" w:styleId="DAHeading3">
    <w:name w:val="DA Heading 3"/>
    <w:basedOn w:val="Normal"/>
    <w:pPr>
      <w:keepNext/>
      <w:spacing w:lineRule="auto" w:line="360" w:before="180" w:after="60"/>
      <w:ind w:firstLine="480"/>
      <w:jc w:val="left"/>
    </w:pPr>
    <w:rPr>
      <w:rFonts w:ascii="Times New Roman" w:hAnsi="Times New Roman" w:eastAsia="宋体" w:cs="Times New Roman"/>
      <w:b/>
      <w:i w:val="0"/>
      <w:color w:val="000000"/>
      <w:sz w:val="24"/>
      <w:u w:val="none"/>
    </w:rPr>
  </w:style>
  <w:style w:type="paragraph" w:customStyle="1" w:styleId="DASubtitle">
    <w:name w:val="DA Subtitle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30"/>
      <w:u w:val="none"/>
    </w:rPr>
  </w:style>
  <w:style w:type="paragraph" w:customStyle="1" w:styleId="DAAppendix">
    <w:name w:val="DA Appendix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Abstract">
    <w:name w:val="DA Abstract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Body">
    <w:name w:val="DA Body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Bibliography">
    <w:name w:val="DA Bibliography"/>
    <w:basedOn w:val="Normal"/>
    <w:pPr>
      <w:spacing w:line="240" w:lineRule="auto" w:before="0" w:after="0"/>
      <w:ind w:hanging="42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Keywords">
    <w:name w:val="DA Keywords"/>
    <w:basedOn w:val="Normal"/>
    <w:pPr>
      <w:spacing w:lineRule="auto" w:line="360" w:before="0" w:after="120"/>
      <w:ind w:firstLine="0"/>
      <w:jc w:val="left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Blockquote">
    <w:name w:val="DA Blockquote"/>
    <w:basedOn w:val="Normal"/>
    <w:pPr>
      <w:spacing w:line="240" w:lineRule="auto" w:before="120" w:after="120"/>
      <w:ind w:firstLine="480" w:left="480" w:right="480"/>
      <w:jc w:val="both"/>
    </w:pPr>
    <w:rPr>
      <w:rFonts w:ascii="Times New Roman" w:hAnsi="Times New Roman" w:eastAsia="宋体" w:cs="Times New Roman"/>
      <w:b w:val="0"/>
      <w:i w:val="0"/>
      <w:color w:val="000000"/>
      <w:sz w:val="22"/>
      <w:u w:val="none"/>
    </w:rPr>
  </w:style>
  <w:style w:type="paragraph" w:customStyle="1" w:styleId="DATitle">
    <w:name w:val="DA Title"/>
    <w:basedOn w:val="Normal"/>
    <w:pPr>
      <w:keepNext/>
      <w:spacing w:lineRule="auto" w:line="360" w:before="0" w:after="36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44"/>
      <w:u w:val="none"/>
    </w:rPr>
  </w:style>
  <w:style w:type="paragraph" w:customStyle="1" w:styleId="DAHeading1">
    <w:name w:val="DA Heading 1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32"/>
      <w:u w:val="none"/>
    </w:rPr>
  </w:style>
  <w:style w:type="paragraph" w:customStyle="1" w:styleId="DABibliographyHeading">
    <w:name w:val="DA Bibliography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32"/>
      <w:u w:val="none"/>
    </w:rPr>
  </w:style>
  <w:style w:type="paragraph" w:customStyle="1" w:styleId="DATableCaption">
    <w:name w:val="DA Tabl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/>
      <w:b w:val="0"/>
      <w:i w:val="0"/>
      <w:color w:val="000000"/>
      <w:sz w:val="21"/>
      <w:u w:val="none"/>
    </w:rPr>
  </w:style>
  <w:style w:type="paragraph" w:customStyle="1" w:styleId="DAFigureCaption">
    <w:name w:val="DA Figur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/>
      <w:b w:val="0"/>
      <w:i w:val="0"/>
      <w:color w:val="000000"/>
      <w:sz w:val="21"/>
      <w:u w:val="none"/>
    </w:rPr>
  </w:style>
  <w:style w:type="paragraph" w:customStyle="1" w:styleId="DAAbstractHeading">
    <w:name w:val="DA Abstract Heading"/>
    <w:basedOn w:val="Normal"/>
    <w:pPr>
      <w:keepNext/>
      <w:spacing w:lineRule="auto" w:line="360" w:before="240" w:after="12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28"/>
      <w:u w:val="none"/>
    </w:rPr>
  </w:style>
  <w:style w:type="paragraph" w:customStyle="1" w:styleId="DAHeading2">
    <w:name w:val="DA Heading 2"/>
    <w:basedOn w:val="Normal"/>
    <w:pPr>
      <w:keepNext/>
      <w:spacing w:lineRule="auto" w:line="360" w:before="240" w:after="120"/>
      <w:ind w:firstLine="480"/>
      <w:jc w:val="left"/>
    </w:pPr>
    <w:rPr>
      <w:rFonts w:ascii="Times New Roman" w:hAnsi="Times New Roman" w:eastAsia="宋体" w:cs="Times New Roman"/>
      <w:b/>
      <w:i w:val="0"/>
      <w:color w:val="000000"/>
      <w:sz w:val="28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>
  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>
  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>
  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>
  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>
  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>
  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>
  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