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关于开展 2026 年度信息安全检查的通知</w:t>
      </w:r>
    </w:p>
    <w:p>
      <w:pPr>
        <w:pStyle w:val="DAAuthorInfo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示例办发〔2026〕18号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各部门、各直属单位：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为进一步落实信息安全责任，现组织开展年度检查。本段包含 intentionally mixed English，用于验证中西文字体、首行缩进和段落节奏。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一、检查范围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检查办公终端、业务系统、数据备份与外部协作平台的账号权限。</w:t>
      </w:r>
    </w:p>
    <w:p>
      <w:pPr>
        <w:pStyle w:val="DAHeading2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  <w:u w:val="none"/>
        </w:rPr>
        <w:t>（一）自查阶段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各单位应于九月十日前完成自查并提交问题清单。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二、工作要求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压实主体责任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如实记录问题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按期完成整改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阶段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时间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责任单位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交付物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自查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9月1日-10日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各部门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自查表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抽查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9月11日-20日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检查组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记录单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整改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9月30日前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责任单位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整改报告</w:t>
            </w:r>
          </w:p>
        </w:tc>
      </w:tr>
    </w:tbl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示例市数字化办公室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2026年8月25日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行政公文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