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/>
          <w:b/>
          <w:i w:val="0"/>
          <w:color w:val="000000"/>
          <w:sz w:val="44"/>
          <w:u w:val="none"/>
        </w:rPr>
        <w:t>华东区域 2026 年第二季度经营分析报告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执行摘要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本季度收入保持增长，但回款周期和重点客户续约率需要持续关注。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核心结论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收入同比增长 12.4%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毛利率提升 1.8 个百分点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应收账款周转天数增加 6 天</w:t>
      </w:r>
    </w:p>
    <w:p>
      <w:pPr>
        <w:sectPr>
          <w:headerReference w:type="default" r:id="rId9"/>
          <w:footerReference w:type="default" r:id="rId10"/>
          <w:headerReference w:type="first" r:id="rId11"/>
          <w:headerReference w:type="even" r:id="rId12"/>
          <w:footerReference w:type="first" r:id="rId13"/>
          <w:footerReference w:type="even" r:id="rId14"/>
          <w:pgSz w:w="11906" w:h="16838"/>
          <w:pgMar w:top="1134" w:right="1134" w:bottom="1134" w:left="1134" w:header="850" w:footer="850" w:gutter="0"/>
          <w:cols w:space="720"/>
          <w:docGrid w:linePitch="360"/>
        </w:sectPr>
      </w:pP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1 关键经营指标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0"/>
      </w:tblGrid>
      <w:tr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区域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收入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同比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毛利率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客户数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续约率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回款天数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风险等级</w:t>
            </w:r>
          </w:p>
        </w:tc>
        <w:tc>
          <w:tcPr>
            <w:tcW w:type="dxa" w:w="107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负责人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片区1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1337万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9%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32%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97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83%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39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07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经理1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片区2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1474万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10%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33%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104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84%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40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低</w:t>
            </w:r>
          </w:p>
        </w:tc>
        <w:tc>
          <w:tcPr>
            <w:tcW w:type="dxa" w:w="1070"/>
            <w:vAlign w:val="center"/>
          </w:tcPr>
          <w:p>
            <w:r>
              <w:rPr>
                <w:color w:val="000000"/>
                <w:sz w:val="26"/>
              </w:rPr>
              <w:t>经理2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片区3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1611万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11%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34%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111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85%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41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07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经理3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片区4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1748万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12%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35%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118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86%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42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低</w:t>
            </w:r>
          </w:p>
        </w:tc>
        <w:tc>
          <w:tcPr>
            <w:tcW w:type="dxa" w:w="1070"/>
            <w:vAlign w:val="center"/>
          </w:tcPr>
          <w:p>
            <w:r>
              <w:rPr>
                <w:color w:val="000000"/>
                <w:sz w:val="26"/>
              </w:rPr>
              <w:t>经理4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片区5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1885万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13%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36%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125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87%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43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07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经理5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片区6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2022万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14%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37%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132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88%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44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低</w:t>
            </w:r>
          </w:p>
        </w:tc>
        <w:tc>
          <w:tcPr>
            <w:tcW w:type="dxa" w:w="1070"/>
            <w:vAlign w:val="center"/>
          </w:tcPr>
          <w:p>
            <w:r>
              <w:rPr>
                <w:color w:val="000000"/>
                <w:sz w:val="26"/>
              </w:rPr>
              <w:t>经理6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片区7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2159万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15%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38%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139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89%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45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070"/>
            <w:vAlign w:val="center"/>
          </w:tcPr>
          <w:p>
            <w:r>
              <w:rPr>
                <w:color w:val="000000"/>
                <w:sz w:val="26"/>
              </w:rPr>
              <w:t>经理7</w:t>
            </w:r>
          </w:p>
        </w:tc>
      </w:tr>
    </w:tbl>
    <w:p>
      <w:pPr>
        <w:sectPr>
          <w:pgSz w:w="11906" w:h="16838"/>
          <w:pgMar w:top="1134" w:right="1134" w:bottom="1134" w:left="1134" w:header="850" w:footer="850" w:gutter="0"/>
          <w:cols w:space="720"/>
          <w:docGrid w:linePitch="360"/>
        </w:sectPr>
      </w:pP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2 风险与行动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针对回款风险，将按客户分层设置跟进节奏并明确升级机制。</w:t>
      </w:r>
    </w:p>
    <w:sectPr w:rsidR="00FC693F" w:rsidRPr="0006063C" w:rsidSect="00034616"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/>
        <w:b w:val="0"/>
        <w:i w:val="0"/>
        <w:color w:val="000000"/>
        <w:sz w:val="18"/>
        <w:u w:val="none"/>
      </w:rPr>
      <w:t>经营分析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/>
      <w:b w:val="0"/>
      <w:i w:val="0"/>
      <w:color w:val="000000"/>
      <w:sz w:val="22"/>
      <w:u w:val="none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44"/>
      <w:u w:val="none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0"/>
      <w:u w:val="none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