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宋体" w:cs="Times New Roman"/>
          <w:b/>
          <w:i w:val="0"/>
          <w:color w:val="000000"/>
          <w:sz w:val="44"/>
          <w:u w:val="none"/>
        </w:rPr>
        <w:t>客户资料导入操作手册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1 使用前准备</w:t>
      </w:r>
    </w:p>
    <w:p>
      <w:pPr>
        <w:pStyle w:val="DAUnknown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确认账号具有管理员权限，并准备 UTF-8 编码的客户资料文件。</w:t>
      </w:r>
    </w:p>
    <w:p>
      <w:pPr>
        <w:pStyle w:val="DAHeading2"/>
      </w:pPr>
      <w:r>
        <w:rPr>
          <w:rFonts w:ascii="Times New Roman" w:hAnsi="Times New Roman" w:eastAsia="宋体" w:cs="Times New Roman"/>
          <w:b/>
          <w:i w:val="0"/>
          <w:color w:val="000000"/>
          <w:sz w:val="28"/>
          <w:u w:val="none"/>
        </w:rPr>
        <w:t>1.1 文件要求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文件格式为 CSV 或 XLSX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首行必须为字段名称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单次导入不超过五万行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2 导入步骤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进入“客户管理”页面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选择“批量导入”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上传文件并完成字段映射</w:t>
      </w:r>
    </w:p>
    <w:p>
      <w:pPr>
        <w:pStyle w:val="ListNumber"/>
        <w:spacing w:lineRule="auto" w:line="360" w:before="0" w:after="0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确认预检结果后开始导入</w:t>
      </w:r>
    </w:p>
    <w:p>
      <w:pPr>
        <w:pStyle w:val="DABody"/>
        <w:jc w:val="center"/>
      </w:pPr>
      <w:r>
        <w:drawing>
          <wp:inline xmlns:a="http://schemas.openxmlformats.org/drawingml/2006/main" xmlns:pic="http://schemas.openxmlformats.org/drawingml/2006/picture">
            <wp:extent cx="2448000" cy="11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ture-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11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AFigureCaption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  <w:u w:val="none"/>
        </w:rPr>
        <w:t>图 1 字段映射界面</w:t>
      </w:r>
    </w:p>
    <w:p>
      <w:pPr>
        <w:pStyle w:val="DABody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  <w:u w:val="none"/>
        </w:rPr>
        <w:t>注意：存在重复手机号时，系统默认更新已有记录，不会新建重复客户。</w:t>
      </w:r>
    </w:p>
    <w:p>
      <w:pPr>
        <w:pStyle w:val="DAHeading1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  <w:u w:val="none"/>
        </w:rPr>
        <w:t>3 常见问题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现象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处理方法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上传失败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检查文件大小和扩展名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字段无法映射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确认首行字段名称完整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color w:val="000000"/>
                <w:sz w:val="26"/>
              </w:rPr>
              <w:t>导入结果部分失败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  <w:u w:val="none"/>
              </w:rPr>
              <w:t>下载失败明细并修正后重试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footerReference w:type="first" r:id="rId14"/>
      <w:footerReference w:type="even" r:id="rId15"/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宋体" w:cs="Times New Roman"/>
        <w:b w:val="0"/>
        <w:i w:val="0"/>
        <w:color w:val="000000"/>
        <w:sz w:val="18"/>
        <w:u w:val="none"/>
      </w:rPr>
      <w:t>操作手册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宋体" w:cs="Times New Roman"/>
      <w:b w:val="0"/>
      <w:i w:val="0"/>
      <w:color w:val="000000"/>
      <w:sz w:val="22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1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4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0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宋体" w:cs="Times New Roman"/>
      <w:b w:val="0"/>
      <w:i w:val="0"/>
      <w:color w:val="000000"/>
      <w:sz w:val="24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宋体" w:cs="Times New Roman"/>
      <w:b/>
      <w:i w:val="0"/>
      <w:color w:val="000000"/>
      <w:sz w:val="28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