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面向复杂 Word 文档的确定性排版方法研究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张三1，李四2</w:t>
      </w:r>
    </w:p>
    <w:p>
      <w:pPr>
        <w:pStyle w:val="DAAbstract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摘要</w:t>
      </w:r>
    </w:p>
    <w:p>
      <w:pPr>
        <w:pStyle w:val="DAAbstrac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本文研究跨领域文档的结构识别、格式归一与内容完整性验证方法。</w:t>
      </w:r>
    </w:p>
    <w:p>
      <w:pPr>
        <w:pStyle w:val="DAKeywords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关键词：Word；OOXML；自动排版；内容保护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引言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实际文档常包含样式漂移、直接格式、突出显示以及多节页面设置。传统的全选后统一字体无法可靠恢复语义层级，也容易破坏字段、超链接和公式。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因此需要先识别标题、正文、题注与参考文献，再执行可审计的确定性变换。这一段故意使用手动换行，验证自动分段不会损坏内容。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1.1 研究方法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方法由结构解析、角色推断、格式计划、落盘验证和自动修复五个阶段组成。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1620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确定性处理流程示意</w:t>
      </w:r>
    </w:p>
    <w:p>
      <w:pPr>
        <w:pStyle w:val="DATabl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表 1 评价指标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3"/>
        <w:gridCol w:w="2511"/>
        <w:gridCol w:w="1883"/>
        <w:gridCol w:w="1777"/>
        <w:gridCol w:w="1534"/>
      </w:tblGrid>
      <w:tr>
        <w:trPr>
          <w:tblHeader/>
          <w:cantSplit/>
        </w:trPr>
        <w:tc>
          <w:tcPr>
            <w:tcW w:type="dxa" w:w="193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指标</w:t>
            </w:r>
          </w:p>
        </w:tc>
        <w:tc>
          <w:tcPr>
            <w:tcW w:type="dxa" w:w="251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定义</w:t>
            </w:r>
          </w:p>
        </w:tc>
        <w:tc>
          <w:tcPr>
            <w:tcW w:type="dxa" w:w="18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目标</w:t>
            </w:r>
          </w:p>
        </w:tc>
        <w:tc>
          <w:tcPr>
            <w:tcW w:type="dxa" w:w="1777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当前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判定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内容完整性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文本、表格、图片指纹一致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格式合规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强制属性全部命中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100%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100%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1933"/>
            <w:vAlign w:val="center"/>
          </w:tcPr>
          <w:p>
            <w:r>
              <w:rPr>
                <w:color w:val="000000"/>
                <w:sz w:val="26"/>
              </w:rPr>
              <w:t>处理时延</w:t>
            </w:r>
          </w:p>
        </w:tc>
        <w:tc>
          <w:tcPr>
            <w:tcW w:type="dxa" w:w="2511"/>
            <w:vAlign w:val="center"/>
          </w:tcPr>
          <w:p>
            <w:r>
              <w:rPr>
                <w:color w:val="000000"/>
                <w:sz w:val="18"/>
              </w:rPr>
              <w:t>本地端到端耗时</w:t>
            </w:r>
          </w:p>
        </w:tc>
        <w:tc>
          <w:tcPr>
            <w:tcW w:type="dxa" w:w="1883"/>
            <w:vAlign w:val="center"/>
          </w:tcPr>
          <w:p>
            <w:r>
              <w:rPr>
                <w:color w:val="000000"/>
                <w:sz w:val="26"/>
              </w:rPr>
              <w:t>&lt;30秒</w:t>
            </w:r>
          </w:p>
        </w:tc>
        <w:tc>
          <w:tcPr>
            <w:tcW w:type="dxa" w:w="1777"/>
            <w:vAlign w:val="center"/>
          </w:tcPr>
          <w:p>
            <w:r>
              <w:rPr>
                <w:color w:val="000000"/>
                <w:sz w:val="18"/>
              </w:rPr>
              <w:t>3秒</w:t>
            </w:r>
          </w:p>
        </w:tc>
        <w:tc>
          <w:tcPr>
            <w:tcW w:type="dxa" w:w="153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通过</w:t>
            </w:r>
          </w:p>
        </w:tc>
      </w:tr>
    </w:tbl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结果与讨论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结果表明，内容安全约束与格式归一可以同时实现。</w:t>
      </w:r>
    </w:p>
    <w:p>
      <w:pPr>
        <w:pStyle w:val="DABibliographyHeading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参考文献</w:t>
      </w:r>
    </w:p>
    <w:p>
      <w:pPr>
        <w:pStyle w:val="DABibliograph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[1] ECMA International. Office Open XML File Formats.</w:t>
      </w:r>
    </w:p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学术论文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