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华东区域 2026 年第二季度经营分析报告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执行摘要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本季度收入保持增长，但回款周期和重点客户续约率需要持续关注。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核心结论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收入同比增长 12.4%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毛利率提升 1.8 个百分点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应收账款周转天数增加 6 天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850" w:bottom="1134" w:left="850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1 关键经营指标</w:t>
      </w:r>
    </w:p>
    <w:tbl>
      <w:tblPr>
        <w:tblW w:type="dxa" w:w="15138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672"/>
        <w:gridCol w:w="2014"/>
        <w:gridCol w:w="1644"/>
        <w:gridCol w:w="1699"/>
        <w:gridCol w:w="1672"/>
        <w:gridCol w:w="1699"/>
        <w:gridCol w:w="1525"/>
        <w:gridCol w:w="1512"/>
        <w:gridCol w:w="1701"/>
      </w:tblGrid>
      <w:tr>
        <w:trPr>
          <w:tblHeader/>
          <w:cantSplit/>
        </w:trPr>
        <w:tc>
          <w:tcPr>
            <w:tcW w:type="dxa" w:w="16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8"/>
                <w:u w:val="none"/>
                <w:lang w:val="zh-CN" w:eastAsia="zh-CN"/>
              </w:rPr>
              <w:t>区域</w:t>
            </w:r>
          </w:p>
        </w:tc>
        <w:tc>
          <w:tcPr>
            <w:tcW w:type="dxa" w:w="201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8"/>
                <w:u w:val="none"/>
                <w:lang w:val="zh-CN" w:eastAsia="zh-CN"/>
              </w:rPr>
              <w:t>收入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8"/>
                <w:u w:val="none"/>
                <w:lang w:val="zh-CN" w:eastAsia="zh-CN"/>
              </w:rPr>
              <w:t>同比</w:t>
            </w:r>
          </w:p>
        </w:tc>
        <w:tc>
          <w:tcPr>
            <w:tcW w:type="dxa" w:w="169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8"/>
                <w:u w:val="none"/>
                <w:lang w:val="zh-CN" w:eastAsia="zh-CN"/>
              </w:rPr>
              <w:t>毛利率</w:t>
            </w:r>
          </w:p>
        </w:tc>
        <w:tc>
          <w:tcPr>
            <w:tcW w:type="dxa" w:w="16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8"/>
                <w:u w:val="none"/>
                <w:lang w:val="zh-CN" w:eastAsia="zh-CN"/>
              </w:rPr>
              <w:t>客户数</w:t>
            </w:r>
          </w:p>
        </w:tc>
        <w:tc>
          <w:tcPr>
            <w:tcW w:type="dxa" w:w="169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8"/>
                <w:u w:val="none"/>
                <w:lang w:val="zh-CN" w:eastAsia="zh-CN"/>
              </w:rPr>
              <w:t>续约率</w:t>
            </w:r>
          </w:p>
        </w:tc>
        <w:tc>
          <w:tcPr>
            <w:tcW w:type="dxa" w:w="1525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8"/>
                <w:u w:val="none"/>
                <w:lang w:val="zh-CN" w:eastAsia="zh-CN"/>
              </w:rPr>
              <w:t>回款天数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8"/>
                <w:u w:val="none"/>
                <w:lang w:val="zh-CN" w:eastAsia="zh-CN"/>
              </w:rPr>
              <w:t>风险等级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8"/>
                <w:u w:val="none"/>
                <w:lang w:val="zh-CN" w:eastAsia="zh-CN"/>
              </w:rPr>
              <w:t>负责人</w:t>
            </w:r>
          </w:p>
        </w:tc>
      </w:tr>
      <w:tr>
        <w:trPr>
          <w:cantSplit/>
        </w:trPr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片区1</w:t>
            </w:r>
          </w:p>
        </w:tc>
        <w:tc>
          <w:tcPr>
            <w:tcW w:type="dxa" w:w="2014"/>
            <w:vAlign w:val="center"/>
          </w:tcPr>
          <w:p>
            <w:r>
              <w:rPr>
                <w:color w:val="000000"/>
                <w:sz w:val="18"/>
              </w:rPr>
              <w:t>1337万</w:t>
            </w:r>
          </w:p>
        </w:tc>
        <w:tc>
          <w:tcPr>
            <w:tcW w:type="dxa" w:w="1644"/>
            <w:vAlign w:val="center"/>
          </w:tcPr>
          <w:p>
            <w:r>
              <w:rPr>
                <w:color w:val="000000"/>
                <w:sz w:val="26"/>
              </w:rPr>
              <w:t>9%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32%</w:t>
            </w:r>
          </w:p>
        </w:tc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97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83%</w:t>
            </w:r>
          </w:p>
        </w:tc>
        <w:tc>
          <w:tcPr>
            <w:tcW w:type="dxa" w:w="1525"/>
            <w:vAlign w:val="center"/>
          </w:tcPr>
          <w:p>
            <w:r>
              <w:rPr>
                <w:color w:val="000000"/>
                <w:sz w:val="26"/>
              </w:rPr>
              <w:t>39</w:t>
            </w:r>
          </w:p>
        </w:tc>
        <w:tc>
          <w:tcPr>
            <w:tcW w:type="dxa" w:w="1512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8"/>
                <w:u w:val="none"/>
                <w:lang w:val="zh-CN" w:eastAsia="zh-CN"/>
              </w:rPr>
              <w:t>经理1</w:t>
            </w:r>
          </w:p>
        </w:tc>
      </w:tr>
      <w:tr>
        <w:trPr>
          <w:cantSplit/>
        </w:trPr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片区2</w:t>
            </w:r>
          </w:p>
        </w:tc>
        <w:tc>
          <w:tcPr>
            <w:tcW w:type="dxa" w:w="2014"/>
            <w:vAlign w:val="center"/>
          </w:tcPr>
          <w:p>
            <w:r>
              <w:rPr>
                <w:color w:val="000000"/>
                <w:sz w:val="18"/>
              </w:rPr>
              <w:t>1474万</w:t>
            </w:r>
          </w:p>
        </w:tc>
        <w:tc>
          <w:tcPr>
            <w:tcW w:type="dxa" w:w="1644"/>
            <w:vAlign w:val="center"/>
          </w:tcPr>
          <w:p>
            <w:r>
              <w:rPr>
                <w:color w:val="000000"/>
                <w:sz w:val="26"/>
              </w:rPr>
              <w:t>10%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33%</w:t>
            </w:r>
          </w:p>
        </w:tc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104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84%</w:t>
            </w:r>
          </w:p>
        </w:tc>
        <w:tc>
          <w:tcPr>
            <w:tcW w:type="dxa" w:w="1525"/>
            <w:vAlign w:val="center"/>
          </w:tcPr>
          <w:p>
            <w:r>
              <w:rPr>
                <w:color w:val="000000"/>
                <w:sz w:val="26"/>
              </w:rPr>
              <w:t>40</w:t>
            </w:r>
          </w:p>
        </w:tc>
        <w:tc>
          <w:tcPr>
            <w:tcW w:type="dxa" w:w="1512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8"/>
                <w:u w:val="none"/>
                <w:lang w:val="zh-CN" w:eastAsia="zh-CN"/>
              </w:rPr>
              <w:t>经理2</w:t>
            </w:r>
          </w:p>
        </w:tc>
      </w:tr>
      <w:tr>
        <w:trPr>
          <w:cantSplit/>
        </w:trPr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片区3</w:t>
            </w:r>
          </w:p>
        </w:tc>
        <w:tc>
          <w:tcPr>
            <w:tcW w:type="dxa" w:w="2014"/>
            <w:vAlign w:val="center"/>
          </w:tcPr>
          <w:p>
            <w:r>
              <w:rPr>
                <w:color w:val="000000"/>
                <w:sz w:val="18"/>
              </w:rPr>
              <w:t>1611万</w:t>
            </w:r>
          </w:p>
        </w:tc>
        <w:tc>
          <w:tcPr>
            <w:tcW w:type="dxa" w:w="1644"/>
            <w:vAlign w:val="center"/>
          </w:tcPr>
          <w:p>
            <w:r>
              <w:rPr>
                <w:color w:val="000000"/>
                <w:sz w:val="26"/>
              </w:rPr>
              <w:t>11%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34%</w:t>
            </w:r>
          </w:p>
        </w:tc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111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85%</w:t>
            </w:r>
          </w:p>
        </w:tc>
        <w:tc>
          <w:tcPr>
            <w:tcW w:type="dxa" w:w="1525"/>
            <w:vAlign w:val="center"/>
          </w:tcPr>
          <w:p>
            <w:r>
              <w:rPr>
                <w:color w:val="000000"/>
                <w:sz w:val="26"/>
              </w:rPr>
              <w:t>41</w:t>
            </w:r>
          </w:p>
        </w:tc>
        <w:tc>
          <w:tcPr>
            <w:tcW w:type="dxa" w:w="1512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8"/>
                <w:u w:val="none"/>
                <w:lang w:val="zh-CN" w:eastAsia="zh-CN"/>
              </w:rPr>
              <w:t>经理3</w:t>
            </w:r>
          </w:p>
        </w:tc>
      </w:tr>
      <w:tr>
        <w:trPr>
          <w:cantSplit/>
        </w:trPr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片区4</w:t>
            </w:r>
          </w:p>
        </w:tc>
        <w:tc>
          <w:tcPr>
            <w:tcW w:type="dxa" w:w="2014"/>
            <w:vAlign w:val="center"/>
          </w:tcPr>
          <w:p>
            <w:r>
              <w:rPr>
                <w:color w:val="000000"/>
                <w:sz w:val="18"/>
              </w:rPr>
              <w:t>1748万</w:t>
            </w:r>
          </w:p>
        </w:tc>
        <w:tc>
          <w:tcPr>
            <w:tcW w:type="dxa" w:w="1644"/>
            <w:vAlign w:val="center"/>
          </w:tcPr>
          <w:p>
            <w:r>
              <w:rPr>
                <w:color w:val="000000"/>
                <w:sz w:val="26"/>
              </w:rPr>
              <w:t>12%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35%</w:t>
            </w:r>
          </w:p>
        </w:tc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118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86%</w:t>
            </w:r>
          </w:p>
        </w:tc>
        <w:tc>
          <w:tcPr>
            <w:tcW w:type="dxa" w:w="1525"/>
            <w:vAlign w:val="center"/>
          </w:tcPr>
          <w:p>
            <w:r>
              <w:rPr>
                <w:color w:val="000000"/>
                <w:sz w:val="26"/>
              </w:rPr>
              <w:t>42</w:t>
            </w:r>
          </w:p>
        </w:tc>
        <w:tc>
          <w:tcPr>
            <w:tcW w:type="dxa" w:w="1512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701"/>
            <w:vAlign w:val="center"/>
          </w:tcPr>
          <w:p>
            <w:r>
              <w:rPr>
                <w:color w:val="000000"/>
                <w:sz w:val="26"/>
              </w:rPr>
              <w:t>经理4</w:t>
            </w:r>
          </w:p>
        </w:tc>
      </w:tr>
      <w:tr>
        <w:trPr>
          <w:cantSplit/>
        </w:trPr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片区5</w:t>
            </w:r>
          </w:p>
        </w:tc>
        <w:tc>
          <w:tcPr>
            <w:tcW w:type="dxa" w:w="2014"/>
            <w:vAlign w:val="center"/>
          </w:tcPr>
          <w:p>
            <w:r>
              <w:rPr>
                <w:color w:val="000000"/>
                <w:sz w:val="18"/>
              </w:rPr>
              <w:t>1885万</w:t>
            </w:r>
          </w:p>
        </w:tc>
        <w:tc>
          <w:tcPr>
            <w:tcW w:type="dxa" w:w="1644"/>
            <w:vAlign w:val="center"/>
          </w:tcPr>
          <w:p>
            <w:r>
              <w:rPr>
                <w:color w:val="000000"/>
                <w:sz w:val="26"/>
              </w:rPr>
              <w:t>13%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36%</w:t>
            </w:r>
          </w:p>
        </w:tc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125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87%</w:t>
            </w:r>
          </w:p>
        </w:tc>
        <w:tc>
          <w:tcPr>
            <w:tcW w:type="dxa" w:w="1525"/>
            <w:vAlign w:val="center"/>
          </w:tcPr>
          <w:p>
            <w:r>
              <w:rPr>
                <w:color w:val="000000"/>
                <w:sz w:val="26"/>
              </w:rPr>
              <w:t>43</w:t>
            </w:r>
          </w:p>
        </w:tc>
        <w:tc>
          <w:tcPr>
            <w:tcW w:type="dxa" w:w="1512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701"/>
            <w:vAlign w:val="center"/>
          </w:tcPr>
          <w:p>
            <w:r>
              <w:rPr>
                <w:color w:val="000000"/>
                <w:sz w:val="26"/>
              </w:rPr>
              <w:t>经理5</w:t>
            </w:r>
          </w:p>
        </w:tc>
      </w:tr>
      <w:tr>
        <w:trPr>
          <w:cantSplit/>
        </w:trPr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片区6</w:t>
            </w:r>
          </w:p>
        </w:tc>
        <w:tc>
          <w:tcPr>
            <w:tcW w:type="dxa" w:w="2014"/>
            <w:vAlign w:val="center"/>
          </w:tcPr>
          <w:p>
            <w:r>
              <w:rPr>
                <w:color w:val="000000"/>
                <w:sz w:val="18"/>
              </w:rPr>
              <w:t>2022万</w:t>
            </w:r>
          </w:p>
        </w:tc>
        <w:tc>
          <w:tcPr>
            <w:tcW w:type="dxa" w:w="1644"/>
            <w:vAlign w:val="center"/>
          </w:tcPr>
          <w:p>
            <w:r>
              <w:rPr>
                <w:color w:val="000000"/>
                <w:sz w:val="26"/>
              </w:rPr>
              <w:t>14%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37%</w:t>
            </w:r>
          </w:p>
        </w:tc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132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88%</w:t>
            </w:r>
          </w:p>
        </w:tc>
        <w:tc>
          <w:tcPr>
            <w:tcW w:type="dxa" w:w="1525"/>
            <w:vAlign w:val="center"/>
          </w:tcPr>
          <w:p>
            <w:r>
              <w:rPr>
                <w:color w:val="000000"/>
                <w:sz w:val="26"/>
              </w:rPr>
              <w:t>44</w:t>
            </w:r>
          </w:p>
        </w:tc>
        <w:tc>
          <w:tcPr>
            <w:tcW w:type="dxa" w:w="1512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701"/>
            <w:vAlign w:val="center"/>
          </w:tcPr>
          <w:p>
            <w:r>
              <w:rPr>
                <w:color w:val="000000"/>
                <w:sz w:val="26"/>
              </w:rPr>
              <w:t>经理6</w:t>
            </w:r>
          </w:p>
        </w:tc>
      </w:tr>
      <w:tr>
        <w:trPr>
          <w:cantSplit/>
        </w:trPr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片区7</w:t>
            </w:r>
          </w:p>
        </w:tc>
        <w:tc>
          <w:tcPr>
            <w:tcW w:type="dxa" w:w="2014"/>
            <w:vAlign w:val="center"/>
          </w:tcPr>
          <w:p>
            <w:r>
              <w:rPr>
                <w:color w:val="000000"/>
                <w:sz w:val="18"/>
              </w:rPr>
              <w:t>2159万</w:t>
            </w:r>
          </w:p>
        </w:tc>
        <w:tc>
          <w:tcPr>
            <w:tcW w:type="dxa" w:w="1644"/>
            <w:vAlign w:val="center"/>
          </w:tcPr>
          <w:p>
            <w:r>
              <w:rPr>
                <w:color w:val="000000"/>
                <w:sz w:val="26"/>
              </w:rPr>
              <w:t>15%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38%</w:t>
            </w:r>
          </w:p>
        </w:tc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139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89%</w:t>
            </w:r>
          </w:p>
        </w:tc>
        <w:tc>
          <w:tcPr>
            <w:tcW w:type="dxa" w:w="1525"/>
            <w:vAlign w:val="center"/>
          </w:tcPr>
          <w:p>
            <w:r>
              <w:rPr>
                <w:color w:val="000000"/>
                <w:sz w:val="26"/>
              </w:rPr>
              <w:t>45</w:t>
            </w:r>
          </w:p>
        </w:tc>
        <w:tc>
          <w:tcPr>
            <w:tcW w:type="dxa" w:w="1512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701"/>
            <w:vAlign w:val="center"/>
          </w:tcPr>
          <w:p>
            <w:r>
              <w:rPr>
                <w:color w:val="000000"/>
                <w:sz w:val="26"/>
              </w:rPr>
              <w:t>经理7</w:t>
            </w:r>
          </w:p>
        </w:tc>
      </w:tr>
    </w:tbl>
    <w:p>
      <w:pPr>
        <w:sectPr>
          <w:pgSz w:w="16838" w:h="11906" w:orient="landscape"/>
          <w:pgMar w:top="1134" w:right="850" w:bottom="1134" w:left="850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2 风险与行动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针对回款风险，将按客户分层设置跟进节奏并明确升级机制。</w:t>
      </w:r>
    </w:p>
    <w:sectPr w:rsidR="00FC693F" w:rsidRPr="0006063C" w:rsidSect="00034616">
      <w:pgSz w:w="16838" w:h="11906" w:orient="landscape"/>
      <w:pgMar w:top="1134" w:right="850" w:bottom="1134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经营分析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