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Songti SC" w:cs="Times New Roman"/>
          <w:b/>
          <w:i w:val="0"/>
          <w:color w:val="000000"/>
          <w:sz w:val="44"/>
          <w:u w:val="none"/>
        </w:rPr>
        <w:t>关于开展 2026 年度信息安全检查的通知</w:t>
      </w:r>
    </w:p>
    <w:p>
      <w:pPr>
        <w:pStyle w:val="DAAuthorInfo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示例办发〔2026〕18号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各部门、各直属单位：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为进一步落实信息安全责任，现组织开展年度检查。本段包含 intentionally mixed English，用于验证中西文字体、首行缩进和段落节奏。</w:t>
      </w:r>
    </w:p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一、检查范围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检查办公终端、业务系统、数据备份与外部协作平台的账号权限。</w:t>
      </w:r>
    </w:p>
    <w:p>
      <w:pPr>
        <w:pStyle w:val="DAHeading2"/>
      </w:pPr>
      <w:r>
        <w:rPr>
          <w:rFonts w:ascii="Times New Roman" w:hAnsi="Times New Roman" w:eastAsia="Songti SC" w:cs="Times New Roman"/>
          <w:b/>
          <w:i w:val="0"/>
          <w:color w:val="000000"/>
          <w:sz w:val="28"/>
          <w:u w:val="none"/>
        </w:rPr>
        <w:t>（一）自查阶段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各单位应于九月十日前完成自查并提交问题清单。</w:t>
      </w:r>
    </w:p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二、工作要求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压实主体责任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如实记录问题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按期完成整改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阶段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时间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责任单位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交付物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自查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9月1日-10日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各部门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自查表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抽查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9月11日-20日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检查组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记录单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整改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9月30日前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责任单位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整改报告</w:t>
            </w:r>
          </w:p>
        </w:tc>
      </w:tr>
    </w:tbl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示例市数字化办公室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2026年8月25日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Songti SC" w:cs="Times New Roman"/>
        <w:b w:val="0"/>
        <w:i w:val="0"/>
        <w:color w:val="000000"/>
        <w:sz w:val="18"/>
        <w:u w:val="none"/>
      </w:rPr>
      <w:t>行政公文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0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1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Songti SC" w:cs="Times New Roman"/>
      <w:b w:val="0"/>
      <w:i w:val="0"/>
      <w:color w:val="000000"/>
      <w:sz w:val="22"/>
      <w:u w:val="none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1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8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28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44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