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6759B" w14:paraId="5AF090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041"/>
            <w:tcMar>
              <w:top w:w="200" w:type="dxa"/>
              <w:left w:w="220" w:type="dxa"/>
              <w:bottom w:w="200" w:type="dxa"/>
              <w:right w:w="60" w:type="dxa"/>
            </w:tcMar>
            <w:vAlign w:val="center"/>
          </w:tcPr>
          <w:p w14:paraId="71887D90" w14:textId="77777777" w:rsidR="00F6759B" w:rsidRDefault="00000000">
            <w:r>
              <w:rPr>
                <w:noProof/>
              </w:rPr>
              <w:drawing>
                <wp:inline distT="0" distB="0" distL="0" distR="0" wp14:anchorId="39B7EF6D" wp14:editId="60690775">
                  <wp:extent cx="666750" cy="666750"/>
                  <wp:effectExtent l="0" t="0" r="0" b="0"/>
                  <wp:docPr id="1" name="logo" descr="CentWiseAI logo" title="CentWise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041"/>
            <w:tcMar>
              <w:top w:w="200" w:type="dxa"/>
              <w:left w:w="60" w:type="dxa"/>
              <w:bottom w:w="200" w:type="dxa"/>
              <w:right w:w="220" w:type="dxa"/>
            </w:tcMar>
            <w:vAlign w:val="center"/>
          </w:tcPr>
          <w:p w14:paraId="1C45F606" w14:textId="77777777" w:rsidR="00F6759B" w:rsidRDefault="00000000">
            <w:proofErr w:type="spellStart"/>
            <w:r>
              <w:rPr>
                <w:b/>
                <w:bCs/>
                <w:color w:val="FFFFFF"/>
                <w:spacing w:val="12"/>
                <w:sz w:val="36"/>
                <w:szCs w:val="36"/>
              </w:rPr>
              <w:t>CentWiseAI</w:t>
            </w:r>
            <w:proofErr w:type="spellEnd"/>
          </w:p>
          <w:p w14:paraId="42FC0FA2" w14:textId="77777777" w:rsidR="00F6759B" w:rsidRDefault="00000000">
            <w:pPr>
              <w:spacing w:before="30"/>
            </w:pPr>
            <w:r>
              <w:rPr>
                <w:i/>
                <w:iCs/>
                <w:color w:val="C7DED4"/>
                <w:sz w:val="18"/>
                <w:szCs w:val="18"/>
              </w:rPr>
              <w:t xml:space="preserve">AI Adoption &amp; Technology </w:t>
            </w:r>
            <w:proofErr w:type="gramStart"/>
            <w:r>
              <w:rPr>
                <w:i/>
                <w:iCs/>
                <w:color w:val="C7DED4"/>
                <w:sz w:val="18"/>
                <w:szCs w:val="18"/>
              </w:rPr>
              <w:t>Consulting  •</w:t>
            </w:r>
            <w:proofErr w:type="gramEnd"/>
            <w:r>
              <w:rPr>
                <w:i/>
                <w:iCs/>
                <w:color w:val="C7DED4"/>
                <w:sz w:val="18"/>
                <w:szCs w:val="18"/>
              </w:rPr>
              <w:t xml:space="preserve">  Greater Toronto Area</w:t>
            </w:r>
          </w:p>
        </w:tc>
      </w:tr>
    </w:tbl>
    <w:p w14:paraId="59DD64CB" w14:textId="77777777" w:rsidR="00F6759B" w:rsidRDefault="00000000">
      <w:pPr>
        <w:pBdr>
          <w:bottom w:val="single" w:sz="18" w:space="6" w:color="085041"/>
        </w:pBdr>
        <w:spacing w:before="300" w:after="40"/>
      </w:pPr>
      <w:r>
        <w:rPr>
          <w:b/>
          <w:bCs/>
          <w:color w:val="085041"/>
          <w:sz w:val="40"/>
          <w:szCs w:val="40"/>
        </w:rPr>
        <w:t>Marketing Website — Build Prompt</w:t>
      </w:r>
    </w:p>
    <w:p w14:paraId="1D7092C5" w14:textId="77777777" w:rsidR="00F6759B" w:rsidRDefault="00000000">
      <w:pPr>
        <w:spacing w:before="120" w:after="40"/>
      </w:pPr>
      <w:r>
        <w:rPr>
          <w:b/>
          <w:bCs/>
        </w:rPr>
        <w:t xml:space="preserve">A complete, copy-and-paste brief for Claude Code to design and build the </w:t>
      </w:r>
      <w:proofErr w:type="spellStart"/>
      <w:r>
        <w:rPr>
          <w:b/>
          <w:bCs/>
        </w:rPr>
        <w:t>CentWiseAI</w:t>
      </w:r>
      <w:proofErr w:type="spellEnd"/>
      <w:r>
        <w:rPr>
          <w:b/>
          <w:bCs/>
        </w:rPr>
        <w:t xml:space="preserve"> marketing site.</w:t>
      </w:r>
    </w:p>
    <w:p w14:paraId="02BB4CF0" w14:textId="77777777" w:rsidR="00F6759B" w:rsidRDefault="00000000">
      <w:pPr>
        <w:spacing w:after="200"/>
      </w:pPr>
      <w:r>
        <w:rPr>
          <w:i/>
          <w:iCs/>
          <w:color w:val="5E6B66"/>
          <w:sz w:val="18"/>
          <w:szCs w:val="18"/>
        </w:rPr>
        <w:t xml:space="preserve">Prepared for Adetunji “Teejay” Adeniran, Founder — </w:t>
      </w:r>
      <w:proofErr w:type="spellStart"/>
      <w:r>
        <w:rPr>
          <w:i/>
          <w:iCs/>
          <w:color w:val="5E6B66"/>
          <w:sz w:val="18"/>
          <w:szCs w:val="18"/>
        </w:rPr>
        <w:t>CentWiseAI</w:t>
      </w:r>
      <w:proofErr w:type="spellEnd"/>
      <w:r>
        <w:rPr>
          <w:i/>
          <w:iCs/>
          <w:color w:val="5E6B66"/>
          <w:sz w:val="18"/>
          <w:szCs w:val="18"/>
        </w:rPr>
        <w:t xml:space="preserve"> / </w:t>
      </w:r>
      <w:proofErr w:type="spellStart"/>
      <w:r>
        <w:rPr>
          <w:i/>
          <w:iCs/>
          <w:color w:val="5E6B66"/>
          <w:sz w:val="18"/>
          <w:szCs w:val="18"/>
        </w:rPr>
        <w:t>CentWise</w:t>
      </w:r>
      <w:proofErr w:type="spellEnd"/>
      <w:r>
        <w:rPr>
          <w:i/>
          <w:iCs/>
          <w:color w:val="5E6B66"/>
          <w:sz w:val="18"/>
          <w:szCs w:val="18"/>
        </w:rPr>
        <w:t xml:space="preserve"> Technologies, North York, Ontario.</w:t>
      </w:r>
    </w:p>
    <w:tbl>
      <w:tblPr>
        <w:tblW w:w="9360" w:type="dxa"/>
        <w:tblBorders>
          <w:top w:val="single" w:sz="1" w:space="0" w:color="F0F9F7"/>
          <w:left w:val="single" w:sz="18" w:space="0" w:color="085041"/>
          <w:bottom w:val="single" w:sz="1" w:space="0" w:color="F0F9F7"/>
          <w:right w:val="single" w:sz="1" w:space="0" w:color="F0F9F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759B" w14:paraId="599A96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9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833D98" w14:textId="77777777" w:rsidR="00F6759B" w:rsidRDefault="00000000">
            <w:pPr>
              <w:spacing w:after="60"/>
            </w:pPr>
            <w:r>
              <w:rPr>
                <w:b/>
                <w:bCs/>
                <w:color w:val="085041"/>
              </w:rPr>
              <w:t>How to use this document</w:t>
            </w:r>
          </w:p>
          <w:p w14:paraId="53DEE914" w14:textId="77777777" w:rsidR="00F6759B" w:rsidRDefault="00000000">
            <w:pPr>
              <w:spacing w:after="60" w:line="264" w:lineRule="auto"/>
            </w:pPr>
            <w:r>
              <w:rPr>
                <w:sz w:val="20"/>
                <w:szCs w:val="20"/>
              </w:rPr>
              <w:t>Paste everything from the “PROMPT BEGINS” marker to the end of the document into Claude Code as a single instruction.</w:t>
            </w:r>
          </w:p>
          <w:p w14:paraId="29A09496" w14:textId="77777777" w:rsidR="00F6759B" w:rsidRDefault="00000000">
            <w:pPr>
              <w:spacing w:after="60" w:line="264" w:lineRule="auto"/>
            </w:pPr>
            <w:r>
              <w:rPr>
                <w:sz w:val="20"/>
                <w:szCs w:val="20"/>
              </w:rPr>
              <w:t>Claude Code will scaffold the project, generate all pages and sections, apply the brand system, and wire the contact form. Review, then deploy.</w:t>
            </w:r>
          </w:p>
          <w:p w14:paraId="1070FCB0" w14:textId="77777777" w:rsidR="00F6759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Every instruction below is part of the prompt — nothing here is placeholder filler.</w:t>
            </w:r>
          </w:p>
        </w:tc>
      </w:tr>
    </w:tbl>
    <w:p w14:paraId="1A83C6F6" w14:textId="77777777" w:rsidR="00F6759B" w:rsidRDefault="00F6759B">
      <w:pPr>
        <w:spacing w:after="160"/>
      </w:pPr>
    </w:p>
    <w:p w14:paraId="4C748270" w14:textId="77777777" w:rsidR="00F6759B" w:rsidRDefault="00000000"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</w:pBdr>
        <w:shd w:val="clear" w:color="auto" w:fill="063D31"/>
        <w:spacing w:before="120" w:after="120"/>
      </w:pPr>
      <w:r>
        <w:rPr>
          <w:b/>
          <w:bCs/>
          <w:color w:val="FFFFFF"/>
          <w:spacing w:val="12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pacing w:val="12"/>
          <w:sz w:val="22"/>
          <w:szCs w:val="22"/>
        </w:rPr>
        <w:t>▶  PROMPT</w:t>
      </w:r>
      <w:proofErr w:type="gramEnd"/>
      <w:r>
        <w:rPr>
          <w:b/>
          <w:bCs/>
          <w:color w:val="FFFFFF"/>
          <w:spacing w:val="12"/>
          <w:sz w:val="22"/>
          <w:szCs w:val="22"/>
        </w:rPr>
        <w:t xml:space="preserve"> BEGINS</w:t>
      </w:r>
    </w:p>
    <w:p w14:paraId="2CBCEFEF" w14:textId="77777777" w:rsidR="00F6759B" w:rsidRDefault="00000000">
      <w:pPr>
        <w:pStyle w:val="Heading1"/>
        <w:pBdr>
          <w:bottom w:val="single" w:sz="14" w:space="4" w:color="085041"/>
        </w:pBdr>
      </w:pPr>
      <w:r>
        <w:t>1. Project brief</w:t>
      </w:r>
    </w:p>
    <w:p w14:paraId="674D7738" w14:textId="77777777" w:rsidR="00F6759B" w:rsidRDefault="00000000">
      <w:pPr>
        <w:spacing w:after="120" w:line="276" w:lineRule="auto"/>
      </w:pPr>
      <w:r>
        <w:t xml:space="preserve">You are an expert front-end engineer and brand-aware web designer. Build a modern, fast, fully responsive marketing website for </w:t>
      </w:r>
      <w:proofErr w:type="spellStart"/>
      <w:r>
        <w:t>CentWiseAI</w:t>
      </w:r>
      <w:proofErr w:type="spellEnd"/>
      <w:r>
        <w:t xml:space="preserve">, a Greater Toronto Area technology-consulting practice that helps professional teams adopt AI and modern productivity tools. The site has one job: convince a busy professional that </w:t>
      </w:r>
      <w:proofErr w:type="spellStart"/>
      <w:r>
        <w:t>CentWiseAI</w:t>
      </w:r>
      <w:proofErr w:type="spellEnd"/>
      <w:r>
        <w:t xml:space="preserve"> is the trusted local partner who will get their team confidently using AI, then move them to reach out. Lead with AI adoption as the headline value; treat website and digital-presence work as a supporting service, not the main pitch.</w:t>
      </w:r>
    </w:p>
    <w:p w14:paraId="21E37F8E" w14:textId="77777777" w:rsidR="00F6759B" w:rsidRDefault="00000000">
      <w:pPr>
        <w:spacing w:after="120" w:line="276" w:lineRule="auto"/>
      </w:pPr>
      <w:r>
        <w:t>Design for credibility and calm confidence. The visitor should feel they are dealing with a serious, hands-on operator who builds real things — not a generic agency. Avoid hype, avoid jargon, avoid stock-photo clichés. Favour clean layout, generous whitespace, confident typography, and a few well-placed motion accents.</w:t>
      </w:r>
    </w:p>
    <w:p w14:paraId="2FA126C1" w14:textId="77777777" w:rsidR="00F6759B" w:rsidRDefault="00000000">
      <w:pPr>
        <w:pStyle w:val="Heading1"/>
        <w:pBdr>
          <w:bottom w:val="single" w:sz="14" w:space="4" w:color="085041"/>
        </w:pBdr>
      </w:pPr>
      <w:r>
        <w:t>2. Brand system (must be honoured exactly)</w:t>
      </w:r>
    </w:p>
    <w:p w14:paraId="54588E7B" w14:textId="77777777" w:rsidR="00F6759B" w:rsidRDefault="00000000">
      <w:pPr>
        <w:pStyle w:val="Heading2"/>
      </w:pPr>
      <w:r>
        <w:t>Colour palette</w:t>
      </w:r>
    </w:p>
    <w:tbl>
      <w:tblPr>
        <w:tblW w:w="9360" w:type="dxa"/>
        <w:tblBorders>
          <w:top w:val="single" w:sz="4" w:space="0" w:color="D8E5E0"/>
          <w:left w:val="single" w:sz="4" w:space="0" w:color="D8E5E0"/>
          <w:bottom w:val="single" w:sz="4" w:space="0" w:color="D8E5E0"/>
          <w:right w:val="single" w:sz="4" w:space="0" w:color="D8E5E0"/>
          <w:insideH w:val="single" w:sz="4" w:space="0" w:color="D8E5E0"/>
          <w:insideV w:val="single" w:sz="4" w:space="0" w:color="D8E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759B" w14:paraId="20D7E0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08504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45EF2C0" w14:textId="77777777" w:rsidR="00F6759B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4680" w:type="dxa"/>
            <w:shd w:val="clear" w:color="auto" w:fill="08504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93A96F" w14:textId="77777777" w:rsidR="00F6759B" w:rsidRDefault="00000000"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F6759B" w14:paraId="1588EF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CEDAF8" w14:textId="77777777" w:rsidR="00F6759B" w:rsidRDefault="00000000">
            <w:r>
              <w:rPr>
                <w:b/>
                <w:bCs/>
                <w:color w:val="063D31"/>
                <w:sz w:val="20"/>
                <w:szCs w:val="20"/>
              </w:rPr>
              <w:t xml:space="preserve">Deep </w:t>
            </w:r>
            <w:proofErr w:type="gramStart"/>
            <w:r>
              <w:rPr>
                <w:b/>
                <w:bCs/>
                <w:color w:val="063D31"/>
                <w:sz w:val="20"/>
                <w:szCs w:val="20"/>
              </w:rPr>
              <w:t>Green  #</w:t>
            </w:r>
            <w:proofErr w:type="gramEnd"/>
            <w:r>
              <w:rPr>
                <w:b/>
                <w:bCs/>
                <w:color w:val="063D31"/>
                <w:sz w:val="20"/>
                <w:szCs w:val="20"/>
              </w:rPr>
              <w:t>085041</w:t>
            </w:r>
          </w:p>
        </w:tc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B309B9" w14:textId="77777777" w:rsidR="00F6759B" w:rsidRDefault="00000000">
            <w:r>
              <w:rPr>
                <w:sz w:val="20"/>
                <w:szCs w:val="20"/>
              </w:rPr>
              <w:t>Primary brand colour — headers, primary buttons, key accents.</w:t>
            </w:r>
          </w:p>
        </w:tc>
      </w:tr>
      <w:tr w:rsidR="00F6759B" w14:paraId="620624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shd w:val="clear" w:color="auto" w:fill="EAF6F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644D09" w14:textId="77777777" w:rsidR="00F6759B" w:rsidRDefault="00000000">
            <w:proofErr w:type="gramStart"/>
            <w:r>
              <w:rPr>
                <w:b/>
                <w:bCs/>
                <w:color w:val="063D31"/>
                <w:sz w:val="20"/>
                <w:szCs w:val="20"/>
              </w:rPr>
              <w:lastRenderedPageBreak/>
              <w:t>Mint  #</w:t>
            </w:r>
            <w:proofErr w:type="gramEnd"/>
            <w:r>
              <w:rPr>
                <w:b/>
                <w:bCs/>
                <w:color w:val="063D31"/>
                <w:sz w:val="20"/>
                <w:szCs w:val="20"/>
              </w:rPr>
              <w:t>5DCAA5</w:t>
            </w:r>
          </w:p>
        </w:tc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shd w:val="clear" w:color="auto" w:fill="EAF6F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EC29A3" w14:textId="77777777" w:rsidR="00F6759B" w:rsidRDefault="00000000">
            <w:r>
              <w:rPr>
                <w:sz w:val="20"/>
                <w:szCs w:val="20"/>
              </w:rPr>
              <w:t>Secondary accent — highlights, icons, hover states, underlines.</w:t>
            </w:r>
          </w:p>
        </w:tc>
      </w:tr>
      <w:tr w:rsidR="00F6759B" w14:paraId="2CA7D2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A43478" w14:textId="77777777" w:rsidR="00F6759B" w:rsidRDefault="00000000">
            <w:proofErr w:type="gramStart"/>
            <w:r>
              <w:rPr>
                <w:b/>
                <w:bCs/>
                <w:color w:val="063D31"/>
                <w:sz w:val="20"/>
                <w:szCs w:val="20"/>
              </w:rPr>
              <w:t>Navy  #</w:t>
            </w:r>
            <w:proofErr w:type="gramEnd"/>
            <w:r>
              <w:rPr>
                <w:b/>
                <w:bCs/>
                <w:color w:val="063D31"/>
                <w:sz w:val="20"/>
                <w:szCs w:val="20"/>
              </w:rPr>
              <w:t>0D1B2A</w:t>
            </w:r>
          </w:p>
        </w:tc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7DA174" w14:textId="77777777" w:rsidR="00F6759B" w:rsidRDefault="00000000">
            <w:r>
              <w:rPr>
                <w:sz w:val="20"/>
                <w:szCs w:val="20"/>
              </w:rPr>
              <w:t>Supporting dark — footer, deep sections, high-contrast panels.</w:t>
            </w:r>
          </w:p>
        </w:tc>
      </w:tr>
      <w:tr w:rsidR="00F6759B" w14:paraId="56E725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shd w:val="clear" w:color="auto" w:fill="EAF6F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3EBB04" w14:textId="77777777" w:rsidR="00F6759B" w:rsidRDefault="00000000">
            <w:proofErr w:type="gramStart"/>
            <w:r>
              <w:rPr>
                <w:b/>
                <w:bCs/>
                <w:color w:val="063D31"/>
                <w:sz w:val="20"/>
                <w:szCs w:val="20"/>
              </w:rPr>
              <w:t>Cream  #</w:t>
            </w:r>
            <w:proofErr w:type="gramEnd"/>
            <w:r>
              <w:rPr>
                <w:b/>
                <w:bCs/>
                <w:color w:val="063D31"/>
                <w:sz w:val="20"/>
                <w:szCs w:val="20"/>
              </w:rPr>
              <w:t>F0F9F7</w:t>
            </w:r>
          </w:p>
        </w:tc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shd w:val="clear" w:color="auto" w:fill="EAF6F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9951E2" w14:textId="77777777" w:rsidR="00F6759B" w:rsidRDefault="00000000">
            <w:r>
              <w:rPr>
                <w:sz w:val="20"/>
                <w:szCs w:val="20"/>
              </w:rPr>
              <w:t>Light background — alternating section fills, cards.</w:t>
            </w:r>
          </w:p>
        </w:tc>
      </w:tr>
      <w:tr w:rsidR="00F6759B" w14:paraId="69617D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8C82B4" w14:textId="77777777" w:rsidR="00F6759B" w:rsidRDefault="00000000">
            <w:proofErr w:type="gramStart"/>
            <w:r>
              <w:rPr>
                <w:b/>
                <w:bCs/>
                <w:color w:val="063D31"/>
                <w:sz w:val="20"/>
                <w:szCs w:val="20"/>
              </w:rPr>
              <w:t>Ink  #</w:t>
            </w:r>
            <w:proofErr w:type="gramEnd"/>
            <w:r>
              <w:rPr>
                <w:b/>
                <w:bCs/>
                <w:color w:val="063D31"/>
                <w:sz w:val="20"/>
                <w:szCs w:val="20"/>
              </w:rPr>
              <w:t>1C2B27 / Muted #5E6B66</w:t>
            </w:r>
          </w:p>
        </w:tc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7F22A9" w14:textId="77777777" w:rsidR="00F6759B" w:rsidRDefault="00000000">
            <w:r>
              <w:rPr>
                <w:sz w:val="20"/>
                <w:szCs w:val="20"/>
              </w:rPr>
              <w:t>Body text and secondary text.</w:t>
            </w:r>
          </w:p>
        </w:tc>
      </w:tr>
    </w:tbl>
    <w:p w14:paraId="5C0CABCC" w14:textId="77777777" w:rsidR="00F6759B" w:rsidRDefault="00F6759B">
      <w:pPr>
        <w:spacing w:after="100"/>
      </w:pPr>
    </w:p>
    <w:p w14:paraId="6D2799A2" w14:textId="77777777" w:rsidR="00F6759B" w:rsidRDefault="00000000">
      <w:pPr>
        <w:pStyle w:val="Heading2"/>
      </w:pPr>
      <w:r>
        <w:t>Logo &amp; identity</w:t>
      </w:r>
    </w:p>
    <w:p w14:paraId="233DC49A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 xml:space="preserve">Keep the existing </w:t>
      </w:r>
      <w:proofErr w:type="spellStart"/>
      <w:r>
        <w:rPr>
          <w:sz w:val="20"/>
          <w:szCs w:val="20"/>
        </w:rPr>
        <w:t>CentWiseAI</w:t>
      </w:r>
      <w:proofErr w:type="spellEnd"/>
      <w:r>
        <w:rPr>
          <w:sz w:val="20"/>
          <w:szCs w:val="20"/>
        </w:rPr>
        <w:t xml:space="preserve"> mark: a rounded deep-green tile with a mint cent (¢) glyph inside a mint ring. Reuse the supplied logo asset; do not redesign it.</w:t>
      </w:r>
    </w:p>
    <w:p w14:paraId="13AC1F3D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Wordmark: “</w:t>
      </w:r>
      <w:proofErr w:type="spellStart"/>
      <w:r>
        <w:rPr>
          <w:sz w:val="20"/>
          <w:szCs w:val="20"/>
        </w:rPr>
        <w:t>CentWiseAI</w:t>
      </w:r>
      <w:proofErr w:type="spellEnd"/>
      <w:r>
        <w:rPr>
          <w:sz w:val="20"/>
          <w:szCs w:val="20"/>
        </w:rPr>
        <w:t xml:space="preserve">” set in a </w:t>
      </w:r>
      <w:proofErr w:type="gramStart"/>
      <w:r>
        <w:rPr>
          <w:sz w:val="20"/>
          <w:szCs w:val="20"/>
        </w:rPr>
        <w:t>clean geometric sans</w:t>
      </w:r>
      <w:proofErr w:type="gramEnd"/>
      <w:r>
        <w:rPr>
          <w:sz w:val="20"/>
          <w:szCs w:val="20"/>
        </w:rPr>
        <w:t>, with the “AI” able to take the mint accent.</w:t>
      </w:r>
    </w:p>
    <w:p w14:paraId="4D373217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Tagline lockup options: “Work smarter. Every day.” and “AI readiness for every practice.”</w:t>
      </w:r>
    </w:p>
    <w:p w14:paraId="59896868" w14:textId="77777777" w:rsidR="00F6759B" w:rsidRDefault="00000000">
      <w:pPr>
        <w:pStyle w:val="Heading2"/>
      </w:pPr>
      <w:r>
        <w:t>Typography</w:t>
      </w:r>
    </w:p>
    <w:p w14:paraId="077745A3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 xml:space="preserve">Headings: a </w:t>
      </w:r>
      <w:proofErr w:type="gramStart"/>
      <w:r>
        <w:rPr>
          <w:sz w:val="20"/>
          <w:szCs w:val="20"/>
        </w:rPr>
        <w:t>modern geometric/grotesque sans</w:t>
      </w:r>
      <w:proofErr w:type="gramEnd"/>
      <w:r>
        <w:rPr>
          <w:sz w:val="20"/>
          <w:szCs w:val="20"/>
        </w:rPr>
        <w:t xml:space="preserve"> (e.g. Inter, Sora, or Space Grotesk) — bold, tight tracking.</w:t>
      </w:r>
    </w:p>
    <w:p w14:paraId="05B72841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Body: a highly readable humanist sans (e.g. Inter or Source Sans) at comfortable size and line-height.</w:t>
      </w:r>
    </w:p>
    <w:p w14:paraId="5E8FF544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Load fonts via a standard web-font provider; keep to two families maximum.</w:t>
      </w:r>
    </w:p>
    <w:p w14:paraId="53C11F9F" w14:textId="77777777" w:rsidR="00F6759B" w:rsidRDefault="00000000">
      <w:pPr>
        <w:pStyle w:val="Heading2"/>
      </w:pPr>
      <w:r>
        <w:t>Voice &amp; tone</w:t>
      </w:r>
    </w:p>
    <w:p w14:paraId="32E70282" w14:textId="77777777" w:rsidR="00F6759B" w:rsidRDefault="00000000">
      <w:pPr>
        <w:spacing w:after="120" w:line="276" w:lineRule="auto"/>
      </w:pPr>
      <w:r>
        <w:t>Plain-spoken, confident, warm, and concrete. Short sentences. Speak to outcomes (“your team gets hours back”), not features. Never overpromise, never use fear-based or alarmist language, and make no claims about rules, certification, or guarantees of any kind.</w:t>
      </w:r>
    </w:p>
    <w:p w14:paraId="635816B5" w14:textId="77777777" w:rsidR="00F6759B" w:rsidRDefault="00000000">
      <w:pPr>
        <w:pStyle w:val="Heading1"/>
        <w:pBdr>
          <w:bottom w:val="single" w:sz="14" w:space="4" w:color="085041"/>
        </w:pBdr>
      </w:pPr>
      <w:r>
        <w:t>3. Technical requirements</w:t>
      </w:r>
    </w:p>
    <w:p w14:paraId="456C03A8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 xml:space="preserve">Framework: Next.js (App Router) with TypeScript and Tailwind CSS. </w:t>
      </w:r>
      <w:proofErr w:type="gramStart"/>
      <w:r>
        <w:rPr>
          <w:sz w:val="20"/>
          <w:szCs w:val="20"/>
        </w:rPr>
        <w:t>Single-page</w:t>
      </w:r>
      <w:proofErr w:type="gramEnd"/>
      <w:r>
        <w:rPr>
          <w:sz w:val="20"/>
          <w:szCs w:val="20"/>
        </w:rPr>
        <w:t xml:space="preserve"> scroll with anchored sections, plus the option to split into routes later.</w:t>
      </w:r>
    </w:p>
    <w:p w14:paraId="5BD51F11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Fully responsive and mobile-first; flawless from 320px phones up to large desktops.</w:t>
      </w:r>
    </w:p>
    <w:p w14:paraId="1A15C39E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Define the palette as Tailwind theme tokens and CSS variables so colours are never hard-coded inline.</w:t>
      </w:r>
    </w:p>
    <w:p w14:paraId="4FFE4237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Performance: optimise images, lazy-load below-the-fold media, target fast load and smooth scroll. Subtle scroll-reveal and hover micro-interactions only — nothing heavy.</w:t>
      </w:r>
    </w:p>
    <w:p w14:paraId="683F0C33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Inclusive, easy-to-read design: strong colour contrast, clear focus states, keyboard-navigable menus and forms, descriptive alt text, and semantic HTML headings.</w:t>
      </w:r>
    </w:p>
    <w:p w14:paraId="55C3E0A9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Discoverability basics: per-page title and meta description, Open Graph tags, a sitemap, and clean semantic markup.</w:t>
      </w:r>
    </w:p>
    <w:p w14:paraId="568E8EF5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lastRenderedPageBreak/>
        <w:t>Contact form: name, organization, industry (dropdown), and message. On submit it should send to office@centwiseai.ca (wire to a simple form handler or email service) and show a friendly success state. Validate inputs client-side.</w:t>
      </w:r>
    </w:p>
    <w:p w14:paraId="360F257F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 xml:space="preserve">Deployment-ready for </w:t>
      </w:r>
      <w:proofErr w:type="spellStart"/>
      <w:r>
        <w:rPr>
          <w:sz w:val="20"/>
          <w:szCs w:val="20"/>
        </w:rPr>
        <w:t>Vercel</w:t>
      </w:r>
      <w:proofErr w:type="spellEnd"/>
      <w:r>
        <w:rPr>
          <w:sz w:val="20"/>
          <w:szCs w:val="20"/>
        </w:rPr>
        <w:t>. Include a short README with run and deploy steps.</w:t>
      </w:r>
    </w:p>
    <w:tbl>
      <w:tblPr>
        <w:tblW w:w="9360" w:type="dxa"/>
        <w:tblBorders>
          <w:top w:val="single" w:sz="1" w:space="0" w:color="FFF4E8"/>
          <w:left w:val="single" w:sz="18" w:space="0" w:color="B5641E"/>
          <w:bottom w:val="single" w:sz="1" w:space="0" w:color="FFF4E8"/>
          <w:right w:val="single" w:sz="1" w:space="0" w:color="FFF4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759B" w14:paraId="1FCF40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4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1E4077" w14:textId="77777777" w:rsidR="00F6759B" w:rsidRDefault="00000000">
            <w:pPr>
              <w:spacing w:after="60"/>
            </w:pPr>
            <w:r>
              <w:rPr>
                <w:b/>
                <w:bCs/>
                <w:color w:val="B5641E"/>
              </w:rPr>
              <w:t>Do NOT include</w:t>
            </w:r>
          </w:p>
          <w:p w14:paraId="699C126F" w14:textId="77777777" w:rsidR="00F6759B" w:rsidRDefault="00000000">
            <w:pPr>
              <w:spacing w:after="60" w:line="264" w:lineRule="auto"/>
            </w:pPr>
            <w:r>
              <w:rPr>
                <w:sz w:val="20"/>
                <w:szCs w:val="20"/>
              </w:rPr>
              <w:t>No pricing, rate tables, dollar figures, or package costs anywhere on the site.</w:t>
            </w:r>
          </w:p>
          <w:p w14:paraId="237C1A3F" w14:textId="77777777" w:rsidR="00F6759B" w:rsidRDefault="00000000">
            <w:pPr>
              <w:spacing w:after="60" w:line="264" w:lineRule="auto"/>
            </w:pPr>
            <w:r>
              <w:rPr>
                <w:sz w:val="20"/>
                <w:szCs w:val="20"/>
              </w:rPr>
              <w:t>No claims about rules, certification, accreditation, or guarantees of outcomes.</w:t>
            </w:r>
          </w:p>
          <w:p w14:paraId="6B07A845" w14:textId="77777777" w:rsidR="00F6759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No fabricated client names, logos, testimonials, or statistics. Use </w:t>
            </w:r>
            <w:proofErr w:type="gramStart"/>
            <w:r>
              <w:rPr>
                <w:sz w:val="20"/>
                <w:szCs w:val="20"/>
              </w:rPr>
              <w:t>clearly-marked</w:t>
            </w:r>
            <w:proofErr w:type="gramEnd"/>
            <w:r>
              <w:rPr>
                <w:sz w:val="20"/>
                <w:szCs w:val="20"/>
              </w:rPr>
              <w:t xml:space="preserve"> placeholder testimonials only if a testimonial block is built, and label them as samples.</w:t>
            </w:r>
          </w:p>
        </w:tc>
      </w:tr>
    </w:tbl>
    <w:p w14:paraId="6CEC20D6" w14:textId="77777777" w:rsidR="00F6759B" w:rsidRDefault="00000000">
      <w:pPr>
        <w:pStyle w:val="Heading1"/>
        <w:pBdr>
          <w:bottom w:val="single" w:sz="14" w:space="4" w:color="085041"/>
        </w:pBdr>
      </w:pPr>
      <w:r>
        <w:t>4. Site structure</w:t>
      </w:r>
    </w:p>
    <w:p w14:paraId="39B493C0" w14:textId="77777777" w:rsidR="00F6759B" w:rsidRDefault="00000000">
      <w:pPr>
        <w:spacing w:after="120" w:line="276" w:lineRule="auto"/>
      </w:pPr>
      <w:r>
        <w:t>Build these sections in order as a single scrolling homepage with a sticky top navigation that links to each anchor and ends in a primary “Contact” button:</w:t>
      </w:r>
    </w:p>
    <w:p w14:paraId="5F94F6B4" w14:textId="77777777" w:rsidR="00F6759B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rPr>
          <w:sz w:val="20"/>
          <w:szCs w:val="20"/>
        </w:rPr>
        <w:t>Sticky navigation + logo</w:t>
      </w:r>
    </w:p>
    <w:p w14:paraId="70C93BF1" w14:textId="77777777" w:rsidR="00F6759B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rPr>
          <w:sz w:val="20"/>
          <w:szCs w:val="20"/>
        </w:rPr>
        <w:t>Hero</w:t>
      </w:r>
    </w:p>
    <w:p w14:paraId="730D839C" w14:textId="77777777" w:rsidR="00F6759B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rPr>
          <w:sz w:val="20"/>
          <w:szCs w:val="20"/>
        </w:rPr>
        <w:t>Outcomes strip (the shift you enable)</w:t>
      </w:r>
    </w:p>
    <w:p w14:paraId="687EE9A3" w14:textId="77777777" w:rsidR="00F6759B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rPr>
          <w:sz w:val="20"/>
          <w:szCs w:val="20"/>
        </w:rPr>
        <w:t>What we do — core services</w:t>
      </w:r>
    </w:p>
    <w:p w14:paraId="67D5F6B1" w14:textId="77777777" w:rsidR="00F6759B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rPr>
          <w:sz w:val="20"/>
          <w:szCs w:val="20"/>
        </w:rPr>
        <w:t>Industries we serve</w:t>
      </w:r>
    </w:p>
    <w:p w14:paraId="1665D465" w14:textId="77777777" w:rsidR="00F6759B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rPr>
          <w:sz w:val="20"/>
          <w:szCs w:val="20"/>
        </w:rPr>
        <w:t xml:space="preserve">The </w:t>
      </w:r>
      <w:proofErr w:type="spellStart"/>
      <w:r>
        <w:rPr>
          <w:sz w:val="20"/>
          <w:szCs w:val="20"/>
        </w:rPr>
        <w:t>CentWiseAI</w:t>
      </w:r>
      <w:proofErr w:type="spellEnd"/>
      <w:r>
        <w:rPr>
          <w:sz w:val="20"/>
          <w:szCs w:val="20"/>
        </w:rPr>
        <w:t xml:space="preserve"> edge — why us</w:t>
      </w:r>
    </w:p>
    <w:p w14:paraId="5B91F657" w14:textId="77777777" w:rsidR="00F6759B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rPr>
          <w:sz w:val="20"/>
          <w:szCs w:val="20"/>
        </w:rPr>
        <w:t>How we work — process</w:t>
      </w:r>
    </w:p>
    <w:p w14:paraId="09A444AC" w14:textId="77777777" w:rsidR="00F6759B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rPr>
          <w:sz w:val="20"/>
          <w:szCs w:val="20"/>
        </w:rPr>
        <w:t>Built by people who ship AI — flagship product</w:t>
      </w:r>
    </w:p>
    <w:p w14:paraId="7DEB1E85" w14:textId="77777777" w:rsidR="00F6759B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rPr>
          <w:sz w:val="20"/>
          <w:szCs w:val="20"/>
        </w:rPr>
        <w:t>About the founder</w:t>
      </w:r>
    </w:p>
    <w:p w14:paraId="3FFEE2AE" w14:textId="77777777" w:rsidR="00F6759B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rPr>
          <w:sz w:val="20"/>
          <w:szCs w:val="20"/>
        </w:rPr>
        <w:t>Final call-to-action + contact form</w:t>
      </w:r>
    </w:p>
    <w:p w14:paraId="304B0B8C" w14:textId="77777777" w:rsidR="00F6759B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rPr>
          <w:sz w:val="20"/>
          <w:szCs w:val="20"/>
        </w:rPr>
        <w:t>Footer</w:t>
      </w:r>
    </w:p>
    <w:p w14:paraId="4A06C7A2" w14:textId="77777777" w:rsidR="00F6759B" w:rsidRDefault="00000000">
      <w:pPr>
        <w:pStyle w:val="Heading1"/>
        <w:pBdr>
          <w:bottom w:val="single" w:sz="14" w:space="4" w:color="085041"/>
        </w:pBdr>
      </w:pPr>
      <w:r>
        <w:t>5. Section-by-section content</w:t>
      </w:r>
    </w:p>
    <w:p w14:paraId="01258086" w14:textId="77777777" w:rsidR="00F6759B" w:rsidRDefault="00000000">
      <w:pPr>
        <w:spacing w:after="120" w:line="276" w:lineRule="auto"/>
      </w:pPr>
      <w:r>
        <w:t>Use the copy below as the real content. You may tighten wording, but keep the meaning, the cross-industry framing, and the differentiators intact.</w:t>
      </w:r>
    </w:p>
    <w:p w14:paraId="16C05306" w14:textId="77777777" w:rsidR="00F6759B" w:rsidRDefault="00000000">
      <w:pPr>
        <w:pStyle w:val="Heading2"/>
      </w:pPr>
      <w:r>
        <w:t>Hero</w:t>
      </w:r>
    </w:p>
    <w:p w14:paraId="6B3DC573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Eyebrow: AI ADOPTION &amp; TECHNOLOGY CONSULTING — GREATER TORONTO AREA</w:t>
      </w:r>
    </w:p>
    <w:p w14:paraId="3BCCC1EE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0"/>
          <w:szCs w:val="20"/>
        </w:rPr>
        <w:t xml:space="preserve">Headline: </w:t>
      </w:r>
      <w:r>
        <w:rPr>
          <w:color w:val="063D31"/>
          <w:sz w:val="20"/>
          <w:szCs w:val="20"/>
        </w:rPr>
        <w:t>“Get your team confidently using AI — without the guesswork.”</w:t>
      </w:r>
    </w:p>
    <w:p w14:paraId="39388DF8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0"/>
          <w:szCs w:val="20"/>
        </w:rPr>
        <w:t xml:space="preserve">Sub-headline: </w:t>
      </w:r>
      <w:proofErr w:type="spellStart"/>
      <w:r>
        <w:rPr>
          <w:sz w:val="20"/>
          <w:szCs w:val="20"/>
        </w:rPr>
        <w:t>CentWiseAI</w:t>
      </w:r>
      <w:proofErr w:type="spellEnd"/>
      <w:r>
        <w:rPr>
          <w:sz w:val="20"/>
          <w:szCs w:val="20"/>
        </w:rPr>
        <w:t xml:space="preserve"> helps practices of every kind adopt AI and modern productivity tools, then trains your people to </w:t>
      </w:r>
      <w:proofErr w:type="gramStart"/>
      <w:r>
        <w:rPr>
          <w:sz w:val="20"/>
          <w:szCs w:val="20"/>
        </w:rPr>
        <w:t>actually use</w:t>
      </w:r>
      <w:proofErr w:type="gramEnd"/>
      <w:r>
        <w:rPr>
          <w:sz w:val="20"/>
          <w:szCs w:val="20"/>
        </w:rPr>
        <w:t xml:space="preserve"> them. Practical, hands-on, and built around how your team already works.</w:t>
      </w:r>
    </w:p>
    <w:p w14:paraId="49AB3A03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0"/>
          <w:szCs w:val="20"/>
        </w:rPr>
        <w:t xml:space="preserve">Primary button: </w:t>
      </w:r>
      <w:r>
        <w:rPr>
          <w:sz w:val="20"/>
          <w:szCs w:val="20"/>
        </w:rPr>
        <w:t>“Book a discovery call” (scrolls to contact). Secondary text link: “See how we work.”</w:t>
      </w:r>
    </w:p>
    <w:p w14:paraId="48DD538A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Visual: an abstract, on-brand graphic (soft gradient mesh in green/mint, or a clean geometric motif echoing the cent mark). No stock photos of handshakes or robots.</w:t>
      </w:r>
    </w:p>
    <w:p w14:paraId="6DDAB5CA" w14:textId="77777777" w:rsidR="00F6759B" w:rsidRDefault="00000000">
      <w:pPr>
        <w:pStyle w:val="Heading2"/>
      </w:pPr>
      <w:r>
        <w:lastRenderedPageBreak/>
        <w:t>Outcomes strip</w:t>
      </w:r>
    </w:p>
    <w:p w14:paraId="7A7CEC5B" w14:textId="77777777" w:rsidR="00F6759B" w:rsidRDefault="00000000">
      <w:pPr>
        <w:spacing w:after="120" w:line="276" w:lineRule="auto"/>
      </w:pPr>
      <w:r>
        <w:t>A horizontal band on a cream or navy fill with three or four short outcome statements, each with a small mint icon:</w:t>
      </w:r>
    </w:p>
    <w:p w14:paraId="25846781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Hours back every week from automated, repetitive tasks.</w:t>
      </w:r>
    </w:p>
    <w:p w14:paraId="638390DC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A team that reaches for AI by default — not one that avoids it.</w:t>
      </w:r>
    </w:p>
    <w:p w14:paraId="49592F53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Your everyday tools, working together instead of in silos.</w:t>
      </w:r>
    </w:p>
    <w:p w14:paraId="7D79501A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A clear, calm path from “curious about AI” to “running on it.”</w:t>
      </w:r>
    </w:p>
    <w:p w14:paraId="3202E431" w14:textId="77777777" w:rsidR="00F6759B" w:rsidRDefault="00000000">
      <w:pPr>
        <w:pStyle w:val="Heading2"/>
      </w:pPr>
      <w:r>
        <w:t>What we do — core services</w:t>
      </w:r>
    </w:p>
    <w:p w14:paraId="33F8F11C" w14:textId="77777777" w:rsidR="00F6759B" w:rsidRDefault="00000000">
      <w:pPr>
        <w:spacing w:after="120" w:line="276" w:lineRule="auto"/>
      </w:pPr>
      <w:r>
        <w:t>Four service cards in a responsive grid. Each: icon, title, one-line promise, two or three plain-language detail points.</w:t>
      </w:r>
    </w:p>
    <w:p w14:paraId="704699AF" w14:textId="77777777" w:rsidR="00F6759B" w:rsidRDefault="00000000">
      <w:pPr>
        <w:spacing w:before="80" w:after="40"/>
      </w:pPr>
      <w:r>
        <w:rPr>
          <w:b/>
          <w:bCs/>
          <w:color w:val="085041"/>
        </w:rPr>
        <w:t>Card 1 — AI Adoption &amp; Enablement (lead service)</w:t>
      </w:r>
    </w:p>
    <w:p w14:paraId="5F82B899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 xml:space="preserve">Promise: We turn “we should use AI” into your team </w:t>
      </w:r>
      <w:proofErr w:type="gramStart"/>
      <w:r>
        <w:rPr>
          <w:sz w:val="20"/>
          <w:szCs w:val="20"/>
        </w:rPr>
        <w:t>actually using</w:t>
      </w:r>
      <w:proofErr w:type="gramEnd"/>
      <w:r>
        <w:rPr>
          <w:sz w:val="20"/>
          <w:szCs w:val="20"/>
        </w:rPr>
        <w:t xml:space="preserve"> it.</w:t>
      </w:r>
    </w:p>
    <w:p w14:paraId="34F0A052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We assess where AI fits your day-to-day, set up the right assistants and tools, and create simple ways of working your team will stick with.</w:t>
      </w:r>
    </w:p>
    <w:p w14:paraId="0E43425C" w14:textId="77777777" w:rsidR="00F6759B" w:rsidRDefault="00000000">
      <w:pPr>
        <w:spacing w:before="80" w:after="40"/>
      </w:pPr>
      <w:r>
        <w:rPr>
          <w:b/>
          <w:bCs/>
          <w:color w:val="085041"/>
        </w:rPr>
        <w:t>Card 2 — Productivity Tools &amp; Workflow Automation</w:t>
      </w:r>
    </w:p>
    <w:p w14:paraId="45556B5C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Promise: Your everyday tools, finally working as one system.</w:t>
      </w:r>
    </w:p>
    <w:p w14:paraId="79047B24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We configure modern productivity suites (such as Microsoft 365) — shared email, documents, team collaboration — and automate the repetitive paths: intake, bookings, routing, reminders, and follow-ups.</w:t>
      </w:r>
    </w:p>
    <w:p w14:paraId="3BF5024C" w14:textId="77777777" w:rsidR="00F6759B" w:rsidRDefault="00000000">
      <w:pPr>
        <w:spacing w:before="80" w:after="40"/>
      </w:pPr>
      <w:r>
        <w:rPr>
          <w:b/>
          <w:bCs/>
          <w:color w:val="085041"/>
        </w:rPr>
        <w:t>Card 3 — Team Training &amp; AI Coaching</w:t>
      </w:r>
    </w:p>
    <w:p w14:paraId="4165FEF1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Promise: Tools are easy. Adoption is the hard part — that’s our specialty.</w:t>
      </w:r>
    </w:p>
    <w:p w14:paraId="00F23B85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Live, role-specific training plus recorded sessions your team can revisit, and coaching for the practice lead so the momentum sticks.</w:t>
      </w:r>
    </w:p>
    <w:p w14:paraId="67E21A3B" w14:textId="77777777" w:rsidR="00F6759B" w:rsidRDefault="00000000">
      <w:pPr>
        <w:spacing w:before="80" w:after="40"/>
      </w:pPr>
      <w:r>
        <w:rPr>
          <w:b/>
          <w:bCs/>
          <w:color w:val="085041"/>
        </w:rPr>
        <w:t>Card 4 — Websites &amp; Digital Presence</w:t>
      </w:r>
    </w:p>
    <w:p w14:paraId="68153D1F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Promise: A clean, modern site that does its job — built fast.</w:t>
      </w:r>
    </w:p>
    <w:p w14:paraId="11D6C4F4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Mobile-first websites, a custom domain and professional email, and reliable hosting and care — a tidy front door to the AI-ready practice behind it.</w:t>
      </w:r>
    </w:p>
    <w:p w14:paraId="774E6D53" w14:textId="77777777" w:rsidR="00F6759B" w:rsidRDefault="00000000">
      <w:pPr>
        <w:pStyle w:val="Heading2"/>
      </w:pPr>
      <w:r>
        <w:t>Industries we serve</w:t>
      </w:r>
    </w:p>
    <w:p w14:paraId="16C4FB32" w14:textId="77777777" w:rsidR="00F6759B" w:rsidRDefault="00000000">
      <w:pPr>
        <w:spacing w:after="120" w:line="276" w:lineRule="auto"/>
      </w:pPr>
      <w:r>
        <w:t>Make the cross-industry breadth unmistakable. A grid of industry tiles, each with an icon and a one-line note that the same approach adapts to that field. Include at least:</w:t>
      </w:r>
    </w:p>
    <w:tbl>
      <w:tblPr>
        <w:tblW w:w="9360" w:type="dxa"/>
        <w:tblBorders>
          <w:top w:val="single" w:sz="4" w:space="0" w:color="D8E5E0"/>
          <w:left w:val="single" w:sz="4" w:space="0" w:color="D8E5E0"/>
          <w:bottom w:val="single" w:sz="4" w:space="0" w:color="D8E5E0"/>
          <w:right w:val="single" w:sz="4" w:space="0" w:color="D8E5E0"/>
          <w:insideH w:val="single" w:sz="4" w:space="0" w:color="D8E5E0"/>
          <w:insideV w:val="single" w:sz="4" w:space="0" w:color="D8E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759B" w14:paraId="41FF4C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08504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E5722D" w14:textId="77777777" w:rsidR="00F6759B" w:rsidRDefault="00000000">
            <w:r>
              <w:rPr>
                <w:b/>
                <w:bCs/>
                <w:color w:val="FFFFFF"/>
                <w:sz w:val="20"/>
                <w:szCs w:val="20"/>
              </w:rPr>
              <w:t>Industry</w:t>
            </w:r>
          </w:p>
        </w:tc>
        <w:tc>
          <w:tcPr>
            <w:tcW w:w="4680" w:type="dxa"/>
            <w:shd w:val="clear" w:color="auto" w:fill="08504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59E6FE" w14:textId="77777777" w:rsidR="00F6759B" w:rsidRDefault="00000000">
            <w:r>
              <w:rPr>
                <w:b/>
                <w:bCs/>
                <w:color w:val="FFFFFF"/>
                <w:sz w:val="20"/>
                <w:szCs w:val="20"/>
              </w:rPr>
              <w:t>How AI readiness helps</w:t>
            </w:r>
          </w:p>
        </w:tc>
      </w:tr>
      <w:tr w:rsidR="00F6759B" w14:paraId="7EA005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158E3F" w14:textId="77777777" w:rsidR="00F6759B" w:rsidRDefault="00000000">
            <w:r>
              <w:rPr>
                <w:b/>
                <w:bCs/>
                <w:color w:val="063D31"/>
                <w:sz w:val="20"/>
                <w:szCs w:val="20"/>
              </w:rPr>
              <w:t>Clinics &amp; health practices</w:t>
            </w:r>
          </w:p>
        </w:tc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FF0CEF" w14:textId="77777777" w:rsidR="00F6759B" w:rsidRDefault="00000000">
            <w:r>
              <w:rPr>
                <w:sz w:val="20"/>
                <w:szCs w:val="20"/>
              </w:rPr>
              <w:t>Smoother intake, scheduling, and day-to-day admin.</w:t>
            </w:r>
          </w:p>
        </w:tc>
      </w:tr>
      <w:tr w:rsidR="00F6759B" w14:paraId="021148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shd w:val="clear" w:color="auto" w:fill="EAF6F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ED3C46" w14:textId="77777777" w:rsidR="00F6759B" w:rsidRDefault="00000000">
            <w:r>
              <w:rPr>
                <w:b/>
                <w:bCs/>
                <w:color w:val="063D31"/>
                <w:sz w:val="20"/>
                <w:szCs w:val="20"/>
              </w:rPr>
              <w:t>Legal practices</w:t>
            </w:r>
          </w:p>
        </w:tc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shd w:val="clear" w:color="auto" w:fill="EAF6F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2E30C2" w14:textId="77777777" w:rsidR="00F6759B" w:rsidRDefault="00000000">
            <w:r>
              <w:rPr>
                <w:sz w:val="20"/>
                <w:szCs w:val="20"/>
              </w:rPr>
              <w:t>Faster drafting, document handling, and matter intake.</w:t>
            </w:r>
          </w:p>
        </w:tc>
      </w:tr>
      <w:tr w:rsidR="00F6759B" w14:paraId="696762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15A35E" w14:textId="77777777" w:rsidR="00F6759B" w:rsidRDefault="00000000">
            <w:r>
              <w:rPr>
                <w:b/>
                <w:bCs/>
                <w:color w:val="063D31"/>
                <w:sz w:val="20"/>
                <w:szCs w:val="20"/>
              </w:rPr>
              <w:t>Paramedic &amp; emergency services</w:t>
            </w:r>
          </w:p>
        </w:tc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293873" w14:textId="77777777" w:rsidR="00F6759B" w:rsidRDefault="00000000">
            <w:r>
              <w:rPr>
                <w:sz w:val="20"/>
                <w:szCs w:val="20"/>
              </w:rPr>
              <w:t>Streamlined reporting, scheduling, and team coordination.</w:t>
            </w:r>
          </w:p>
        </w:tc>
      </w:tr>
      <w:tr w:rsidR="00F6759B" w14:paraId="0558D1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shd w:val="clear" w:color="auto" w:fill="EAF6F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35EB78" w14:textId="77777777" w:rsidR="00F6759B" w:rsidRDefault="00000000">
            <w:r>
              <w:rPr>
                <w:b/>
                <w:bCs/>
                <w:color w:val="063D31"/>
                <w:sz w:val="20"/>
                <w:szCs w:val="20"/>
              </w:rPr>
              <w:t>Early learning &amp; education</w:t>
            </w:r>
          </w:p>
        </w:tc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shd w:val="clear" w:color="auto" w:fill="EAF6F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973854" w14:textId="77777777" w:rsidR="00F6759B" w:rsidRDefault="00000000">
            <w:r>
              <w:rPr>
                <w:sz w:val="20"/>
                <w:szCs w:val="20"/>
              </w:rPr>
              <w:t>Enrolment, family communication, and waitlist workflows.</w:t>
            </w:r>
          </w:p>
        </w:tc>
      </w:tr>
      <w:tr w:rsidR="00F6759B" w14:paraId="3CEA85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B612D57" w14:textId="77777777" w:rsidR="00F6759B" w:rsidRDefault="00000000">
            <w:r>
              <w:rPr>
                <w:b/>
                <w:bCs/>
                <w:color w:val="063D31"/>
                <w:sz w:val="20"/>
                <w:szCs w:val="20"/>
              </w:rPr>
              <w:lastRenderedPageBreak/>
              <w:t>Professional &amp; advisory firms</w:t>
            </w:r>
          </w:p>
        </w:tc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154451" w14:textId="77777777" w:rsidR="00F6759B" w:rsidRDefault="00000000">
            <w:r>
              <w:rPr>
                <w:sz w:val="20"/>
                <w:szCs w:val="20"/>
              </w:rPr>
              <w:t>Client onboarding, research, and routine document work.</w:t>
            </w:r>
          </w:p>
        </w:tc>
      </w:tr>
      <w:tr w:rsidR="00F6759B" w14:paraId="2634DB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shd w:val="clear" w:color="auto" w:fill="EAF6F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109AE8" w14:textId="77777777" w:rsidR="00F6759B" w:rsidRDefault="00000000">
            <w:r>
              <w:rPr>
                <w:b/>
                <w:bCs/>
                <w:color w:val="063D31"/>
                <w:sz w:val="20"/>
                <w:szCs w:val="20"/>
              </w:rPr>
              <w:t>Trades &amp; local services</w:t>
            </w:r>
          </w:p>
        </w:tc>
        <w:tc>
          <w:tcPr>
            <w:tcW w:w="4680" w:type="dxa"/>
            <w:tcBorders>
              <w:top w:val="single" w:sz="4" w:space="0" w:color="D8E5E0"/>
              <w:left w:val="single" w:sz="4" w:space="0" w:color="D8E5E0"/>
              <w:bottom w:val="single" w:sz="4" w:space="0" w:color="D8E5E0"/>
              <w:right w:val="single" w:sz="4" w:space="0" w:color="D8E5E0"/>
            </w:tcBorders>
            <w:shd w:val="clear" w:color="auto" w:fill="EAF6F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135F1D" w14:textId="77777777" w:rsidR="00F6759B" w:rsidRDefault="00000000">
            <w:r>
              <w:rPr>
                <w:sz w:val="20"/>
                <w:szCs w:val="20"/>
              </w:rPr>
              <w:t>Quotes, bookings, dispatch, and follow-up on autopilot.</w:t>
            </w:r>
          </w:p>
        </w:tc>
      </w:tr>
    </w:tbl>
    <w:p w14:paraId="54D613B8" w14:textId="77777777" w:rsidR="00F6759B" w:rsidRDefault="00000000">
      <w:pPr>
        <w:spacing w:before="100" w:after="120"/>
      </w:pPr>
      <w:r>
        <w:t>Add a closing line under the grid: “Don’t see your field? The approach adapts to almost any practice — let’s talk.”</w:t>
      </w:r>
    </w:p>
    <w:p w14:paraId="33BF5F99" w14:textId="77777777" w:rsidR="00F6759B" w:rsidRDefault="00000000">
      <w:pPr>
        <w:pStyle w:val="Heading2"/>
      </w:pPr>
      <w:r>
        <w:t xml:space="preserve">The </w:t>
      </w:r>
      <w:proofErr w:type="spellStart"/>
      <w:r>
        <w:t>CentWiseAI</w:t>
      </w:r>
      <w:proofErr w:type="spellEnd"/>
      <w:r>
        <w:t xml:space="preserve"> edge — why us</w:t>
      </w:r>
    </w:p>
    <w:p w14:paraId="4FC33DAF" w14:textId="77777777" w:rsidR="00F6759B" w:rsidRDefault="00000000">
      <w:pPr>
        <w:spacing w:after="120" w:line="276" w:lineRule="auto"/>
      </w:pPr>
      <w:r>
        <w:t>This is the most important persuasion section. Present four differentiators as a feature row or alternating panels:</w:t>
      </w:r>
    </w:p>
    <w:p w14:paraId="102238E5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063D31"/>
          <w:sz w:val="20"/>
          <w:szCs w:val="20"/>
        </w:rPr>
        <w:t xml:space="preserve">We build AI, not just talk about it. </w:t>
      </w:r>
      <w:proofErr w:type="spellStart"/>
      <w:r>
        <w:rPr>
          <w:sz w:val="20"/>
          <w:szCs w:val="20"/>
        </w:rPr>
        <w:t>CentWiseAI</w:t>
      </w:r>
      <w:proofErr w:type="spellEnd"/>
      <w:r>
        <w:rPr>
          <w:sz w:val="20"/>
          <w:szCs w:val="20"/>
        </w:rPr>
        <w:t xml:space="preserve"> started as a real, shipped AI product. You’re hiring a builder who has done it — not a slide deck.</w:t>
      </w:r>
    </w:p>
    <w:p w14:paraId="0BED6643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063D31"/>
          <w:sz w:val="20"/>
          <w:szCs w:val="20"/>
        </w:rPr>
        <w:t xml:space="preserve">Adoption is our focus. </w:t>
      </w:r>
      <w:r>
        <w:rPr>
          <w:sz w:val="20"/>
          <w:szCs w:val="20"/>
        </w:rPr>
        <w:t xml:space="preserve">Most teams stall after the pilot. We stay until your people </w:t>
      </w:r>
      <w:proofErr w:type="gramStart"/>
      <w:r>
        <w:rPr>
          <w:sz w:val="20"/>
          <w:szCs w:val="20"/>
        </w:rPr>
        <w:t>actually use</w:t>
      </w:r>
      <w:proofErr w:type="gramEnd"/>
      <w:r>
        <w:rPr>
          <w:sz w:val="20"/>
          <w:szCs w:val="20"/>
        </w:rPr>
        <w:t xml:space="preserve"> AI in their daily work.</w:t>
      </w:r>
    </w:p>
    <w:p w14:paraId="2D78CD3E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063D31"/>
          <w:sz w:val="20"/>
          <w:szCs w:val="20"/>
        </w:rPr>
        <w:t xml:space="preserve">Hands-on and local. </w:t>
      </w:r>
      <w:r>
        <w:rPr>
          <w:sz w:val="20"/>
          <w:szCs w:val="20"/>
        </w:rPr>
        <w:t>A real GTA partner who sets things up with you, trains your team in person, and stays reachable — not an overseas ticket queue.</w:t>
      </w:r>
    </w:p>
    <w:p w14:paraId="0E668025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063D31"/>
          <w:sz w:val="20"/>
          <w:szCs w:val="20"/>
        </w:rPr>
        <w:t xml:space="preserve">Built on tools you already trust. </w:t>
      </w:r>
      <w:r>
        <w:rPr>
          <w:sz w:val="20"/>
          <w:szCs w:val="20"/>
        </w:rPr>
        <w:t>We work inside the modern platforms your team knows, so there’s less to learn and faster results.</w:t>
      </w:r>
    </w:p>
    <w:p w14:paraId="0D4EBCE6" w14:textId="77777777" w:rsidR="00F6759B" w:rsidRDefault="00000000">
      <w:pPr>
        <w:pStyle w:val="Heading2"/>
      </w:pPr>
      <w:r>
        <w:t>How we work — process</w:t>
      </w:r>
    </w:p>
    <w:p w14:paraId="20B17289" w14:textId="77777777" w:rsidR="00F6759B" w:rsidRDefault="00000000">
      <w:pPr>
        <w:spacing w:after="120" w:line="276" w:lineRule="auto"/>
      </w:pPr>
      <w:r>
        <w:t>A four-step horizontal timeline, each step with a number, title, and one line:</w:t>
      </w:r>
    </w:p>
    <w:p w14:paraId="5283C756" w14:textId="77777777" w:rsidR="00F6759B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rPr>
          <w:sz w:val="20"/>
          <w:szCs w:val="20"/>
        </w:rPr>
        <w:t>Discover — we learn your practice and find where AI saves the most time.</w:t>
      </w:r>
    </w:p>
    <w:p w14:paraId="248318B8" w14:textId="77777777" w:rsidR="00F6759B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rPr>
          <w:sz w:val="20"/>
          <w:szCs w:val="20"/>
        </w:rPr>
        <w:t>Set up — we configure the tools, assistants, and automations around your real workflow.</w:t>
      </w:r>
    </w:p>
    <w:p w14:paraId="54580297" w14:textId="77777777" w:rsidR="00F6759B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rPr>
          <w:sz w:val="20"/>
          <w:szCs w:val="20"/>
        </w:rPr>
        <w:t>Train — we get your whole team confident and self-sufficient.</w:t>
      </w:r>
    </w:p>
    <w:p w14:paraId="4F683A17" w14:textId="77777777" w:rsidR="00F6759B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rPr>
          <w:sz w:val="20"/>
          <w:szCs w:val="20"/>
        </w:rPr>
        <w:t>Support — we stay on hand as your needs grow.</w:t>
      </w:r>
    </w:p>
    <w:p w14:paraId="6C895906" w14:textId="77777777" w:rsidR="00F6759B" w:rsidRDefault="00000000">
      <w:pPr>
        <w:pStyle w:val="Heading2"/>
      </w:pPr>
      <w:r>
        <w:t>Built by people who ship AI — flagship product</w:t>
      </w:r>
    </w:p>
    <w:p w14:paraId="6C291EC2" w14:textId="77777777" w:rsidR="00F6759B" w:rsidRDefault="00000000">
      <w:pPr>
        <w:spacing w:after="120" w:line="276" w:lineRule="auto"/>
      </w:pPr>
      <w:r>
        <w:t xml:space="preserve">A proof section featuring the original </w:t>
      </w:r>
      <w:proofErr w:type="spellStart"/>
      <w:r>
        <w:t>CentWiseAI</w:t>
      </w:r>
      <w:proofErr w:type="spellEnd"/>
      <w:r>
        <w:t xml:space="preserve"> product as evidence of real building capability. Short narrative + a stylised app-screen </w:t>
      </w:r>
      <w:proofErr w:type="spellStart"/>
      <w:r>
        <w:t>mockup</w:t>
      </w:r>
      <w:proofErr w:type="spellEnd"/>
      <w:r>
        <w:t xml:space="preserve"> or framed device image (on-brand graphic, not a stock photo).</w:t>
      </w:r>
    </w:p>
    <w:p w14:paraId="008DE1C1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Headline: “We’ve been in the build seat.”</w:t>
      </w:r>
    </w:p>
    <w:p w14:paraId="5E1A6488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 xml:space="preserve">Copy: </w:t>
      </w:r>
      <w:proofErr w:type="spellStart"/>
      <w:r>
        <w:rPr>
          <w:sz w:val="20"/>
          <w:szCs w:val="20"/>
        </w:rPr>
        <w:t>CentWiseAI</w:t>
      </w:r>
      <w:proofErr w:type="spellEnd"/>
      <w:r>
        <w:rPr>
          <w:sz w:val="20"/>
          <w:szCs w:val="20"/>
        </w:rPr>
        <w:t xml:space="preserve"> began as an AI-powered savings app we designed, built, and shipped end to end. That same product instinct — making AI genuinely useful for everyday people — is what we now bring to your team.</w:t>
      </w:r>
    </w:p>
    <w:p w14:paraId="358F90D2" w14:textId="77777777" w:rsidR="00F6759B" w:rsidRDefault="00000000">
      <w:pPr>
        <w:pStyle w:val="Heading2"/>
      </w:pPr>
      <w:r>
        <w:t>About the founder</w:t>
      </w:r>
    </w:p>
    <w:p w14:paraId="5BB84F34" w14:textId="617D9EA5" w:rsidR="00CC6B07" w:rsidRDefault="00000000" w:rsidP="00CC6B07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Short, credible bio for Adetunji Adeniran — AI product builder and technology consultant based in North York, Ontario, serving the GTA</w:t>
      </w:r>
      <w:r w:rsidR="00CC6B07">
        <w:rPr>
          <w:sz w:val="20"/>
          <w:szCs w:val="20"/>
        </w:rPr>
        <w:t xml:space="preserve">, see more details on </w:t>
      </w:r>
      <w:hyperlink r:id="rId8" w:history="1">
        <w:r w:rsidR="00CC6B07" w:rsidRPr="00CC6B07">
          <w:rPr>
            <w:rStyle w:val="Hyperlink"/>
            <w:sz w:val="20"/>
            <w:szCs w:val="20"/>
          </w:rPr>
          <w:t>https://www.kingadetunji.dev/</w:t>
        </w:r>
      </w:hyperlink>
    </w:p>
    <w:p w14:paraId="08CD0442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Frame: a builder who pairs real engineering with a focus on helping teams adopt what gets built. Keep it warm and human; leave a placeholder for a headshot.</w:t>
      </w:r>
    </w:p>
    <w:p w14:paraId="3C291D5C" w14:textId="77777777" w:rsidR="00F6759B" w:rsidRDefault="00000000">
      <w:pPr>
        <w:pStyle w:val="Heading2"/>
      </w:pPr>
      <w:r>
        <w:t>Final call-to-action + contact form</w:t>
      </w:r>
    </w:p>
    <w:p w14:paraId="105833E8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lastRenderedPageBreak/>
        <w:t>Bold closing line on a deep-green or navy panel: “Ready to make your team AI-ready? Let’s talk.”</w:t>
      </w:r>
    </w:p>
    <w:p w14:paraId="22CC0AD3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Contact form fields: Name, Organization, Industry (dropdown matching the industries grid plus “Other”), and Message. Submit routes to office@centwiseai.ca.</w:t>
      </w:r>
    </w:p>
    <w:p w14:paraId="08C7F555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 xml:space="preserve">Beneath the form, show the email address as a direct </w:t>
      </w:r>
      <w:proofErr w:type="spellStart"/>
      <w:r>
        <w:rPr>
          <w:sz w:val="20"/>
          <w:szCs w:val="20"/>
        </w:rPr>
        <w:t>mailto</w:t>
      </w:r>
      <w:proofErr w:type="spellEnd"/>
      <w:r>
        <w:rPr>
          <w:sz w:val="20"/>
          <w:szCs w:val="20"/>
        </w:rPr>
        <w:t xml:space="preserve"> link: office@centwiseai.ca, and a note: “Prefer email? Reach us directly.”</w:t>
      </w:r>
    </w:p>
    <w:p w14:paraId="7A1B6596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Success state: a friendly confirmation (“Thanks — we’ll be in touch shortly.”). No pricing is ever shown; the call is the next step.</w:t>
      </w:r>
    </w:p>
    <w:p w14:paraId="0815360A" w14:textId="77777777" w:rsidR="00F6759B" w:rsidRDefault="00000000">
      <w:pPr>
        <w:pStyle w:val="Heading2"/>
      </w:pPr>
      <w:r>
        <w:t>Footer</w:t>
      </w:r>
    </w:p>
    <w:p w14:paraId="30C6CB91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 xml:space="preserve">Navy footer with the logo, wordmark, tagline (“Work smarter. Every day.”), quick links to each section, office@centwiseai.ca, “Greater Toronto Area, Ontario,” and a copyright line for </w:t>
      </w:r>
      <w:proofErr w:type="spellStart"/>
      <w:r>
        <w:rPr>
          <w:sz w:val="20"/>
          <w:szCs w:val="20"/>
        </w:rPr>
        <w:t>CentWiseAI</w:t>
      </w:r>
      <w:proofErr w:type="spellEnd"/>
      <w:r>
        <w:rPr>
          <w:sz w:val="20"/>
          <w:szCs w:val="20"/>
        </w:rPr>
        <w:t>.</w:t>
      </w:r>
    </w:p>
    <w:p w14:paraId="557C3A6A" w14:textId="77777777" w:rsidR="00F6759B" w:rsidRDefault="00000000">
      <w:pPr>
        <w:pStyle w:val="Heading1"/>
        <w:pBdr>
          <w:bottom w:val="single" w:sz="14" w:space="4" w:color="085041"/>
        </w:pBdr>
      </w:pPr>
      <w:r>
        <w:t>6. Copy bank (ready to drop in)</w:t>
      </w:r>
    </w:p>
    <w:p w14:paraId="19D9CBF4" w14:textId="77777777" w:rsidR="00F6759B" w:rsidRDefault="00000000">
      <w:pPr>
        <w:spacing w:after="120" w:line="276" w:lineRule="auto"/>
      </w:pPr>
      <w:r>
        <w:t>Approved headlines and lines the build can pull from:</w:t>
      </w:r>
    </w:p>
    <w:p w14:paraId="53720224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“AI readiness for every practice.”</w:t>
      </w:r>
    </w:p>
    <w:p w14:paraId="57C90940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“Work smarter. Every day.”</w:t>
      </w:r>
    </w:p>
    <w:p w14:paraId="5674C4D9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“We turn ‘we should use AI’ into your team using it every day.”</w:t>
      </w:r>
    </w:p>
    <w:p w14:paraId="58B0A88D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“Tools are easy. Adoption is the hard part — that’s where we live.”</w:t>
      </w:r>
    </w:p>
    <w:p w14:paraId="0C3EFC66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“A real local partner, not a ticket queue.”</w:t>
      </w:r>
    </w:p>
    <w:p w14:paraId="676579FE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“Built by people who ship AI.”</w:t>
      </w:r>
    </w:p>
    <w:p w14:paraId="3B05F42B" w14:textId="77777777" w:rsidR="00F6759B" w:rsidRDefault="00000000">
      <w:pPr>
        <w:pStyle w:val="Heading1"/>
        <w:pBdr>
          <w:bottom w:val="single" w:sz="14" w:space="4" w:color="085041"/>
        </w:pBdr>
      </w:pPr>
      <w:r>
        <w:t>7. Acceptance checklist</w:t>
      </w:r>
    </w:p>
    <w:p w14:paraId="6E74E8DD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Lead message is AI adoption; website work is clearly secondary.</w:t>
      </w:r>
    </w:p>
    <w:p w14:paraId="16165EEC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Cross-industry breadth is obvious — no single field dominates.</w:t>
      </w:r>
    </w:p>
    <w:p w14:paraId="73444824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Brand palette and logo applied consistently via tokens.</w:t>
      </w:r>
    </w:p>
    <w:p w14:paraId="1D908710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Fully responsive; clean keyboard navigation and focus states.</w:t>
      </w:r>
    </w:p>
    <w:p w14:paraId="4C9A3F90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 xml:space="preserve">Contact form validates and routes to </w:t>
      </w:r>
      <w:proofErr w:type="gramStart"/>
      <w:r>
        <w:rPr>
          <w:sz w:val="20"/>
          <w:szCs w:val="20"/>
        </w:rPr>
        <w:t>office@centwiseai.ca;</w:t>
      </w:r>
      <w:proofErr w:type="gramEnd"/>
      <w:r>
        <w:rPr>
          <w:sz w:val="20"/>
          <w:szCs w:val="20"/>
        </w:rPr>
        <w:t xml:space="preserve"> success state works.</w:t>
      </w:r>
    </w:p>
    <w:p w14:paraId="54854D7B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>No pricing anywhere. No claims about rules, certification, or guarantees.</w:t>
      </w:r>
    </w:p>
    <w:p w14:paraId="18FA3D2E" w14:textId="77777777" w:rsidR="00F6759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0"/>
          <w:szCs w:val="20"/>
        </w:rPr>
        <w:t xml:space="preserve">README included with run and </w:t>
      </w:r>
      <w:proofErr w:type="gramStart"/>
      <w:r>
        <w:rPr>
          <w:sz w:val="20"/>
          <w:szCs w:val="20"/>
        </w:rPr>
        <w:t>deploy</w:t>
      </w:r>
      <w:proofErr w:type="gramEnd"/>
      <w:r>
        <w:rPr>
          <w:sz w:val="20"/>
          <w:szCs w:val="20"/>
        </w:rPr>
        <w:t xml:space="preserve"> steps; ready for </w:t>
      </w:r>
      <w:proofErr w:type="spellStart"/>
      <w:r>
        <w:rPr>
          <w:sz w:val="20"/>
          <w:szCs w:val="20"/>
        </w:rPr>
        <w:t>Vercel</w:t>
      </w:r>
      <w:proofErr w:type="spellEnd"/>
      <w:r>
        <w:rPr>
          <w:sz w:val="20"/>
          <w:szCs w:val="20"/>
        </w:rPr>
        <w:t>.</w:t>
      </w:r>
    </w:p>
    <w:p w14:paraId="5309CADA" w14:textId="77777777" w:rsidR="00F6759B" w:rsidRDefault="00000000">
      <w:pPr>
        <w:shd w:val="clear" w:color="auto" w:fill="063D31"/>
        <w:spacing w:before="220" w:after="60"/>
      </w:pPr>
      <w:r>
        <w:rPr>
          <w:b/>
          <w:bCs/>
          <w:color w:val="FFFFFF"/>
          <w:spacing w:val="12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pacing w:val="12"/>
          <w:sz w:val="22"/>
          <w:szCs w:val="22"/>
        </w:rPr>
        <w:t>■  PROMPT</w:t>
      </w:r>
      <w:proofErr w:type="gramEnd"/>
      <w:r>
        <w:rPr>
          <w:b/>
          <w:bCs/>
          <w:color w:val="FFFFFF"/>
          <w:spacing w:val="12"/>
          <w:sz w:val="22"/>
          <w:szCs w:val="22"/>
        </w:rPr>
        <w:t xml:space="preserve"> ENDS</w:t>
      </w:r>
    </w:p>
    <w:sectPr w:rsidR="00F6759B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9338C" w14:textId="77777777" w:rsidR="00E94F36" w:rsidRDefault="00E94F36">
      <w:r>
        <w:separator/>
      </w:r>
    </w:p>
  </w:endnote>
  <w:endnote w:type="continuationSeparator" w:id="0">
    <w:p w14:paraId="21632AF7" w14:textId="77777777" w:rsidR="00E94F36" w:rsidRDefault="00E94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54BFB" w14:textId="77777777" w:rsidR="00F6759B" w:rsidRDefault="00000000">
    <w:pPr>
      <w:tabs>
        <w:tab w:val="right" w:pos="9360"/>
      </w:tabs>
    </w:pPr>
    <w:r>
      <w:rPr>
        <w:color w:val="5E6B66"/>
        <w:sz w:val="16"/>
        <w:szCs w:val="16"/>
      </w:rPr>
      <w:t>office@centwiseai.ca</w:t>
    </w:r>
    <w:r>
      <w:tab/>
    </w:r>
    <w:r>
      <w:rPr>
        <w:color w:val="5E6B66"/>
        <w:sz w:val="16"/>
        <w:szCs w:val="16"/>
      </w:rPr>
      <w:t xml:space="preserve">Page </w:t>
    </w:r>
    <w:r>
      <w:rPr>
        <w:color w:val="5E6B66"/>
        <w:sz w:val="16"/>
        <w:szCs w:val="16"/>
      </w:rPr>
      <w:fldChar w:fldCharType="begin"/>
    </w:r>
    <w:r>
      <w:rPr>
        <w:color w:val="5E6B66"/>
        <w:sz w:val="16"/>
        <w:szCs w:val="16"/>
      </w:rPr>
      <w:instrText>PAGE</w:instrText>
    </w:r>
    <w:r>
      <w:rPr>
        <w:color w:val="5E6B66"/>
        <w:sz w:val="16"/>
        <w:szCs w:val="16"/>
      </w:rPr>
      <w:fldChar w:fldCharType="separate"/>
    </w:r>
    <w:r w:rsidR="00CC6B07">
      <w:rPr>
        <w:noProof/>
        <w:color w:val="5E6B66"/>
        <w:sz w:val="16"/>
        <w:szCs w:val="16"/>
      </w:rPr>
      <w:t>1</w:t>
    </w:r>
    <w:r>
      <w:rPr>
        <w:color w:val="5E6B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0B3D2" w14:textId="77777777" w:rsidR="00E94F36" w:rsidRDefault="00E94F36">
      <w:r>
        <w:separator/>
      </w:r>
    </w:p>
  </w:footnote>
  <w:footnote w:type="continuationSeparator" w:id="0">
    <w:p w14:paraId="4AD70E5F" w14:textId="77777777" w:rsidR="00E94F36" w:rsidRDefault="00E94F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D8649" w14:textId="77777777" w:rsidR="00F6759B" w:rsidRDefault="00000000">
    <w:pPr>
      <w:pBdr>
        <w:bottom w:val="single" w:sz="6" w:space="4" w:color="5DCAA5"/>
      </w:pBdr>
      <w:jc w:val="right"/>
    </w:pPr>
    <w:proofErr w:type="spellStart"/>
    <w:r>
      <w:rPr>
        <w:color w:val="5E6B66"/>
        <w:sz w:val="16"/>
        <w:szCs w:val="16"/>
      </w:rPr>
      <w:t>CentWiseAI</w:t>
    </w:r>
    <w:proofErr w:type="spellEnd"/>
    <w:r>
      <w:rPr>
        <w:color w:val="5E6B66"/>
        <w:sz w:val="16"/>
        <w:szCs w:val="16"/>
      </w:rPr>
      <w:t xml:space="preserve"> — Marketing Website Build Prompt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6182E"/>
    <w:multiLevelType w:val="hybridMultilevel"/>
    <w:tmpl w:val="8842EC9A"/>
    <w:lvl w:ilvl="0" w:tplc="7676EA4E">
      <w:start w:val="1"/>
      <w:numFmt w:val="bullet"/>
      <w:lvlText w:val="●"/>
      <w:lvlJc w:val="left"/>
      <w:pPr>
        <w:ind w:left="720" w:hanging="360"/>
      </w:pPr>
    </w:lvl>
    <w:lvl w:ilvl="1" w:tplc="78C811E2">
      <w:start w:val="1"/>
      <w:numFmt w:val="bullet"/>
      <w:lvlText w:val="○"/>
      <w:lvlJc w:val="left"/>
      <w:pPr>
        <w:ind w:left="1440" w:hanging="360"/>
      </w:pPr>
    </w:lvl>
    <w:lvl w:ilvl="2" w:tplc="9264A52E">
      <w:start w:val="1"/>
      <w:numFmt w:val="bullet"/>
      <w:lvlText w:val="■"/>
      <w:lvlJc w:val="left"/>
      <w:pPr>
        <w:ind w:left="2160" w:hanging="360"/>
      </w:pPr>
    </w:lvl>
    <w:lvl w:ilvl="3" w:tplc="5F48D6DE">
      <w:start w:val="1"/>
      <w:numFmt w:val="bullet"/>
      <w:lvlText w:val="●"/>
      <w:lvlJc w:val="left"/>
      <w:pPr>
        <w:ind w:left="2880" w:hanging="360"/>
      </w:pPr>
    </w:lvl>
    <w:lvl w:ilvl="4" w:tplc="9E3E31A4">
      <w:start w:val="1"/>
      <w:numFmt w:val="bullet"/>
      <w:lvlText w:val="○"/>
      <w:lvlJc w:val="left"/>
      <w:pPr>
        <w:ind w:left="3600" w:hanging="360"/>
      </w:pPr>
    </w:lvl>
    <w:lvl w:ilvl="5" w:tplc="B4FEF13E">
      <w:start w:val="1"/>
      <w:numFmt w:val="bullet"/>
      <w:lvlText w:val="■"/>
      <w:lvlJc w:val="left"/>
      <w:pPr>
        <w:ind w:left="4320" w:hanging="360"/>
      </w:pPr>
    </w:lvl>
    <w:lvl w:ilvl="6" w:tplc="9650ED56">
      <w:start w:val="1"/>
      <w:numFmt w:val="bullet"/>
      <w:lvlText w:val="●"/>
      <w:lvlJc w:val="left"/>
      <w:pPr>
        <w:ind w:left="5040" w:hanging="360"/>
      </w:pPr>
    </w:lvl>
    <w:lvl w:ilvl="7" w:tplc="AEA2E8B8">
      <w:start w:val="1"/>
      <w:numFmt w:val="bullet"/>
      <w:lvlText w:val="●"/>
      <w:lvlJc w:val="left"/>
      <w:pPr>
        <w:ind w:left="5760" w:hanging="360"/>
      </w:pPr>
    </w:lvl>
    <w:lvl w:ilvl="8" w:tplc="90F8E4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1C5DA1"/>
    <w:multiLevelType w:val="hybridMultilevel"/>
    <w:tmpl w:val="459009CE"/>
    <w:lvl w:ilvl="0" w:tplc="5CE40D14">
      <w:start w:val="1"/>
      <w:numFmt w:val="bullet"/>
      <w:lvlText w:val="•"/>
      <w:lvlJc w:val="left"/>
      <w:pPr>
        <w:ind w:left="540" w:hanging="260"/>
      </w:pPr>
      <w:rPr>
        <w:color w:val="085041"/>
      </w:rPr>
    </w:lvl>
    <w:lvl w:ilvl="1" w:tplc="1DD255E8">
      <w:numFmt w:val="decimal"/>
      <w:lvlText w:val=""/>
      <w:lvlJc w:val="left"/>
    </w:lvl>
    <w:lvl w:ilvl="2" w:tplc="1D0A4A1A">
      <w:numFmt w:val="decimal"/>
      <w:lvlText w:val=""/>
      <w:lvlJc w:val="left"/>
    </w:lvl>
    <w:lvl w:ilvl="3" w:tplc="2168144A">
      <w:numFmt w:val="decimal"/>
      <w:lvlText w:val=""/>
      <w:lvlJc w:val="left"/>
    </w:lvl>
    <w:lvl w:ilvl="4" w:tplc="C87257E4">
      <w:numFmt w:val="decimal"/>
      <w:lvlText w:val=""/>
      <w:lvlJc w:val="left"/>
    </w:lvl>
    <w:lvl w:ilvl="5" w:tplc="19C85EE0">
      <w:numFmt w:val="decimal"/>
      <w:lvlText w:val=""/>
      <w:lvlJc w:val="left"/>
    </w:lvl>
    <w:lvl w:ilvl="6" w:tplc="1B7CB8B0">
      <w:numFmt w:val="decimal"/>
      <w:lvlText w:val=""/>
      <w:lvlJc w:val="left"/>
    </w:lvl>
    <w:lvl w:ilvl="7" w:tplc="B42EFB06">
      <w:numFmt w:val="decimal"/>
      <w:lvlText w:val=""/>
      <w:lvlJc w:val="left"/>
    </w:lvl>
    <w:lvl w:ilvl="8" w:tplc="E176E5DA">
      <w:numFmt w:val="decimal"/>
      <w:lvlText w:val=""/>
      <w:lvlJc w:val="left"/>
    </w:lvl>
  </w:abstractNum>
  <w:abstractNum w:abstractNumId="2" w15:restartNumberingAfterBreak="0">
    <w:nsid w:val="7D020720"/>
    <w:multiLevelType w:val="hybridMultilevel"/>
    <w:tmpl w:val="1C925A64"/>
    <w:lvl w:ilvl="0" w:tplc="3CA87752">
      <w:start w:val="1"/>
      <w:numFmt w:val="decimal"/>
      <w:lvlText w:val="%1."/>
      <w:lvlJc w:val="left"/>
      <w:pPr>
        <w:ind w:left="540" w:hanging="300"/>
      </w:pPr>
      <w:rPr>
        <w:b/>
        <w:bCs/>
        <w:color w:val="085041"/>
      </w:rPr>
    </w:lvl>
    <w:lvl w:ilvl="1" w:tplc="2072258E">
      <w:numFmt w:val="decimal"/>
      <w:lvlText w:val=""/>
      <w:lvlJc w:val="left"/>
    </w:lvl>
    <w:lvl w:ilvl="2" w:tplc="2F706718">
      <w:numFmt w:val="decimal"/>
      <w:lvlText w:val=""/>
      <w:lvlJc w:val="left"/>
    </w:lvl>
    <w:lvl w:ilvl="3" w:tplc="91A2597C">
      <w:numFmt w:val="decimal"/>
      <w:lvlText w:val=""/>
      <w:lvlJc w:val="left"/>
    </w:lvl>
    <w:lvl w:ilvl="4" w:tplc="4EA8DE6C">
      <w:numFmt w:val="decimal"/>
      <w:lvlText w:val=""/>
      <w:lvlJc w:val="left"/>
    </w:lvl>
    <w:lvl w:ilvl="5" w:tplc="52363B9C">
      <w:numFmt w:val="decimal"/>
      <w:lvlText w:val=""/>
      <w:lvlJc w:val="left"/>
    </w:lvl>
    <w:lvl w:ilvl="6" w:tplc="1ECC00DE">
      <w:numFmt w:val="decimal"/>
      <w:lvlText w:val=""/>
      <w:lvlJc w:val="left"/>
    </w:lvl>
    <w:lvl w:ilvl="7" w:tplc="8F1CB186">
      <w:numFmt w:val="decimal"/>
      <w:lvlText w:val=""/>
      <w:lvlJc w:val="left"/>
    </w:lvl>
    <w:lvl w:ilvl="8" w:tplc="FFA2730A">
      <w:numFmt w:val="decimal"/>
      <w:lvlText w:val=""/>
      <w:lvlJc w:val="left"/>
    </w:lvl>
  </w:abstractNum>
  <w:num w:numId="1" w16cid:durableId="1946886672">
    <w:abstractNumId w:val="0"/>
    <w:lvlOverride w:ilvl="0">
      <w:startOverride w:val="1"/>
    </w:lvlOverride>
  </w:num>
  <w:num w:numId="2" w16cid:durableId="1592471789">
    <w:abstractNumId w:val="1"/>
    <w:lvlOverride w:ilvl="0">
      <w:startOverride w:val="1"/>
    </w:lvlOverride>
  </w:num>
  <w:num w:numId="3" w16cid:durableId="13800853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59B"/>
    <w:rsid w:val="0019345C"/>
    <w:rsid w:val="00CC6B07"/>
    <w:rsid w:val="00E94F36"/>
    <w:rsid w:val="00EE231A"/>
    <w:rsid w:val="00F6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14E78"/>
  <w15:docId w15:val="{85C38786-7410-EF42-BC4B-26810FDA7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B27"/>
        <w:sz w:val="21"/>
        <w:szCs w:val="21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40"/>
      <w:outlineLvl w:val="0"/>
    </w:pPr>
    <w:rPr>
      <w:b/>
      <w:bCs/>
      <w:color w:val="085041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63D3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C6B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ingadetunji.dev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1747</Words>
  <Characters>9963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 Adeniran</cp:lastModifiedBy>
  <cp:revision>2</cp:revision>
  <dcterms:created xsi:type="dcterms:W3CDTF">2026-06-20T05:05:00Z</dcterms:created>
  <dcterms:modified xsi:type="dcterms:W3CDTF">2026-06-26T00:06:00Z</dcterms:modified>
</cp:coreProperties>
</file>