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R is one of the most popular software packages for any kind of statistical analysis and data science. However, with friends of the (in parts) competing Python </w:t>
      </w:r>
      <w:proofErr w:type="gram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ecosystem</w:t>
      </w:r>
      <w:proofErr w:type="gram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R users share the challenge of finding suitable packages for the task at hand from the overwhelming package repository.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This article provides a (non-comprehensive) list of my favourite R packages throughout the Data Science Process.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  <w:t>The Data Science Process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The workflow from data acquisition to deployment of an analytical model begins at a business-level understanding of a problem. The five steps that follow the business understanding stage are often linked with each other or to business understanding.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These links highlight the need for constant checks of the business scope and improvement of the data foundation. Because of this, many of the R packages listed below are useful in more than one step of the way.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noProof/>
          <w:color w:val="2B0A3D"/>
          <w:spacing w:val="3"/>
          <w:sz w:val="24"/>
          <w:szCs w:val="24"/>
        </w:rPr>
        <w:drawing>
          <wp:inline distT="0" distB="0" distL="0" distR="0">
            <wp:extent cx="9582785" cy="1329055"/>
            <wp:effectExtent l="0" t="0" r="0" b="4445"/>
            <wp:docPr id="7" name="Picture 7" descr="https://www.capgemini.com/wp-content/uploads/sites/3/2017/07/fig1_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pgemini.com/wp-content/uploads/sites/3/2017/07/fig1_0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78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In this post, I will not take the business understanding step into account, since it is a task of human-to-human interaction rather than R packages (possibly IBM Watson and alike have an edge there). I also neglect the deployment step, since the roll-out of a data science solution will most likely not be done in R.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  <w:t>Data Understanding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In </w:t>
      </w:r>
      <w:proofErr w:type="gram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particular</w:t>
      </w:r>
      <w:proofErr w:type="gram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the first two steps following business understanding, data understanding and data preparation, are key to successful data science. A tidy dataset and cleverly chosen features for further analysis are prime requirements for the following modelling step.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Here, by data understanding I mean exploratory data analysis, e.g.</w:t>
      </w:r>
    </w:p>
    <w:p w:rsidR="005A795F" w:rsidRPr="005A795F" w:rsidRDefault="005A795F" w:rsidP="005A79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Histograms and distribution analysis</w:t>
      </w:r>
    </w:p>
    <w:p w:rsidR="005A795F" w:rsidRPr="005A795F" w:rsidRDefault="005A795F" w:rsidP="005A79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Density plots</w:t>
      </w:r>
    </w:p>
    <w:p w:rsidR="005A795F" w:rsidRPr="005A795F" w:rsidRDefault="005A795F" w:rsidP="005A79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Correlation analysis</w:t>
      </w:r>
    </w:p>
    <w:p w:rsidR="005A795F" w:rsidRPr="005A795F" w:rsidRDefault="005A795F" w:rsidP="005A795F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Principal component analysis.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lastRenderedPageBreak/>
        <w:t>The packages I name below are particularly useful to automate and optimize this process step.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noProof/>
          <w:color w:val="2B0A3D"/>
          <w:spacing w:val="3"/>
          <w:sz w:val="24"/>
          <w:szCs w:val="24"/>
        </w:rPr>
        <w:drawing>
          <wp:inline distT="0" distB="0" distL="0" distR="0">
            <wp:extent cx="5888990" cy="2889250"/>
            <wp:effectExtent l="0" t="0" r="0" b="6350"/>
            <wp:docPr id="6" name="Picture 6" descr="https://www.capgemini.com/wp-content/uploads/sites/3/2017/07/fig1_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apgemini.com/wp-content/uploads/sites/3/2017/07/fig1_1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br/>
        <w:t> 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noProof/>
          <w:color w:val="2B0A3D"/>
          <w:spacing w:val="3"/>
          <w:sz w:val="24"/>
          <w:szCs w:val="24"/>
        </w:rPr>
        <w:lastRenderedPageBreak/>
        <w:drawing>
          <wp:inline distT="0" distB="0" distL="0" distR="0">
            <wp:extent cx="6400800" cy="4925695"/>
            <wp:effectExtent l="0" t="0" r="0" b="8255"/>
            <wp:docPr id="5" name="Picture 5" descr="https://www.capgemini.com/wp-content/uploads/sites/3/2017/07/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apgemini.com/wp-content/uploads/sites/3/2017/07/fi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5F" w:rsidRPr="005A795F" w:rsidRDefault="005A795F" w:rsidP="005A795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 xml:space="preserve">Fig. 1: Correlation plot of the variables in the </w:t>
      </w:r>
      <w:proofErr w:type="spellStart"/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>mtcars</w:t>
      </w:r>
      <w:proofErr w:type="spellEnd"/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 xml:space="preserve"> data set generated using the </w:t>
      </w:r>
      <w:proofErr w:type="spellStart"/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>corrplot</w:t>
      </w:r>
      <w:proofErr w:type="spellEnd"/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 xml:space="preserve"> library.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  <w:t>Data Preparation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Generally, R is very well suited to handle data preparation tasks. In addition to some of the packages listed in the previous section (in particular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dplyr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) there are three further packages that fall in between the section of data understanding and preparation.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There are a number of parallel processing packages. I personally prefer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doParallel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, since it does not require the user to manually install MPI or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OpenMP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(both of which is relatively simple on a Linux system).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noProof/>
          <w:color w:val="2B0A3D"/>
          <w:spacing w:val="3"/>
          <w:sz w:val="24"/>
          <w:szCs w:val="24"/>
        </w:rPr>
        <w:lastRenderedPageBreak/>
        <w:drawing>
          <wp:inline distT="0" distB="0" distL="0" distR="0">
            <wp:extent cx="5925185" cy="1999615"/>
            <wp:effectExtent l="0" t="0" r="0" b="635"/>
            <wp:docPr id="4" name="Picture 4" descr="https://www.capgemini.com/wp-content/uploads/sites/3/2017/07/fig2_0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apgemini.com/wp-content/uploads/sites/3/2017/07/fig2_0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5F" w:rsidRPr="005A795F" w:rsidRDefault="005A795F" w:rsidP="005A79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  <w:t> </w:t>
      </w:r>
    </w:p>
    <w:p w:rsidR="005A795F" w:rsidRPr="005A795F" w:rsidRDefault="005A795F" w:rsidP="005A79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  <w:t>Analytical Modelling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Modelling in R is particularly easy to implement, since all libraries share a reasonably common syntax for predicting from models (even though in some cases the </w:t>
      </w:r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>predict</w:t>
      </w: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function requires varying data structures). The model training process on the other hand is more complex, since every model package has its own method.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The caret package overcomes this issue. It provides a frontend to many modelling packages and supplies the user with a common </w:t>
      </w:r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>train</w:t>
      </w: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function. Secondly, caret adds an outstanding method for model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hyperparameter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grid searches and data pre-processing.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noProof/>
          <w:color w:val="2B0A3D"/>
          <w:spacing w:val="3"/>
          <w:sz w:val="24"/>
          <w:szCs w:val="24"/>
        </w:rPr>
        <w:lastRenderedPageBreak/>
        <w:drawing>
          <wp:inline distT="0" distB="0" distL="0" distR="0">
            <wp:extent cx="5864225" cy="3828415"/>
            <wp:effectExtent l="0" t="0" r="3175" b="635"/>
            <wp:docPr id="3" name="Picture 3" descr="https://www.capgemini.com/wp-content/uploads/sites/3/2017/07/fig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apgemini.com/wp-content/uploads/sites/3/2017/07/fig3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5F" w:rsidRPr="005A795F" w:rsidRDefault="005A795F" w:rsidP="005A79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  <w:t> </w:t>
      </w:r>
    </w:p>
    <w:p w:rsidR="005A795F" w:rsidRPr="005A795F" w:rsidRDefault="005A795F" w:rsidP="005A795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7"/>
          <w:szCs w:val="27"/>
          <w:lang w:val="en-GB"/>
        </w:rPr>
        <w:t>Evaluation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One of the key strengths of R is its capability to present data and the workflow leading to a result in a concise manner. Of these packages shiny,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rmarkdown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and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knitr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stand out. They make it incredibly easy to reproduce results and understand work in a shared environment.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Shiny is a browser-based GUI for an R script and is a development framework for sophisticated apps around R code.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Rmarkdown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extends the ecosystem in the other direction: Combined with </w:t>
      </w:r>
      <w:proofErr w:type="spellStart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knitr</w:t>
      </w:r>
      <w:proofErr w:type="spellEnd"/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 xml:space="preserve"> it prints code, plots and regular (formatted!) text in a single document that can be compiled to html, pdf or Word documents.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noProof/>
          <w:color w:val="2B0A3D"/>
          <w:spacing w:val="3"/>
          <w:sz w:val="24"/>
          <w:szCs w:val="24"/>
        </w:rPr>
        <w:lastRenderedPageBreak/>
        <w:drawing>
          <wp:inline distT="0" distB="0" distL="0" distR="0">
            <wp:extent cx="5815330" cy="4827905"/>
            <wp:effectExtent l="0" t="0" r="0" b="0"/>
            <wp:docPr id="2" name="Picture 2" descr="https://www.capgemini.com/wp-content/uploads/sites/3/2017/07/fig4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apgemini.com/wp-content/uploads/sites/3/2017/07/fig4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br/>
        <w:t> 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noProof/>
          <w:color w:val="2B0A3D"/>
          <w:spacing w:val="3"/>
          <w:sz w:val="24"/>
          <w:szCs w:val="24"/>
        </w:rPr>
        <w:lastRenderedPageBreak/>
        <w:drawing>
          <wp:inline distT="0" distB="0" distL="0" distR="0">
            <wp:extent cx="5815330" cy="5840095"/>
            <wp:effectExtent l="0" t="0" r="0" b="8255"/>
            <wp:docPr id="1" name="Picture 1" descr="https://www.capgemini.com/wp-content/uploads/sites/3/2017/07/fi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apgemini.com/wp-content/uploads/sites/3/2017/07/fig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584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95F" w:rsidRPr="005A795F" w:rsidRDefault="005A795F" w:rsidP="005A795F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i/>
          <w:iCs/>
          <w:color w:val="2B0A3D"/>
          <w:spacing w:val="3"/>
          <w:sz w:val="24"/>
          <w:szCs w:val="24"/>
          <w:lang w:val="en-GB"/>
        </w:rPr>
        <w:t>Fig. 2: Exemplary Shiny user interface for parametrized reporting.</w:t>
      </w:r>
    </w:p>
    <w:p w:rsidR="005A795F" w:rsidRPr="005A795F" w:rsidRDefault="005A795F" w:rsidP="005A79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</w:pPr>
      <w:r w:rsidRPr="005A795F">
        <w:rPr>
          <w:rFonts w:ascii="Arial" w:eastAsia="Times New Roman" w:hAnsi="Arial" w:cs="Arial"/>
          <w:color w:val="2B0A3D"/>
          <w:spacing w:val="3"/>
          <w:sz w:val="24"/>
          <w:szCs w:val="24"/>
          <w:lang w:val="en-GB"/>
        </w:rPr>
        <w:t>Since this list of packages is not intended to be comprehensive, I am curious about your opinions and favourite packages in the comment section!</w:t>
      </w:r>
    </w:p>
    <w:p w:rsidR="005139CD" w:rsidRDefault="005139CD">
      <w:bookmarkStart w:id="0" w:name="_GoBack"/>
      <w:bookmarkEnd w:id="0"/>
    </w:p>
    <w:sectPr w:rsidR="0051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20008"/>
    <w:multiLevelType w:val="multilevel"/>
    <w:tmpl w:val="D218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5F"/>
    <w:rsid w:val="005139CD"/>
    <w:rsid w:val="005A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8132A-A9E2-4CDC-8204-54446EA7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795F"/>
    <w:rPr>
      <w:rFonts w:ascii="Times New Roman" w:eastAsia="Times New Roman" w:hAnsi="Times New Roman" w:cs="Times New Roman"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A79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A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97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Anshuman_Mahapatra</dc:creator>
  <cp:keywords/>
  <dc:description/>
  <cp:lastModifiedBy>Anshuman_Mahapatra</cp:lastModifiedBy>
  <cp:revision>1</cp:revision>
  <dcterms:created xsi:type="dcterms:W3CDTF">2017-12-20T10:45:00Z</dcterms:created>
  <dcterms:modified xsi:type="dcterms:W3CDTF">2017-12-20T10:46:00Z</dcterms:modified>
</cp:coreProperties>
</file>