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2E75B6"/>
          <w:sz w:val="24"/>
        </w:rPr>
        <w:t>CSC 508: STRUCTURED &amp; OBJECT-ORIENTED PROGRAMMING II</w:t>
      </w:r>
    </w:p>
    <w:p>
      <w:pPr>
        <w:spacing w:before="0" w:after="240"/>
      </w:pPr>
      <w:r>
        <w:rPr>
          <w:rFonts w:ascii="Arial" w:hAnsi="Arial"/>
          <w:b/>
          <w:color w:val="1B365D"/>
          <w:sz w:val="40"/>
        </w:rPr>
        <w:t>Comprehensive Logical Analysis &amp; Strategic Execution Framework for AI-Assisted Full-Stack Java Application Coursework</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4680"/>
        <w:gridCol w:w="4680"/>
      </w:tblGrid>
      <w:tr>
        <w:tc>
          <w:tcPr>
            <w:tcW w:type="dxa" w:w="4680"/>
            <w:shd w:fill="F2F4F8"/>
            <w:tcMar>
              <w:top w:w="60" w:type="dxa"/>
              <w:bottom w:w="60" w:type="dxa"/>
              <w:left w:w="100" w:type="dxa"/>
              <w:right w:w="100" w:type="dxa"/>
            </w:tcMar>
          </w:tcPr>
          <w:p>
            <w:pPr>
              <w:spacing w:after="0"/>
            </w:pPr>
            <w:r>
              <w:rPr>
                <w:rFonts w:ascii="Arial" w:hAnsi="Arial"/>
                <w:b/>
                <w:color w:val="1B365D"/>
                <w:sz w:val="19"/>
              </w:rPr>
              <w:t>Course Unit:</w:t>
            </w:r>
          </w:p>
        </w:tc>
        <w:tc>
          <w:tcPr>
            <w:tcW w:type="dxa" w:w="4680"/>
            <w:shd w:fill="FFFFFF"/>
            <w:tcMar>
              <w:top w:w="60" w:type="dxa"/>
              <w:bottom w:w="60" w:type="dxa"/>
              <w:left w:w="100" w:type="dxa"/>
              <w:right w:w="100" w:type="dxa"/>
            </w:tcMar>
          </w:tcPr>
          <w:p>
            <w:pPr>
              <w:spacing w:after="0"/>
            </w:pPr>
            <w:r>
              <w:rPr>
                <w:rFonts w:ascii="Calibri" w:hAnsi="Calibri"/>
                <w:color w:val="262626"/>
                <w:sz w:val="19"/>
              </w:rPr>
              <w:t>CSC 508 — Structured and Object-Oriented Programming Languages II (3 Units)</w:t>
            </w:r>
          </w:p>
        </w:tc>
      </w:tr>
      <w:tr>
        <w:tc>
          <w:tcPr>
            <w:tcW w:type="dxa" w:w="4680"/>
            <w:shd w:fill="F2F4F8"/>
            <w:tcMar>
              <w:top w:w="60" w:type="dxa"/>
              <w:bottom w:w="60" w:type="dxa"/>
              <w:left w:w="100" w:type="dxa"/>
              <w:right w:w="100" w:type="dxa"/>
            </w:tcMar>
          </w:tcPr>
          <w:p>
            <w:pPr>
              <w:spacing w:after="0"/>
            </w:pPr>
            <w:r>
              <w:rPr>
                <w:rFonts w:ascii="Arial" w:hAnsi="Arial"/>
                <w:b/>
                <w:color w:val="1B365D"/>
                <w:sz w:val="19"/>
              </w:rPr>
              <w:t>Project Assessment:</w:t>
            </w:r>
          </w:p>
        </w:tc>
        <w:tc>
          <w:tcPr>
            <w:tcW w:type="dxa" w:w="4680"/>
            <w:shd w:fill="FFFFFF"/>
            <w:tcMar>
              <w:top w:w="60" w:type="dxa"/>
              <w:bottom w:w="60" w:type="dxa"/>
              <w:left w:w="100" w:type="dxa"/>
              <w:right w:w="100" w:type="dxa"/>
            </w:tcMar>
          </w:tcPr>
          <w:p>
            <w:pPr>
              <w:spacing w:after="0"/>
            </w:pPr>
            <w:r>
              <w:rPr>
                <w:rFonts w:ascii="Calibri" w:hAnsi="Calibri"/>
                <w:color w:val="262626"/>
                <w:sz w:val="19"/>
              </w:rPr>
              <w:t>15% of Course Grade | SDLC-Driven AI-Assisted Java Application</w:t>
            </w:r>
          </w:p>
        </w:tc>
      </w:tr>
      <w:tr>
        <w:tc>
          <w:tcPr>
            <w:tcW w:type="dxa" w:w="4680"/>
            <w:shd w:fill="F2F4F8"/>
            <w:tcMar>
              <w:top w:w="60" w:type="dxa"/>
              <w:bottom w:w="60" w:type="dxa"/>
              <w:left w:w="100" w:type="dxa"/>
              <w:right w:w="100" w:type="dxa"/>
            </w:tcMar>
          </w:tcPr>
          <w:p>
            <w:pPr>
              <w:spacing w:after="0"/>
            </w:pPr>
            <w:r>
              <w:rPr>
                <w:rFonts w:ascii="Arial" w:hAnsi="Arial"/>
                <w:b/>
                <w:color w:val="1B365D"/>
                <w:sz w:val="19"/>
              </w:rPr>
              <w:t>Execution Format:</w:t>
            </w:r>
          </w:p>
        </w:tc>
        <w:tc>
          <w:tcPr>
            <w:tcW w:type="dxa" w:w="4680"/>
            <w:shd w:fill="FFFFFF"/>
            <w:tcMar>
              <w:top w:w="60" w:type="dxa"/>
              <w:bottom w:w="60" w:type="dxa"/>
              <w:left w:w="100" w:type="dxa"/>
              <w:right w:w="100" w:type="dxa"/>
            </w:tcMar>
          </w:tcPr>
          <w:p>
            <w:pPr>
              <w:spacing w:after="0"/>
            </w:pPr>
            <w:r>
              <w:rPr>
                <w:rFonts w:ascii="Calibri" w:hAnsi="Calibri"/>
                <w:color w:val="262626"/>
                <w:sz w:val="19"/>
              </w:rPr>
              <w:t>Teams of 3 | Duration: 8 Weeks (Weeks 8–15) | Java 17 LTS, JavaFX, JDBC, JUnit 5</w:t>
            </w:r>
          </w:p>
        </w:tc>
      </w:tr>
      <w:tr>
        <w:tc>
          <w:tcPr>
            <w:tcW w:type="dxa" w:w="4680"/>
            <w:shd w:fill="F2F4F8"/>
            <w:tcMar>
              <w:top w:w="60" w:type="dxa"/>
              <w:bottom w:w="60" w:type="dxa"/>
              <w:left w:w="100" w:type="dxa"/>
              <w:right w:w="100" w:type="dxa"/>
            </w:tcMar>
          </w:tcPr>
          <w:p>
            <w:pPr>
              <w:spacing w:after="0"/>
            </w:pPr>
            <w:r>
              <w:rPr>
                <w:rFonts w:ascii="Arial" w:hAnsi="Arial"/>
                <w:b/>
                <w:color w:val="1B365D"/>
                <w:sz w:val="19"/>
              </w:rPr>
              <w:t>Evaluation Mode:</w:t>
            </w:r>
          </w:p>
        </w:tc>
        <w:tc>
          <w:tcPr>
            <w:tcW w:type="dxa" w:w="4680"/>
            <w:shd w:fill="FFFFFF"/>
            <w:tcMar>
              <w:top w:w="60" w:type="dxa"/>
              <w:bottom w:w="60" w:type="dxa"/>
              <w:left w:w="100" w:type="dxa"/>
              <w:right w:w="100" w:type="dxa"/>
            </w:tcMar>
          </w:tcPr>
          <w:p>
            <w:pPr>
              <w:spacing w:after="0"/>
            </w:pPr>
            <w:r>
              <w:rPr>
                <w:rFonts w:ascii="Calibri" w:hAnsi="Calibri"/>
                <w:color w:val="262626"/>
                <w:sz w:val="19"/>
              </w:rPr>
              <w:t>Artefacts (SRS, Design, Test Plan, AI Log) + Git Repo + Live Demo + Individual Viva</w:t>
            </w:r>
          </w:p>
        </w:tc>
      </w:tr>
    </w:tbl>
    <w:p>
      <w:pPr>
        <w:spacing w:after="160"/>
      </w:pPr>
    </w:p>
    <w:p>
      <w:pPr>
        <w:keepNext/>
        <w:spacing w:before="320" w:after="120"/>
      </w:pPr>
      <w:r>
        <w:rPr>
          <w:rFonts w:ascii="Arial" w:hAnsi="Arial"/>
          <w:b/>
          <w:color w:val="1B365D"/>
          <w:sz w:val="32"/>
        </w:rPr>
        <w:t>1. Executive Summary &amp; Pedagogical Philosophy</w:t>
      </w:r>
    </w:p>
    <w:p>
      <w:pPr>
        <w:spacing w:before="0" w:after="80" w:line="276" w:lineRule="auto"/>
      </w:pPr>
      <w:r>
        <w:rPr>
          <w:rFonts w:ascii="Calibri" w:hAnsi="Calibri"/>
          <w:i w:val="0"/>
          <w:color w:val="262626"/>
          <w:sz w:val="22"/>
        </w:rPr>
        <w:t>This logical analysis breaks down the coursework brief for CSC 508: Structured and Object-Oriented Programming Languages II. The assignment requires building a complete, three-layer desktop application in Java 17 LTS using JavaFX, JDBC, and a relational database (MySQL/PostgreSQL/SQLite) within an 8-week SDLC timeframe (Weeks 8 through 15).</w:t>
      </w:r>
    </w:p>
    <w:p>
      <w:pPr>
        <w:spacing w:before="0" w:after="80" w:line="276" w:lineRule="auto"/>
      </w:pPr>
      <w:r>
        <w:rPr>
          <w:rFonts w:ascii="Calibri" w:hAnsi="Calibri"/>
          <w:i w:val="0"/>
          <w:color w:val="262626"/>
          <w:sz w:val="22"/>
        </w:rPr>
        <w:t>The defining feature of this coursework is its dual evaluation paradigm: students are assessed not only on the end-to-end technical quality of their software application, but equally on their capacity to govern, direct, verify, and audit AI coding assistants (such as Claude Code, GitHub Copilot, Cursor, or Gemini).</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0" w:after="40"/>
            </w:pPr>
            <w:r>
              <w:rPr>
                <w:rFonts w:ascii="Arial" w:hAnsi="Arial"/>
                <w:b/>
                <w:color w:val="1B365D"/>
                <w:sz w:val="21"/>
              </w:rPr>
              <w:t>KEY STRATEGIC INSIGHT: THE AI ACCOUNTABILITY SHIFT</w:t>
              <w:br/>
            </w:r>
            <w:r>
              <w:rPr>
                <w:rFonts w:ascii="Calibri" w:hAnsi="Calibri"/>
                <w:color w:val="262626"/>
                <w:sz w:val="21"/>
              </w:rPr>
              <w:t>The assessment paradigm explicitly penalizes passive code generation. The grading framework rewards catching and correcting AI errors (such as architecture leaks, unparameterized SQL queries, or missing transaction rollbacks) higher than flawless first-time automated generation. Students remain 100% accountable for every line committed.</w:t>
            </w:r>
          </w:p>
        </w:tc>
      </w:tr>
    </w:tbl>
    <w:p>
      <w:pPr>
        <w:spacing w:after="80"/>
      </w:pPr>
    </w:p>
    <w:p>
      <w:pPr>
        <w:spacing w:before="0" w:after="80" w:line="276" w:lineRule="auto"/>
      </w:pPr>
      <w:r>
        <w:rPr>
          <w:rFonts w:ascii="Calibri" w:hAnsi="Calibri"/>
          <w:b/>
          <w:color w:val="262626"/>
          <w:sz w:val="22"/>
        </w:rPr>
        <w:t xml:space="preserve">Core Architectural Directives: </w:t>
      </w:r>
      <w:r>
        <w:rPr>
          <w:rFonts w:ascii="Calibri" w:hAnsi="Calibri"/>
          <w:i w:val="0"/>
          <w:color w:val="262626"/>
          <w:sz w:val="22"/>
        </w:rPr>
        <w:t>Key High-Level Constraints &amp; Directives:</w:t>
      </w:r>
    </w:p>
    <w:p>
      <w:pPr>
        <w:pStyle w:val="ListBullet"/>
        <w:spacing w:before="0" w:after="60" w:line="276" w:lineRule="auto"/>
      </w:pPr>
      <w:r>
        <w:rPr>
          <w:rFonts w:ascii="Calibri" w:hAnsi="Calibri"/>
          <w:b/>
          <w:color w:val="262626"/>
          <w:sz w:val="22"/>
        </w:rPr>
        <w:t xml:space="preserve">Team &amp; Track Alignment: </w:t>
      </w:r>
      <w:r>
        <w:rPr>
          <w:rFonts w:ascii="Calibri" w:hAnsi="Calibri"/>
          <w:color w:val="262626"/>
          <w:sz w:val="22"/>
        </w:rPr>
        <w:t>Teams consist strictly of 3 students, each taking ownership of one specific layer (Frontend, Business Logic, or Backend) while sharing accountability for documentation, testing, and AI logging.</w:t>
      </w:r>
    </w:p>
    <w:p>
      <w:pPr>
        <w:pStyle w:val="ListBullet"/>
        <w:spacing w:before="0" w:after="60" w:line="276" w:lineRule="auto"/>
      </w:pPr>
      <w:r>
        <w:rPr>
          <w:rFonts w:ascii="Calibri" w:hAnsi="Calibri"/>
          <w:b/>
          <w:color w:val="262626"/>
          <w:sz w:val="22"/>
        </w:rPr>
        <w:t xml:space="preserve">Depth Over Breadth: </w:t>
      </w:r>
      <w:r>
        <w:rPr>
          <w:rFonts w:ascii="Calibri" w:hAnsi="Calibri"/>
          <w:color w:val="262626"/>
          <w:sz w:val="22"/>
        </w:rPr>
        <w:t>The domain model is intentionally kept compact to prioritize engineering quality, layered separation, clean OOP design, and test coverage over feature bloating.</w:t>
      </w:r>
    </w:p>
    <w:p>
      <w:pPr>
        <w:pStyle w:val="ListBullet"/>
        <w:spacing w:before="0" w:after="60" w:line="276" w:lineRule="auto"/>
      </w:pPr>
      <w:r>
        <w:rPr>
          <w:rFonts w:ascii="Calibri" w:hAnsi="Calibri"/>
          <w:b/>
          <w:color w:val="262626"/>
          <w:sz w:val="22"/>
        </w:rPr>
        <w:t xml:space="preserve">Strict Controller Rule: </w:t>
      </w:r>
      <w:r>
        <w:rPr>
          <w:rFonts w:ascii="Calibri" w:hAnsi="Calibri"/>
          <w:color w:val="262626"/>
          <w:sz w:val="22"/>
        </w:rPr>
        <w:t>Zero SQL queries, arithmetic, or business logic are permitted within JavaFX Controllers. Controllers must act strictly as thin view adapters.</w:t>
      </w:r>
    </w:p>
    <w:p>
      <w:pPr>
        <w:pStyle w:val="ListBullet"/>
        <w:spacing w:before="0" w:after="60" w:line="276" w:lineRule="auto"/>
      </w:pPr>
      <w:r>
        <w:rPr>
          <w:rFonts w:ascii="Calibri" w:hAnsi="Calibri"/>
          <w:b/>
          <w:color w:val="262626"/>
          <w:sz w:val="22"/>
        </w:rPr>
        <w:t xml:space="preserve">Mandatory JDBC Security: </w:t>
      </w:r>
      <w:r>
        <w:rPr>
          <w:rFonts w:ascii="Calibri" w:hAnsi="Calibri"/>
          <w:color w:val="262626"/>
          <w:sz w:val="22"/>
        </w:rPr>
        <w:t>Every database query must be parameterized via PreparedStatement; string concatenation in SQL forfeits all backend marks.</w:t>
      </w:r>
    </w:p>
    <w:p>
      <w:pPr>
        <w:pStyle w:val="ListBullet"/>
        <w:spacing w:before="0" w:after="60" w:line="276" w:lineRule="auto"/>
      </w:pPr>
      <w:r>
        <w:rPr>
          <w:rFonts w:ascii="Calibri" w:hAnsi="Calibri"/>
          <w:b/>
          <w:color w:val="262626"/>
          <w:sz w:val="22"/>
        </w:rPr>
        <w:t xml:space="preserve">Vertical Slice Execution: </w:t>
      </w:r>
      <w:r>
        <w:rPr>
          <w:rFonts w:ascii="Calibri" w:hAnsi="Calibri"/>
          <w:color w:val="262626"/>
          <w:sz w:val="22"/>
        </w:rPr>
        <w:t>The Week 11 'Vertical Slice' checkpoint is the critical operational milestone, requiring one complete feature working end-to-end across all three layers.</w:t>
      </w:r>
    </w:p>
    <w:p>
      <w:pPr>
        <w:keepNext/>
        <w:spacing w:before="320" w:after="120"/>
      </w:pPr>
      <w:r>
        <w:rPr>
          <w:rFonts w:ascii="Arial" w:hAnsi="Arial"/>
          <w:b/>
          <w:color w:val="1B365D"/>
          <w:sz w:val="32"/>
        </w:rPr>
        <w:t>2. Deconstruction of Learning Outcomes</w:t>
      </w:r>
    </w:p>
    <w:p>
      <w:pPr>
        <w:spacing w:before="0" w:after="80" w:line="276" w:lineRule="auto"/>
      </w:pPr>
      <w:r>
        <w:rPr>
          <w:rFonts w:ascii="Calibri" w:hAnsi="Calibri"/>
          <w:i w:val="0"/>
          <w:color w:val="262626"/>
          <w:sz w:val="22"/>
        </w:rPr>
        <w:t>The coursework maps directly to seven explicit Learning Outcomes (LOs). To achieve maximum marks, each outcome must be systematically addressed by specific project deliverables and demonstrated during the live viva:</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3120"/>
        <w:gridCol w:w="3120"/>
        <w:gridCol w:w="3120"/>
      </w:tblGrid>
      <w:tr>
        <w:tc>
          <w:tcPr>
            <w:tcW w:type="dxa" w:w="3120"/>
            <w:shd w:fill="1B365D"/>
            <w:tcMar>
              <w:top w:w="100" w:type="dxa"/>
              <w:bottom w:w="100" w:type="dxa"/>
              <w:left w:w="120" w:type="dxa"/>
              <w:right w:w="120" w:type="dxa"/>
            </w:tcMar>
          </w:tcPr>
          <w:p>
            <w:pPr>
              <w:spacing w:after="0"/>
            </w:pPr>
            <w:r>
              <w:rPr>
                <w:rFonts w:ascii="Arial" w:hAnsi="Arial"/>
                <w:b/>
                <w:color w:val="FFFFFF"/>
                <w:sz w:val="20"/>
              </w:rPr>
              <w:t>Learning Outcome (LO)</w:t>
            </w:r>
          </w:p>
        </w:tc>
        <w:tc>
          <w:tcPr>
            <w:tcW w:type="dxa" w:w="3120"/>
            <w:shd w:fill="1B365D"/>
            <w:tcMar>
              <w:top w:w="100" w:type="dxa"/>
              <w:bottom w:w="100" w:type="dxa"/>
              <w:left w:w="120" w:type="dxa"/>
              <w:right w:w="120" w:type="dxa"/>
            </w:tcMar>
          </w:tcPr>
          <w:p>
            <w:pPr>
              <w:spacing w:after="0"/>
            </w:pPr>
            <w:r>
              <w:rPr>
                <w:rFonts w:ascii="Arial" w:hAnsi="Arial"/>
                <w:b/>
                <w:color w:val="FFFFFF"/>
                <w:sz w:val="20"/>
              </w:rPr>
              <w:t>Technical &amp; Pedagogical Target</w:t>
            </w:r>
          </w:p>
        </w:tc>
        <w:tc>
          <w:tcPr>
            <w:tcW w:type="dxa" w:w="3120"/>
            <w:shd w:fill="1B365D"/>
            <w:tcMar>
              <w:top w:w="100" w:type="dxa"/>
              <w:bottom w:w="100" w:type="dxa"/>
              <w:left w:w="120" w:type="dxa"/>
              <w:right w:w="120" w:type="dxa"/>
            </w:tcMar>
          </w:tcPr>
          <w:p>
            <w:pPr>
              <w:spacing w:after="0"/>
            </w:pPr>
            <w:r>
              <w:rPr>
                <w:rFonts w:ascii="Arial" w:hAnsi="Arial"/>
                <w:b/>
                <w:color w:val="FFFFFF"/>
                <w:sz w:val="20"/>
              </w:rPr>
              <w:t>Verifiable Evidence / Artefact</w:t>
            </w:r>
          </w:p>
        </w:tc>
      </w:tr>
      <w:tr>
        <w:tc>
          <w:tcPr>
            <w:tcW w:type="dxa" w:w="3120"/>
            <w:shd w:fill="F9FAFC"/>
            <w:tcMar>
              <w:top w:w="80" w:type="dxa"/>
              <w:bottom w:w="80" w:type="dxa"/>
              <w:left w:w="100" w:type="dxa"/>
              <w:right w:w="100" w:type="dxa"/>
            </w:tcMar>
          </w:tcPr>
          <w:p>
            <w:pPr>
              <w:spacing w:after="0"/>
            </w:pPr>
            <w:r>
              <w:rPr>
                <w:rFonts w:ascii="Calibri" w:hAnsi="Calibri"/>
                <w:b/>
                <w:color w:val="262626"/>
                <w:sz w:val="19"/>
              </w:rPr>
              <w:t>LO1: Requirements &amp; SRS</w:t>
            </w:r>
          </w:p>
        </w:tc>
        <w:tc>
          <w:tcPr>
            <w:tcW w:type="dxa" w:w="3120"/>
            <w:shd w:fill="F9FAFC"/>
            <w:tcMar>
              <w:top w:w="80" w:type="dxa"/>
              <w:bottom w:w="80" w:type="dxa"/>
              <w:left w:w="100" w:type="dxa"/>
              <w:right w:w="100" w:type="dxa"/>
            </w:tcMar>
          </w:tcPr>
          <w:p>
            <w:pPr>
              <w:spacing w:after="0"/>
            </w:pPr>
            <w:r>
              <w:rPr>
                <w:rFonts w:ascii="Calibri" w:hAnsi="Calibri"/>
                <w:color w:val="262626"/>
                <w:sz w:val="19"/>
              </w:rPr>
              <w:t>Translate informal requirements into a documented specification with testable acceptance criteria.</w:t>
            </w:r>
          </w:p>
        </w:tc>
        <w:tc>
          <w:tcPr>
            <w:tcW w:type="dxa" w:w="3120"/>
            <w:shd w:fill="F9FAFC"/>
            <w:tcMar>
              <w:top w:w="80" w:type="dxa"/>
              <w:bottom w:w="80" w:type="dxa"/>
              <w:left w:w="100" w:type="dxa"/>
              <w:right w:w="100" w:type="dxa"/>
            </w:tcMar>
          </w:tcPr>
          <w:p>
            <w:pPr>
              <w:spacing w:after="0"/>
            </w:pPr>
            <w:r>
              <w:rPr>
                <w:rFonts w:ascii="Calibri" w:hAnsi="Calibri"/>
                <w:color w:val="262626"/>
                <w:sz w:val="19"/>
              </w:rPr>
              <w:t>Software Requirements Specification (SRS, max 6 pages) with 6+ use cases.</w:t>
            </w:r>
          </w:p>
        </w:tc>
      </w:tr>
      <w:tr>
        <w:tc>
          <w:tcPr>
            <w:tcW w:type="dxa" w:w="3120"/>
            <w:shd w:fill="FFFFFF"/>
            <w:tcMar>
              <w:top w:w="80" w:type="dxa"/>
              <w:bottom w:w="80" w:type="dxa"/>
              <w:left w:w="100" w:type="dxa"/>
              <w:right w:w="100" w:type="dxa"/>
            </w:tcMar>
          </w:tcPr>
          <w:p>
            <w:pPr>
              <w:spacing w:after="0"/>
            </w:pPr>
            <w:r>
              <w:rPr>
                <w:rFonts w:ascii="Calibri" w:hAnsi="Calibri"/>
                <w:b/>
                <w:color w:val="262626"/>
                <w:sz w:val="19"/>
              </w:rPr>
              <w:t>LO2: Layered Separation</w:t>
            </w:r>
          </w:p>
        </w:tc>
        <w:tc>
          <w:tcPr>
            <w:tcW w:type="dxa" w:w="3120"/>
            <w:shd w:fill="FFFFFF"/>
            <w:tcMar>
              <w:top w:w="80" w:type="dxa"/>
              <w:bottom w:w="80" w:type="dxa"/>
              <w:left w:w="100" w:type="dxa"/>
              <w:right w:w="100" w:type="dxa"/>
            </w:tcMar>
          </w:tcPr>
          <w:p>
            <w:pPr>
              <w:spacing w:after="0"/>
            </w:pPr>
            <w:r>
              <w:rPr>
                <w:rFonts w:ascii="Calibri" w:hAnsi="Calibri"/>
                <w:color w:val="262626"/>
                <w:sz w:val="19"/>
              </w:rPr>
              <w:t>Enforce strict physical &amp; logical separation across Presentation, Service, and DAO layers.</w:t>
            </w:r>
          </w:p>
        </w:tc>
        <w:tc>
          <w:tcPr>
            <w:tcW w:type="dxa" w:w="3120"/>
            <w:shd w:fill="FFFFFF"/>
            <w:tcMar>
              <w:top w:w="80" w:type="dxa"/>
              <w:bottom w:w="80" w:type="dxa"/>
              <w:left w:w="100" w:type="dxa"/>
              <w:right w:w="100" w:type="dxa"/>
            </w:tcMar>
          </w:tcPr>
          <w:p>
            <w:pPr>
              <w:spacing w:after="0"/>
            </w:pPr>
            <w:r>
              <w:rPr>
                <w:rFonts w:ascii="Calibri" w:hAnsi="Calibri"/>
                <w:color w:val="262626"/>
                <w:sz w:val="19"/>
              </w:rPr>
              <w:t>Clean package structure (`app.ui`, `app.service`, `app.dao`) &amp; strict zero-leak controllers.</w:t>
            </w:r>
          </w:p>
        </w:tc>
      </w:tr>
      <w:tr>
        <w:tc>
          <w:tcPr>
            <w:tcW w:type="dxa" w:w="3120"/>
            <w:shd w:fill="F9FAFC"/>
            <w:tcMar>
              <w:top w:w="80" w:type="dxa"/>
              <w:bottom w:w="80" w:type="dxa"/>
              <w:left w:w="100" w:type="dxa"/>
              <w:right w:w="100" w:type="dxa"/>
            </w:tcMar>
          </w:tcPr>
          <w:p>
            <w:pPr>
              <w:spacing w:after="0"/>
            </w:pPr>
            <w:r>
              <w:rPr>
                <w:rFonts w:ascii="Calibri" w:hAnsi="Calibri"/>
                <w:b/>
                <w:color w:val="262626"/>
                <w:sz w:val="19"/>
              </w:rPr>
              <w:t>LO3: OOP Domain Model</w:t>
            </w:r>
          </w:p>
        </w:tc>
        <w:tc>
          <w:tcPr>
            <w:tcW w:type="dxa" w:w="3120"/>
            <w:shd w:fill="F9FAFC"/>
            <w:tcMar>
              <w:top w:w="80" w:type="dxa"/>
              <w:bottom w:w="80" w:type="dxa"/>
              <w:left w:w="100" w:type="dxa"/>
              <w:right w:w="100" w:type="dxa"/>
            </w:tcMar>
          </w:tcPr>
          <w:p>
            <w:pPr>
              <w:spacing w:after="0"/>
            </w:pPr>
            <w:r>
              <w:rPr>
                <w:rFonts w:ascii="Calibri" w:hAnsi="Calibri"/>
                <w:color w:val="262626"/>
                <w:sz w:val="19"/>
              </w:rPr>
              <w:t>Apply encapsulation, inheritance, polymorphism, and abstraction to a non-trivial domain.</w:t>
            </w:r>
          </w:p>
        </w:tc>
        <w:tc>
          <w:tcPr>
            <w:tcW w:type="dxa" w:w="3120"/>
            <w:shd w:fill="F9FAFC"/>
            <w:tcMar>
              <w:top w:w="80" w:type="dxa"/>
              <w:bottom w:w="80" w:type="dxa"/>
              <w:left w:w="100" w:type="dxa"/>
              <w:right w:w="100" w:type="dxa"/>
            </w:tcMar>
          </w:tcPr>
          <w:p>
            <w:pPr>
              <w:spacing w:after="0"/>
            </w:pPr>
            <w:r>
              <w:rPr>
                <w:rFonts w:ascii="Calibri" w:hAnsi="Calibri"/>
                <w:color w:val="262626"/>
                <w:sz w:val="19"/>
              </w:rPr>
              <w:t>UML class diagram &amp; implementation of domain entities, interfaces, and abstractions.</w:t>
            </w:r>
          </w:p>
        </w:tc>
      </w:tr>
      <w:tr>
        <w:tc>
          <w:tcPr>
            <w:tcW w:type="dxa" w:w="3120"/>
            <w:shd w:fill="FFFFFF"/>
            <w:tcMar>
              <w:top w:w="80" w:type="dxa"/>
              <w:bottom w:w="80" w:type="dxa"/>
              <w:left w:w="100" w:type="dxa"/>
              <w:right w:w="100" w:type="dxa"/>
            </w:tcMar>
          </w:tcPr>
          <w:p>
            <w:pPr>
              <w:spacing w:after="0"/>
            </w:pPr>
            <w:r>
              <w:rPr>
                <w:rFonts w:ascii="Calibri" w:hAnsi="Calibri"/>
                <w:b/>
                <w:color w:val="262626"/>
                <w:sz w:val="19"/>
              </w:rPr>
              <w:t>LO4: Database &amp; JDBC</w:t>
            </w:r>
          </w:p>
        </w:tc>
        <w:tc>
          <w:tcPr>
            <w:tcW w:type="dxa" w:w="3120"/>
            <w:shd w:fill="FFFFFF"/>
            <w:tcMar>
              <w:top w:w="80" w:type="dxa"/>
              <w:bottom w:w="80" w:type="dxa"/>
              <w:left w:w="100" w:type="dxa"/>
              <w:right w:w="100" w:type="dxa"/>
            </w:tcMar>
          </w:tcPr>
          <w:p>
            <w:pPr>
              <w:spacing w:after="0"/>
            </w:pPr>
            <w:r>
              <w:rPr>
                <w:rFonts w:ascii="Calibri" w:hAnsi="Calibri"/>
                <w:color w:val="262626"/>
                <w:sz w:val="19"/>
              </w:rPr>
              <w:t>Design a normalized 3NF relational schema accessed safely via parameterized DAO interfaces.</w:t>
            </w:r>
          </w:p>
        </w:tc>
        <w:tc>
          <w:tcPr>
            <w:tcW w:type="dxa" w:w="3120"/>
            <w:shd w:fill="FFFFFF"/>
            <w:tcMar>
              <w:top w:w="80" w:type="dxa"/>
              <w:bottom w:w="80" w:type="dxa"/>
              <w:left w:w="100" w:type="dxa"/>
              <w:right w:w="100" w:type="dxa"/>
            </w:tcMar>
          </w:tcPr>
          <w:p>
            <w:pPr>
              <w:spacing w:after="0"/>
            </w:pPr>
            <w:r>
              <w:rPr>
                <w:rFonts w:ascii="Calibri" w:hAnsi="Calibri"/>
                <w:color w:val="262626"/>
                <w:sz w:val="19"/>
              </w:rPr>
              <w:t>SQL schema script (`schema.sql`), DAO implementations, parameterization, transactions.</w:t>
            </w:r>
          </w:p>
        </w:tc>
      </w:tr>
      <w:tr>
        <w:tc>
          <w:tcPr>
            <w:tcW w:type="dxa" w:w="3120"/>
            <w:shd w:fill="F9FAFC"/>
            <w:tcMar>
              <w:top w:w="80" w:type="dxa"/>
              <w:bottom w:w="80" w:type="dxa"/>
              <w:left w:w="100" w:type="dxa"/>
              <w:right w:w="100" w:type="dxa"/>
            </w:tcMar>
          </w:tcPr>
          <w:p>
            <w:pPr>
              <w:spacing w:after="0"/>
            </w:pPr>
            <w:r>
              <w:rPr>
                <w:rFonts w:ascii="Calibri" w:hAnsi="Calibri"/>
                <w:b/>
                <w:color w:val="262626"/>
                <w:sz w:val="19"/>
              </w:rPr>
              <w:t>LO5: Testing &amp; Complexity</w:t>
            </w:r>
          </w:p>
        </w:tc>
        <w:tc>
          <w:tcPr>
            <w:tcW w:type="dxa" w:w="3120"/>
            <w:shd w:fill="F9FAFC"/>
            <w:tcMar>
              <w:top w:w="80" w:type="dxa"/>
              <w:bottom w:w="80" w:type="dxa"/>
              <w:left w:w="100" w:type="dxa"/>
              <w:right w:w="100" w:type="dxa"/>
            </w:tcMar>
          </w:tcPr>
          <w:p>
            <w:pPr>
              <w:spacing w:after="0"/>
            </w:pPr>
            <w:r>
              <w:rPr>
                <w:rFonts w:ascii="Calibri" w:hAnsi="Calibri"/>
                <w:color w:val="262626"/>
                <w:sz w:val="19"/>
              </w:rPr>
              <w:t>Construct automated tests for boundary/failure cases and analyze algorithmic complexity.</w:t>
            </w:r>
          </w:p>
        </w:tc>
        <w:tc>
          <w:tcPr>
            <w:tcW w:type="dxa" w:w="3120"/>
            <w:shd w:fill="F9FAFC"/>
            <w:tcMar>
              <w:top w:w="80" w:type="dxa"/>
              <w:bottom w:w="80" w:type="dxa"/>
              <w:left w:w="100" w:type="dxa"/>
              <w:right w:w="100" w:type="dxa"/>
            </w:tcMar>
          </w:tcPr>
          <w:p>
            <w:pPr>
              <w:spacing w:after="0"/>
            </w:pPr>
            <w:r>
              <w:rPr>
                <w:rFonts w:ascii="Calibri" w:hAnsi="Calibri"/>
                <w:color w:val="262626"/>
                <w:sz w:val="19"/>
              </w:rPr>
              <w:t>JUnit 5 test suite for service layer, test coverage report, and defect log.</w:t>
            </w:r>
          </w:p>
        </w:tc>
      </w:tr>
      <w:tr>
        <w:tc>
          <w:tcPr>
            <w:tcW w:type="dxa" w:w="3120"/>
            <w:shd w:fill="FFFFFF"/>
            <w:tcMar>
              <w:top w:w="80" w:type="dxa"/>
              <w:bottom w:w="80" w:type="dxa"/>
              <w:left w:w="100" w:type="dxa"/>
              <w:right w:w="100" w:type="dxa"/>
            </w:tcMar>
          </w:tcPr>
          <w:p>
            <w:pPr>
              <w:spacing w:after="0"/>
            </w:pPr>
            <w:r>
              <w:rPr>
                <w:rFonts w:ascii="Calibri" w:hAnsi="Calibri"/>
                <w:b/>
                <w:color w:val="262626"/>
                <w:sz w:val="19"/>
              </w:rPr>
              <w:t>LO6: AI Governance</w:t>
            </w:r>
          </w:p>
        </w:tc>
        <w:tc>
          <w:tcPr>
            <w:tcW w:type="dxa" w:w="3120"/>
            <w:shd w:fill="FFFFFF"/>
            <w:tcMar>
              <w:top w:w="80" w:type="dxa"/>
              <w:bottom w:w="80" w:type="dxa"/>
              <w:left w:w="100" w:type="dxa"/>
              <w:right w:w="100" w:type="dxa"/>
            </w:tcMar>
          </w:tcPr>
          <w:p>
            <w:pPr>
              <w:spacing w:after="0"/>
            </w:pPr>
            <w:r>
              <w:rPr>
                <w:rFonts w:ascii="Calibri" w:hAnsi="Calibri"/>
                <w:color w:val="262626"/>
                <w:sz w:val="19"/>
              </w:rPr>
              <w:t>Direct and verify AI tools while remaining fully accountable for all submitted code.</w:t>
            </w:r>
          </w:p>
        </w:tc>
        <w:tc>
          <w:tcPr>
            <w:tcW w:type="dxa" w:w="3120"/>
            <w:shd w:fill="FFFFFF"/>
            <w:tcMar>
              <w:top w:w="80" w:type="dxa"/>
              <w:bottom w:w="80" w:type="dxa"/>
              <w:left w:w="100" w:type="dxa"/>
              <w:right w:w="100" w:type="dxa"/>
            </w:tcMar>
          </w:tcPr>
          <w:p>
            <w:pPr>
              <w:spacing w:after="0"/>
            </w:pPr>
            <w:r>
              <w:rPr>
                <w:rFonts w:ascii="Calibri" w:hAnsi="Calibri"/>
                <w:color w:val="262626"/>
                <w:sz w:val="19"/>
              </w:rPr>
              <w:t>AI Interaction Log (15+ entries) detailing prompts, reviews, and caught mistakes.</w:t>
            </w:r>
          </w:p>
        </w:tc>
      </w:tr>
      <w:tr>
        <w:tc>
          <w:tcPr>
            <w:tcW w:type="dxa" w:w="3120"/>
            <w:shd w:fill="F9FAFC"/>
            <w:tcMar>
              <w:top w:w="80" w:type="dxa"/>
              <w:bottom w:w="80" w:type="dxa"/>
              <w:left w:w="100" w:type="dxa"/>
              <w:right w:w="100" w:type="dxa"/>
            </w:tcMar>
          </w:tcPr>
          <w:p>
            <w:pPr>
              <w:spacing w:after="0"/>
            </w:pPr>
            <w:r>
              <w:rPr>
                <w:rFonts w:ascii="Calibri" w:hAnsi="Calibri"/>
                <w:b/>
                <w:color w:val="262626"/>
                <w:sz w:val="19"/>
              </w:rPr>
              <w:t>LO7: Version Control &amp; Defense</w:t>
            </w:r>
          </w:p>
        </w:tc>
        <w:tc>
          <w:tcPr>
            <w:tcW w:type="dxa" w:w="3120"/>
            <w:shd w:fill="F9FAFC"/>
            <w:tcMar>
              <w:top w:w="80" w:type="dxa"/>
              <w:bottom w:w="80" w:type="dxa"/>
              <w:left w:w="100" w:type="dxa"/>
              <w:right w:w="100" w:type="dxa"/>
            </w:tcMar>
          </w:tcPr>
          <w:p>
            <w:pPr>
              <w:spacing w:after="0"/>
            </w:pPr>
            <w:r>
              <w:rPr>
                <w:rFonts w:ascii="Calibri" w:hAnsi="Calibri"/>
                <w:color w:val="262626"/>
                <w:sz w:val="19"/>
              </w:rPr>
              <w:t>Maintain disciplined Git workflow, peer reviews, issue tracking, and defend work in viva.</w:t>
            </w:r>
          </w:p>
        </w:tc>
        <w:tc>
          <w:tcPr>
            <w:tcW w:type="dxa" w:w="3120"/>
            <w:shd w:fill="F9FAFC"/>
            <w:tcMar>
              <w:top w:w="80" w:type="dxa"/>
              <w:bottom w:w="80" w:type="dxa"/>
              <w:left w:w="100" w:type="dxa"/>
              <w:right w:w="100" w:type="dxa"/>
            </w:tcMar>
          </w:tcPr>
          <w:p>
            <w:pPr>
              <w:spacing w:after="0"/>
            </w:pPr>
            <w:r>
              <w:rPr>
                <w:rFonts w:ascii="Calibri" w:hAnsi="Calibri"/>
                <w:color w:val="262626"/>
                <w:sz w:val="19"/>
              </w:rPr>
              <w:t>Git commit history, feature branches, pull requests, meeting log, and viva performance.</w:t>
            </w:r>
          </w:p>
        </w:tc>
      </w:tr>
    </w:tbl>
    <w:p>
      <w:pPr>
        <w:spacing w:after="160"/>
      </w:pPr>
    </w:p>
    <w:p>
      <w:pPr>
        <w:keepNext/>
        <w:spacing w:before="320" w:after="120"/>
      </w:pPr>
      <w:r>
        <w:rPr>
          <w:rFonts w:ascii="Arial" w:hAnsi="Arial"/>
          <w:b/>
          <w:color w:val="1B365D"/>
          <w:sz w:val="32"/>
        </w:rPr>
        <w:t>3. Strategic Evaluation &amp; Selection Matrix of Domain Options</w:t>
      </w:r>
    </w:p>
    <w:p>
      <w:pPr>
        <w:spacing w:before="0" w:after="80" w:line="276" w:lineRule="auto"/>
      </w:pPr>
      <w:r>
        <w:rPr>
          <w:rFonts w:ascii="Calibri" w:hAnsi="Calibri"/>
          <w:i w:val="0"/>
          <w:color w:val="262626"/>
          <w:sz w:val="22"/>
        </w:rPr>
        <w:t>The brief provides four pre-approved domain options. Each option presents distinct technical characteristics, algorithmic requirements, transactional risks, and AI generation pitfalls:</w:t>
      </w:r>
    </w:p>
    <w:p>
      <w:pPr>
        <w:keepNext/>
        <w:spacing w:before="240" w:after="80"/>
      </w:pPr>
      <w:r>
        <w:rPr>
          <w:rFonts w:ascii="Arial" w:hAnsi="Arial"/>
          <w:b/>
          <w:color w:val="2E75B6"/>
          <w:sz w:val="26"/>
        </w:rPr>
        <w:t>Domain Breakdown &amp; Risk Profile</w:t>
      </w:r>
    </w:p>
    <w:p>
      <w:pPr>
        <w:pStyle w:val="ListBullet"/>
        <w:spacing w:before="0" w:after="60" w:line="276" w:lineRule="auto"/>
      </w:pPr>
      <w:r>
        <w:rPr>
          <w:rFonts w:ascii="Calibri" w:hAnsi="Calibri"/>
          <w:b/>
          <w:color w:val="262626"/>
          <w:sz w:val="22"/>
        </w:rPr>
        <w:t xml:space="preserve">A. Result System: </w:t>
      </w:r>
      <w:r>
        <w:rPr>
          <w:rFonts w:ascii="Calibri" w:hAnsi="Calibri"/>
          <w:color w:val="262626"/>
          <w:sz w:val="22"/>
        </w:rPr>
        <w:t>Option A: Departmental Result System — Core logic resides in grading rules, GPA computation algorithms, weighted average calculations, and transcript sorting/filtering. Risk: High potential for numerical rounding errors and complex edge cases in GPA edge thresholds.</w:t>
      </w:r>
    </w:p>
    <w:p>
      <w:pPr>
        <w:pStyle w:val="ListBullet"/>
        <w:spacing w:before="0" w:after="60" w:line="276" w:lineRule="auto"/>
      </w:pPr>
      <w:r>
        <w:rPr>
          <w:rFonts w:ascii="Calibri" w:hAnsi="Calibri"/>
          <w:b/>
          <w:color w:val="262626"/>
          <w:sz w:val="22"/>
        </w:rPr>
        <w:t xml:space="preserve">B. Clinic System: </w:t>
      </w:r>
      <w:r>
        <w:rPr>
          <w:rFonts w:ascii="Calibri" w:hAnsi="Calibri"/>
          <w:color w:val="262626"/>
          <w:sz w:val="22"/>
        </w:rPr>
        <w:t>Option B: Clinic Records System — Core logic focuses on appointment scheduling, time-slot conflict resolution, multi-field searching, and patient medical history linking. Risk: High complexity in temporal logic (overlapping dates/times) and privacy/filtering constraints.</w:t>
      </w:r>
    </w:p>
    <w:p>
      <w:pPr>
        <w:pStyle w:val="ListBullet"/>
        <w:spacing w:before="0" w:after="60" w:line="276" w:lineRule="auto"/>
      </w:pPr>
      <w:r>
        <w:rPr>
          <w:rFonts w:ascii="Calibri" w:hAnsi="Calibri"/>
          <w:b/>
          <w:color w:val="262626"/>
          <w:sz w:val="22"/>
        </w:rPr>
        <w:t xml:space="preserve">C. Library System: </w:t>
      </w:r>
      <w:r>
        <w:rPr>
          <w:rFonts w:ascii="Calibri" w:hAnsi="Calibri"/>
          <w:color w:val="262626"/>
          <w:sz w:val="22"/>
        </w:rPr>
        <w:t>Option C: Campus Library System — Core logic involves catalog item availability, checkout/return state transitions, reservation queues, overdue fine calculations, and member eligibility rules. Risk: State machine complexity and concurrent stock management.</w:t>
      </w:r>
    </w:p>
    <w:p>
      <w:pPr>
        <w:pStyle w:val="ListBullet"/>
        <w:spacing w:before="0" w:after="60" w:line="276" w:lineRule="auto"/>
      </w:pPr>
      <w:r>
        <w:rPr>
          <w:rFonts w:ascii="Calibri" w:hAnsi="Calibri"/>
          <w:b/>
          <w:color w:val="262626"/>
          <w:sz w:val="22"/>
        </w:rPr>
        <w:t xml:space="preserve">D. POS System: </w:t>
      </w:r>
      <w:r>
        <w:rPr>
          <w:rFonts w:ascii="Calibri" w:hAnsi="Calibri"/>
          <w:color w:val="262626"/>
          <w:sz w:val="22"/>
        </w:rPr>
        <w:t>Option D: Small Business POS — Core logic resides in product stock decrementing, sales transaction processing, daily takings aggregation, and receipt generating. Risk: Strict transactional integrity requirements (multi-item sales must rollback on item failure).</w:t>
      </w:r>
    </w:p>
    <w:p>
      <w:pPr>
        <w:keepNext/>
        <w:spacing w:before="240" w:after="80"/>
      </w:pPr>
      <w:r>
        <w:rPr>
          <w:rFonts w:ascii="Arial" w:hAnsi="Arial"/>
          <w:b/>
          <w:color w:val="2E75B6"/>
          <w:sz w:val="26"/>
        </w:rPr>
        <w:t>Comparative Evaluation Matrix</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1872"/>
        <w:gridCol w:w="1872"/>
        <w:gridCol w:w="1872"/>
        <w:gridCol w:w="1872"/>
        <w:gridCol w:w="1872"/>
      </w:tblGrid>
      <w:tr>
        <w:tc>
          <w:tcPr>
            <w:tcW w:type="dxa" w:w="1872"/>
            <w:shd w:fill="1B365D"/>
            <w:tcMar>
              <w:top w:w="100" w:type="dxa"/>
              <w:bottom w:w="100" w:type="dxa"/>
              <w:left w:w="100" w:type="dxa"/>
              <w:right w:w="100" w:type="dxa"/>
            </w:tcMar>
          </w:tcPr>
          <w:p>
            <w:pPr>
              <w:spacing w:after="0"/>
            </w:pPr>
            <w:r>
              <w:rPr>
                <w:rFonts w:ascii="Arial" w:hAnsi="Arial"/>
                <w:b/>
                <w:color w:val="FFFFFF"/>
                <w:sz w:val="19"/>
              </w:rPr>
              <w:t>Domain Option</w:t>
            </w:r>
          </w:p>
        </w:tc>
        <w:tc>
          <w:tcPr>
            <w:tcW w:type="dxa" w:w="1872"/>
            <w:shd w:fill="1B365D"/>
            <w:tcMar>
              <w:top w:w="100" w:type="dxa"/>
              <w:bottom w:w="100" w:type="dxa"/>
              <w:left w:w="100" w:type="dxa"/>
              <w:right w:w="100" w:type="dxa"/>
            </w:tcMar>
          </w:tcPr>
          <w:p>
            <w:pPr>
              <w:spacing w:after="0"/>
            </w:pPr>
            <w:r>
              <w:rPr>
                <w:rFonts w:ascii="Arial" w:hAnsi="Arial"/>
                <w:b/>
                <w:color w:val="FFFFFF"/>
                <w:sz w:val="19"/>
              </w:rPr>
              <w:t>Architectural Complexity</w:t>
            </w:r>
          </w:p>
        </w:tc>
        <w:tc>
          <w:tcPr>
            <w:tcW w:type="dxa" w:w="1872"/>
            <w:shd w:fill="1B365D"/>
            <w:tcMar>
              <w:top w:w="100" w:type="dxa"/>
              <w:bottom w:w="100" w:type="dxa"/>
              <w:left w:w="100" w:type="dxa"/>
              <w:right w:w="100" w:type="dxa"/>
            </w:tcMar>
          </w:tcPr>
          <w:p>
            <w:pPr>
              <w:spacing w:after="0"/>
            </w:pPr>
            <w:r>
              <w:rPr>
                <w:rFonts w:ascii="Arial" w:hAnsi="Arial"/>
                <w:b/>
                <w:color w:val="FFFFFF"/>
                <w:sz w:val="19"/>
              </w:rPr>
              <w:t>Transactional Risk</w:t>
            </w:r>
          </w:p>
        </w:tc>
        <w:tc>
          <w:tcPr>
            <w:tcW w:type="dxa" w:w="1872"/>
            <w:shd w:fill="1B365D"/>
            <w:tcMar>
              <w:top w:w="100" w:type="dxa"/>
              <w:bottom w:w="100" w:type="dxa"/>
              <w:left w:w="100" w:type="dxa"/>
              <w:right w:w="100" w:type="dxa"/>
            </w:tcMar>
          </w:tcPr>
          <w:p>
            <w:pPr>
              <w:spacing w:after="0"/>
            </w:pPr>
            <w:r>
              <w:rPr>
                <w:rFonts w:ascii="Arial" w:hAnsi="Arial"/>
                <w:b/>
                <w:color w:val="FFFFFF"/>
                <w:sz w:val="19"/>
              </w:rPr>
              <w:t>Algorithmic Focus</w:t>
            </w:r>
          </w:p>
        </w:tc>
        <w:tc>
          <w:tcPr>
            <w:tcW w:type="dxa" w:w="1872"/>
            <w:shd w:fill="1B365D"/>
            <w:tcMar>
              <w:top w:w="100" w:type="dxa"/>
              <w:bottom w:w="100" w:type="dxa"/>
              <w:left w:w="100" w:type="dxa"/>
              <w:right w:w="100" w:type="dxa"/>
            </w:tcMar>
          </w:tcPr>
          <w:p>
            <w:pPr>
              <w:spacing w:after="0"/>
            </w:pPr>
            <w:r>
              <w:rPr>
                <w:rFonts w:ascii="Arial" w:hAnsi="Arial"/>
                <w:b/>
                <w:color w:val="FFFFFF"/>
                <w:sz w:val="19"/>
              </w:rPr>
              <w:t>AI Vulnerability</w:t>
            </w:r>
          </w:p>
        </w:tc>
      </w:tr>
      <w:tr>
        <w:tc>
          <w:tcPr>
            <w:tcW w:type="dxa" w:w="1872"/>
            <w:shd w:fill="F9FAFC"/>
            <w:tcMar>
              <w:top w:w="80" w:type="dxa"/>
              <w:bottom w:w="80" w:type="dxa"/>
              <w:left w:w="100" w:type="dxa"/>
              <w:right w:w="100" w:type="dxa"/>
            </w:tcMar>
          </w:tcPr>
          <w:p>
            <w:pPr>
              <w:spacing w:after="0"/>
            </w:pPr>
            <w:r>
              <w:rPr>
                <w:rFonts w:ascii="Calibri" w:hAnsi="Calibri"/>
                <w:b/>
                <w:sz w:val="18"/>
              </w:rPr>
              <w:t>A. Result System</w:t>
            </w:r>
          </w:p>
        </w:tc>
        <w:tc>
          <w:tcPr>
            <w:tcW w:type="dxa" w:w="1872"/>
            <w:shd w:fill="F9FAFC"/>
            <w:tcMar>
              <w:top w:w="80" w:type="dxa"/>
              <w:bottom w:w="80" w:type="dxa"/>
              <w:left w:w="100" w:type="dxa"/>
              <w:right w:w="100" w:type="dxa"/>
            </w:tcMar>
          </w:tcPr>
          <w:p>
            <w:pPr>
              <w:spacing w:after="0"/>
            </w:pPr>
            <w:r>
              <w:rPr>
                <w:rFonts w:ascii="Calibri" w:hAnsi="Calibri"/>
                <w:sz w:val="18"/>
              </w:rPr>
              <w:t>Medium</w:t>
            </w:r>
          </w:p>
        </w:tc>
        <w:tc>
          <w:tcPr>
            <w:tcW w:type="dxa" w:w="1872"/>
            <w:shd w:fill="F9FAFC"/>
            <w:tcMar>
              <w:top w:w="80" w:type="dxa"/>
              <w:bottom w:w="80" w:type="dxa"/>
              <w:left w:w="100" w:type="dxa"/>
              <w:right w:w="100" w:type="dxa"/>
            </w:tcMar>
          </w:tcPr>
          <w:p>
            <w:pPr>
              <w:spacing w:after="0"/>
            </w:pPr>
            <w:r>
              <w:rPr>
                <w:rFonts w:ascii="Calibri" w:hAnsi="Calibri"/>
                <w:sz w:val="18"/>
              </w:rPr>
              <w:t>Low (Mostly Reads/Writes)</w:t>
            </w:r>
          </w:p>
        </w:tc>
        <w:tc>
          <w:tcPr>
            <w:tcW w:type="dxa" w:w="1872"/>
            <w:shd w:fill="F9FAFC"/>
            <w:tcMar>
              <w:top w:w="80" w:type="dxa"/>
              <w:bottom w:w="80" w:type="dxa"/>
              <w:left w:w="100" w:type="dxa"/>
              <w:right w:w="100" w:type="dxa"/>
            </w:tcMar>
          </w:tcPr>
          <w:p>
            <w:pPr>
              <w:spacing w:after="0"/>
            </w:pPr>
            <w:r>
              <w:rPr>
                <w:rFonts w:ascii="Calibri" w:hAnsi="Calibri"/>
                <w:sz w:val="18"/>
              </w:rPr>
              <w:t>GPA sorting, weighted averages</w:t>
            </w:r>
          </w:p>
        </w:tc>
        <w:tc>
          <w:tcPr>
            <w:tcW w:type="dxa" w:w="1872"/>
            <w:shd w:fill="F9FAFC"/>
            <w:tcMar>
              <w:top w:w="80" w:type="dxa"/>
              <w:bottom w:w="80" w:type="dxa"/>
              <w:left w:w="100" w:type="dxa"/>
              <w:right w:w="100" w:type="dxa"/>
            </w:tcMar>
          </w:tcPr>
          <w:p>
            <w:pPr>
              <w:spacing w:after="0"/>
            </w:pPr>
            <w:r>
              <w:rPr>
                <w:rFonts w:ascii="Calibri" w:hAnsi="Calibri"/>
                <w:sz w:val="18"/>
              </w:rPr>
              <w:t>AI tends to mix grading logic into UI controllers.</w:t>
            </w:r>
          </w:p>
        </w:tc>
      </w:tr>
      <w:tr>
        <w:tc>
          <w:tcPr>
            <w:tcW w:type="dxa" w:w="1872"/>
            <w:shd w:fill="FFFFFF"/>
            <w:tcMar>
              <w:top w:w="80" w:type="dxa"/>
              <w:bottom w:w="80" w:type="dxa"/>
              <w:left w:w="100" w:type="dxa"/>
              <w:right w:w="100" w:type="dxa"/>
            </w:tcMar>
          </w:tcPr>
          <w:p>
            <w:pPr>
              <w:spacing w:after="0"/>
            </w:pPr>
            <w:r>
              <w:rPr>
                <w:rFonts w:ascii="Calibri" w:hAnsi="Calibri"/>
                <w:b/>
                <w:sz w:val="18"/>
              </w:rPr>
              <w:t>B. Clinic Records</w:t>
            </w:r>
          </w:p>
        </w:tc>
        <w:tc>
          <w:tcPr>
            <w:tcW w:type="dxa" w:w="1872"/>
            <w:shd w:fill="FFFFFF"/>
            <w:tcMar>
              <w:top w:w="80" w:type="dxa"/>
              <w:bottom w:w="80" w:type="dxa"/>
              <w:left w:w="100" w:type="dxa"/>
              <w:right w:w="100" w:type="dxa"/>
            </w:tcMar>
          </w:tcPr>
          <w:p>
            <w:pPr>
              <w:spacing w:after="0"/>
            </w:pPr>
            <w:r>
              <w:rPr>
                <w:rFonts w:ascii="Calibri" w:hAnsi="Calibri"/>
                <w:sz w:val="18"/>
              </w:rPr>
              <w:t>Medium-High</w:t>
            </w:r>
          </w:p>
        </w:tc>
        <w:tc>
          <w:tcPr>
            <w:tcW w:type="dxa" w:w="1872"/>
            <w:shd w:fill="FFFFFF"/>
            <w:tcMar>
              <w:top w:w="80" w:type="dxa"/>
              <w:bottom w:w="80" w:type="dxa"/>
              <w:left w:w="100" w:type="dxa"/>
              <w:right w:w="100" w:type="dxa"/>
            </w:tcMar>
          </w:tcPr>
          <w:p>
            <w:pPr>
              <w:spacing w:after="0"/>
            </w:pPr>
            <w:r>
              <w:rPr>
                <w:rFonts w:ascii="Calibri" w:hAnsi="Calibri"/>
                <w:sz w:val="18"/>
              </w:rPr>
              <w:t>Medium (Appointments)</w:t>
            </w:r>
          </w:p>
        </w:tc>
        <w:tc>
          <w:tcPr>
            <w:tcW w:type="dxa" w:w="1872"/>
            <w:shd w:fill="FFFFFF"/>
            <w:tcMar>
              <w:top w:w="80" w:type="dxa"/>
              <w:bottom w:w="80" w:type="dxa"/>
              <w:left w:w="100" w:type="dxa"/>
              <w:right w:w="100" w:type="dxa"/>
            </w:tcMar>
          </w:tcPr>
          <w:p>
            <w:pPr>
              <w:spacing w:after="0"/>
            </w:pPr>
            <w:r>
              <w:rPr>
                <w:rFonts w:ascii="Calibri" w:hAnsi="Calibri"/>
                <w:sz w:val="18"/>
              </w:rPr>
              <w:t>Temporal search, schedule overlap</w:t>
            </w:r>
          </w:p>
        </w:tc>
        <w:tc>
          <w:tcPr>
            <w:tcW w:type="dxa" w:w="1872"/>
            <w:shd w:fill="FFFFFF"/>
            <w:tcMar>
              <w:top w:w="80" w:type="dxa"/>
              <w:bottom w:w="80" w:type="dxa"/>
              <w:left w:w="100" w:type="dxa"/>
              <w:right w:w="100" w:type="dxa"/>
            </w:tcMar>
          </w:tcPr>
          <w:p>
            <w:pPr>
              <w:spacing w:after="0"/>
            </w:pPr>
            <w:r>
              <w:rPr>
                <w:rFonts w:ascii="Calibri" w:hAnsi="Calibri"/>
                <w:sz w:val="18"/>
              </w:rPr>
              <w:t>AI struggles with robust date-time overlap checks.</w:t>
            </w:r>
          </w:p>
        </w:tc>
      </w:tr>
      <w:tr>
        <w:tc>
          <w:tcPr>
            <w:tcW w:type="dxa" w:w="1872"/>
            <w:shd w:fill="F9FAFC"/>
            <w:tcMar>
              <w:top w:w="80" w:type="dxa"/>
              <w:bottom w:w="80" w:type="dxa"/>
              <w:left w:w="100" w:type="dxa"/>
              <w:right w:w="100" w:type="dxa"/>
            </w:tcMar>
          </w:tcPr>
          <w:p>
            <w:pPr>
              <w:spacing w:after="0"/>
            </w:pPr>
            <w:r>
              <w:rPr>
                <w:rFonts w:ascii="Calibri" w:hAnsi="Calibri"/>
                <w:b/>
                <w:sz w:val="18"/>
              </w:rPr>
              <w:t>C. Campus Library</w:t>
            </w:r>
          </w:p>
        </w:tc>
        <w:tc>
          <w:tcPr>
            <w:tcW w:type="dxa" w:w="1872"/>
            <w:shd w:fill="F9FAFC"/>
            <w:tcMar>
              <w:top w:w="80" w:type="dxa"/>
              <w:bottom w:w="80" w:type="dxa"/>
              <w:left w:w="100" w:type="dxa"/>
              <w:right w:w="100" w:type="dxa"/>
            </w:tcMar>
          </w:tcPr>
          <w:p>
            <w:pPr>
              <w:spacing w:after="0"/>
            </w:pPr>
            <w:r>
              <w:rPr>
                <w:rFonts w:ascii="Calibri" w:hAnsi="Calibri"/>
                <w:sz w:val="18"/>
              </w:rPr>
              <w:t>Medium</w:t>
            </w:r>
          </w:p>
        </w:tc>
        <w:tc>
          <w:tcPr>
            <w:tcW w:type="dxa" w:w="1872"/>
            <w:shd w:fill="F9FAFC"/>
            <w:tcMar>
              <w:top w:w="80" w:type="dxa"/>
              <w:bottom w:w="80" w:type="dxa"/>
              <w:left w:w="100" w:type="dxa"/>
              <w:right w:w="100" w:type="dxa"/>
            </w:tcMar>
          </w:tcPr>
          <w:p>
            <w:pPr>
              <w:spacing w:after="0"/>
            </w:pPr>
            <w:r>
              <w:rPr>
                <w:rFonts w:ascii="Calibri" w:hAnsi="Calibri"/>
                <w:sz w:val="18"/>
              </w:rPr>
              <w:t>Medium-High (Loans/Fines)</w:t>
            </w:r>
          </w:p>
        </w:tc>
        <w:tc>
          <w:tcPr>
            <w:tcW w:type="dxa" w:w="1872"/>
            <w:shd w:fill="F9FAFC"/>
            <w:tcMar>
              <w:top w:w="80" w:type="dxa"/>
              <w:bottom w:w="80" w:type="dxa"/>
              <w:left w:w="100" w:type="dxa"/>
              <w:right w:w="100" w:type="dxa"/>
            </w:tcMar>
          </w:tcPr>
          <w:p>
            <w:pPr>
              <w:spacing w:after="0"/>
            </w:pPr>
            <w:r>
              <w:rPr>
                <w:rFonts w:ascii="Calibri" w:hAnsi="Calibri"/>
                <w:sz w:val="18"/>
              </w:rPr>
              <w:t>Fine formulas, availability state</w:t>
            </w:r>
          </w:p>
        </w:tc>
        <w:tc>
          <w:tcPr>
            <w:tcW w:type="dxa" w:w="1872"/>
            <w:shd w:fill="F9FAFC"/>
            <w:tcMar>
              <w:top w:w="80" w:type="dxa"/>
              <w:bottom w:w="80" w:type="dxa"/>
              <w:left w:w="100" w:type="dxa"/>
              <w:right w:w="100" w:type="dxa"/>
            </w:tcMar>
          </w:tcPr>
          <w:p>
            <w:pPr>
              <w:spacing w:after="0"/>
            </w:pPr>
            <w:r>
              <w:rPr>
                <w:rFonts w:ascii="Calibri" w:hAnsi="Calibri"/>
                <w:sz w:val="18"/>
              </w:rPr>
              <w:t>AI omits status update rollbacks on item return.</w:t>
            </w:r>
          </w:p>
        </w:tc>
      </w:tr>
      <w:tr>
        <w:tc>
          <w:tcPr>
            <w:tcW w:type="dxa" w:w="1872"/>
            <w:shd w:fill="FFFFFF"/>
            <w:tcMar>
              <w:top w:w="80" w:type="dxa"/>
              <w:bottom w:w="80" w:type="dxa"/>
              <w:left w:w="100" w:type="dxa"/>
              <w:right w:w="100" w:type="dxa"/>
            </w:tcMar>
          </w:tcPr>
          <w:p>
            <w:pPr>
              <w:spacing w:after="0"/>
            </w:pPr>
            <w:r>
              <w:rPr>
                <w:rFonts w:ascii="Calibri" w:hAnsi="Calibri"/>
                <w:b/>
                <w:sz w:val="18"/>
              </w:rPr>
              <w:t>D. Small Business POS</w:t>
            </w:r>
          </w:p>
        </w:tc>
        <w:tc>
          <w:tcPr>
            <w:tcW w:type="dxa" w:w="1872"/>
            <w:shd w:fill="FFFFFF"/>
            <w:tcMar>
              <w:top w:w="80" w:type="dxa"/>
              <w:bottom w:w="80" w:type="dxa"/>
              <w:left w:w="100" w:type="dxa"/>
              <w:right w:w="100" w:type="dxa"/>
            </w:tcMar>
          </w:tcPr>
          <w:p>
            <w:pPr>
              <w:spacing w:after="0"/>
            </w:pPr>
            <w:r>
              <w:rPr>
                <w:rFonts w:ascii="Calibri" w:hAnsi="Calibri"/>
                <w:sz w:val="18"/>
              </w:rPr>
              <w:t>Medium</w:t>
            </w:r>
          </w:p>
        </w:tc>
        <w:tc>
          <w:tcPr>
            <w:tcW w:type="dxa" w:w="1872"/>
            <w:shd w:fill="FFFFFF"/>
            <w:tcMar>
              <w:top w:w="80" w:type="dxa"/>
              <w:bottom w:w="80" w:type="dxa"/>
              <w:left w:w="100" w:type="dxa"/>
              <w:right w:w="100" w:type="dxa"/>
            </w:tcMar>
          </w:tcPr>
          <w:p>
            <w:pPr>
              <w:spacing w:after="0"/>
            </w:pPr>
            <w:r>
              <w:rPr>
                <w:rFonts w:ascii="Calibri" w:hAnsi="Calibri"/>
                <w:sz w:val="18"/>
              </w:rPr>
              <w:t>High (Multi-item Stock)</w:t>
            </w:r>
          </w:p>
        </w:tc>
        <w:tc>
          <w:tcPr>
            <w:tcW w:type="dxa" w:w="1872"/>
            <w:shd w:fill="FFFFFF"/>
            <w:tcMar>
              <w:top w:w="80" w:type="dxa"/>
              <w:bottom w:w="80" w:type="dxa"/>
              <w:left w:w="100" w:type="dxa"/>
              <w:right w:w="100" w:type="dxa"/>
            </w:tcMar>
          </w:tcPr>
          <w:p>
            <w:pPr>
              <w:spacing w:after="0"/>
            </w:pPr>
            <w:r>
              <w:rPr>
                <w:rFonts w:ascii="Calibri" w:hAnsi="Calibri"/>
                <w:sz w:val="18"/>
              </w:rPr>
              <w:t>Stock decrement, daily takings</w:t>
            </w:r>
          </w:p>
        </w:tc>
        <w:tc>
          <w:tcPr>
            <w:tcW w:type="dxa" w:w="1872"/>
            <w:shd w:fill="FFFFFF"/>
            <w:tcMar>
              <w:top w:w="80" w:type="dxa"/>
              <w:bottom w:w="80" w:type="dxa"/>
              <w:left w:w="100" w:type="dxa"/>
              <w:right w:w="100" w:type="dxa"/>
            </w:tcMar>
          </w:tcPr>
          <w:p>
            <w:pPr>
              <w:spacing w:after="0"/>
            </w:pPr>
            <w:r>
              <w:rPr>
                <w:rFonts w:ascii="Calibri" w:hAnsi="Calibri"/>
                <w:sz w:val="18"/>
              </w:rPr>
              <w:t>AI often omits atomic batch transactions (`commit/rollback`).</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0" w:after="40"/>
            </w:pPr>
            <w:r>
              <w:rPr>
                <w:rFonts w:ascii="Arial" w:hAnsi="Arial"/>
                <w:b/>
                <w:color w:val="1B365D"/>
                <w:sz w:val="21"/>
              </w:rPr>
              <w:t>KEY STRATEGIC INSIGHT: STRATEGIC DOMAIN SELECTION RECOMMENDATION</w:t>
              <w:br/>
            </w:r>
            <w:r>
              <w:rPr>
                <w:rFonts w:ascii="Calibri" w:hAnsi="Calibri"/>
                <w:color w:val="262626"/>
                <w:sz w:val="21"/>
              </w:rPr>
              <w:t>For teams seeking the cleanest isolation of mandatory multi-write transactions, Option D (POS) or Option C (Library) are optimal. POS requires an atomic transaction spanning 'Sales Record Creation' and 'Inventory Stock Decrement', directly fulfilling Section 5's transaction rule. For teams focused on algorithmic complexity and data manipulation, Option A provides straightforward sorting and math logic.</w:t>
            </w:r>
          </w:p>
        </w:tc>
      </w:tr>
    </w:tbl>
    <w:p>
      <w:pPr>
        <w:spacing w:after="80"/>
      </w:pPr>
    </w:p>
    <w:p>
      <w:pPr>
        <w:keepNext/>
        <w:spacing w:before="320" w:after="120"/>
      </w:pPr>
      <w:r>
        <w:rPr>
          <w:rFonts w:ascii="Arial" w:hAnsi="Arial"/>
          <w:b/>
          <w:color w:val="1B365D"/>
          <w:sz w:val="32"/>
        </w:rPr>
        <w:t>4. Team Structure, Role Allocation &amp; Responsibility Architecture</w:t>
      </w:r>
    </w:p>
    <w:p>
      <w:pPr>
        <w:spacing w:before="0" w:after="80" w:line="276" w:lineRule="auto"/>
      </w:pPr>
      <w:r>
        <w:rPr>
          <w:rFonts w:ascii="Calibri" w:hAnsi="Calibri"/>
          <w:i w:val="0"/>
          <w:color w:val="262626"/>
          <w:sz w:val="22"/>
        </w:rPr>
        <w:t>The project mandates teams of three, where each member takes end-to-end ownership of one technical layer while sharing responsibility for team-wide artefacts:</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2340"/>
        <w:gridCol w:w="2340"/>
        <w:gridCol w:w="2340"/>
        <w:gridCol w:w="2340"/>
      </w:tblGrid>
      <w:tr>
        <w:tc>
          <w:tcPr>
            <w:tcW w:type="dxa" w:w="2340"/>
            <w:shd w:fill="1B365D"/>
            <w:tcMar>
              <w:top w:w="100" w:type="dxa"/>
              <w:bottom w:w="100" w:type="dxa"/>
              <w:left w:w="100" w:type="dxa"/>
              <w:right w:w="100" w:type="dxa"/>
            </w:tcMar>
          </w:tcPr>
          <w:p>
            <w:pPr>
              <w:spacing w:after="0"/>
            </w:pPr>
            <w:r>
              <w:rPr>
                <w:rFonts w:ascii="Arial" w:hAnsi="Arial"/>
                <w:b/>
                <w:color w:val="FFFFFF"/>
                <w:sz w:val="19"/>
              </w:rPr>
              <w:t>Role Title</w:t>
            </w:r>
          </w:p>
        </w:tc>
        <w:tc>
          <w:tcPr>
            <w:tcW w:type="dxa" w:w="2340"/>
            <w:shd w:fill="1B365D"/>
            <w:tcMar>
              <w:top w:w="100" w:type="dxa"/>
              <w:bottom w:w="100" w:type="dxa"/>
              <w:left w:w="100" w:type="dxa"/>
              <w:right w:w="100" w:type="dxa"/>
            </w:tcMar>
          </w:tcPr>
          <w:p>
            <w:pPr>
              <w:spacing w:after="0"/>
            </w:pPr>
            <w:r>
              <w:rPr>
                <w:rFonts w:ascii="Arial" w:hAnsi="Arial"/>
                <w:b/>
                <w:color w:val="FFFFFF"/>
                <w:sz w:val="19"/>
              </w:rPr>
              <w:t>Course Track</w:t>
            </w:r>
          </w:p>
        </w:tc>
        <w:tc>
          <w:tcPr>
            <w:tcW w:type="dxa" w:w="2340"/>
            <w:shd w:fill="1B365D"/>
            <w:tcMar>
              <w:top w:w="100" w:type="dxa"/>
              <w:bottom w:w="100" w:type="dxa"/>
              <w:left w:w="100" w:type="dxa"/>
              <w:right w:w="100" w:type="dxa"/>
            </w:tcMar>
          </w:tcPr>
          <w:p>
            <w:pPr>
              <w:spacing w:after="0"/>
            </w:pPr>
            <w:r>
              <w:rPr>
                <w:rFonts w:ascii="Arial" w:hAnsi="Arial"/>
                <w:b/>
                <w:color w:val="FFFFFF"/>
                <w:sz w:val="19"/>
              </w:rPr>
              <w:t>Primary Ownership &amp; Package</w:t>
            </w:r>
          </w:p>
        </w:tc>
        <w:tc>
          <w:tcPr>
            <w:tcW w:type="dxa" w:w="2340"/>
            <w:shd w:fill="1B365D"/>
            <w:tcMar>
              <w:top w:w="100" w:type="dxa"/>
              <w:bottom w:w="100" w:type="dxa"/>
              <w:left w:w="100" w:type="dxa"/>
              <w:right w:w="100" w:type="dxa"/>
            </w:tcMar>
          </w:tcPr>
          <w:p>
            <w:pPr>
              <w:spacing w:after="0"/>
            </w:pPr>
            <w:r>
              <w:rPr>
                <w:rFonts w:ascii="Arial" w:hAnsi="Arial"/>
                <w:b/>
                <w:color w:val="FFFFFF"/>
                <w:sz w:val="19"/>
              </w:rPr>
              <w:t>Critical Technical Focus</w:t>
            </w:r>
          </w:p>
        </w:tc>
      </w:tr>
      <w:tr>
        <w:tc>
          <w:tcPr>
            <w:tcW w:type="dxa" w:w="2340"/>
            <w:shd w:fill="F9FAFC"/>
            <w:tcMar>
              <w:top w:w="80" w:type="dxa"/>
              <w:bottom w:w="80" w:type="dxa"/>
              <w:left w:w="100" w:type="dxa"/>
              <w:right w:w="100" w:type="dxa"/>
            </w:tcMar>
          </w:tcPr>
          <w:p>
            <w:pPr>
              <w:spacing w:after="0"/>
            </w:pPr>
            <w:r>
              <w:rPr>
                <w:rFonts w:ascii="Calibri" w:hAnsi="Calibri"/>
                <w:b/>
                <w:sz w:val="18"/>
              </w:rPr>
              <w:t>Frontend Lead</w:t>
            </w:r>
          </w:p>
        </w:tc>
        <w:tc>
          <w:tcPr>
            <w:tcW w:type="dxa" w:w="2340"/>
            <w:shd w:fill="F9FAFC"/>
            <w:tcMar>
              <w:top w:w="80" w:type="dxa"/>
              <w:bottom w:w="80" w:type="dxa"/>
              <w:left w:w="100" w:type="dxa"/>
              <w:right w:w="100" w:type="dxa"/>
            </w:tcMar>
          </w:tcPr>
          <w:p>
            <w:pPr>
              <w:spacing w:after="0"/>
            </w:pPr>
            <w:r>
              <w:rPr>
                <w:rFonts w:ascii="Calibri" w:hAnsi="Calibri"/>
                <w:sz w:val="18"/>
              </w:rPr>
              <w:t>Track A: UI/UX</w:t>
            </w:r>
          </w:p>
        </w:tc>
        <w:tc>
          <w:tcPr>
            <w:tcW w:type="dxa" w:w="2340"/>
            <w:shd w:fill="F9FAFC"/>
            <w:tcMar>
              <w:top w:w="80" w:type="dxa"/>
              <w:bottom w:w="80" w:type="dxa"/>
              <w:left w:w="100" w:type="dxa"/>
              <w:right w:w="100" w:type="dxa"/>
            </w:tcMar>
          </w:tcPr>
          <w:p>
            <w:pPr>
              <w:spacing w:after="0"/>
            </w:pPr>
            <w:r>
              <w:rPr>
                <w:rFonts w:ascii="Calibri" w:hAnsi="Calibri"/>
                <w:sz w:val="18"/>
              </w:rPr>
              <w:t>Package: `app.ui`</w:t>
              <w:br/>
              <w:t>JavaFX Views, FXML, CSS</w:t>
            </w:r>
          </w:p>
        </w:tc>
        <w:tc>
          <w:tcPr>
            <w:tcW w:type="dxa" w:w="2340"/>
            <w:shd w:fill="F9FAFC"/>
            <w:tcMar>
              <w:top w:w="80" w:type="dxa"/>
              <w:bottom w:w="80" w:type="dxa"/>
              <w:left w:w="100" w:type="dxa"/>
              <w:right w:w="100" w:type="dxa"/>
            </w:tcMar>
          </w:tcPr>
          <w:p>
            <w:pPr>
              <w:spacing w:after="0"/>
            </w:pPr>
            <w:r>
              <w:rPr>
                <w:rFonts w:ascii="Calibri" w:hAnsi="Calibri"/>
                <w:sz w:val="18"/>
              </w:rPr>
              <w:t>Screen layouts, FXML binding, client input validation, feedback dialogs, ZERO business/SQL logic in controllers.</w:t>
            </w:r>
          </w:p>
        </w:tc>
      </w:tr>
      <w:tr>
        <w:tc>
          <w:tcPr>
            <w:tcW w:type="dxa" w:w="2340"/>
            <w:shd w:fill="FFFFFF"/>
            <w:tcMar>
              <w:top w:w="80" w:type="dxa"/>
              <w:bottom w:w="80" w:type="dxa"/>
              <w:left w:w="100" w:type="dxa"/>
              <w:right w:w="100" w:type="dxa"/>
            </w:tcMar>
          </w:tcPr>
          <w:p>
            <w:pPr>
              <w:spacing w:after="0"/>
            </w:pPr>
            <w:r>
              <w:rPr>
                <w:rFonts w:ascii="Calibri" w:hAnsi="Calibri"/>
                <w:b/>
                <w:sz w:val="18"/>
              </w:rPr>
              <w:t>Logic Lead</w:t>
            </w:r>
          </w:p>
        </w:tc>
        <w:tc>
          <w:tcPr>
            <w:tcW w:type="dxa" w:w="2340"/>
            <w:shd w:fill="FFFFFF"/>
            <w:tcMar>
              <w:top w:w="80" w:type="dxa"/>
              <w:bottom w:w="80" w:type="dxa"/>
              <w:left w:w="100" w:type="dxa"/>
              <w:right w:w="100" w:type="dxa"/>
            </w:tcMar>
          </w:tcPr>
          <w:p>
            <w:pPr>
              <w:spacing w:after="0"/>
            </w:pPr>
            <w:r>
              <w:rPr>
                <w:rFonts w:ascii="Calibri" w:hAnsi="Calibri"/>
                <w:sz w:val="18"/>
              </w:rPr>
              <w:t>Track B: Algorithms</w:t>
            </w:r>
          </w:p>
        </w:tc>
        <w:tc>
          <w:tcPr>
            <w:tcW w:type="dxa" w:w="2340"/>
            <w:shd w:fill="FFFFFF"/>
            <w:tcMar>
              <w:top w:w="80" w:type="dxa"/>
              <w:bottom w:w="80" w:type="dxa"/>
              <w:left w:w="100" w:type="dxa"/>
              <w:right w:w="100" w:type="dxa"/>
            </w:tcMar>
          </w:tcPr>
          <w:p>
            <w:pPr>
              <w:spacing w:after="0"/>
            </w:pPr>
            <w:r>
              <w:rPr>
                <w:rFonts w:ascii="Calibri" w:hAnsi="Calibri"/>
                <w:sz w:val="18"/>
              </w:rPr>
              <w:t>Package: `app.service`</w:t>
              <w:br/>
              <w:t>Service Layer &amp; Rules</w:t>
            </w:r>
          </w:p>
        </w:tc>
        <w:tc>
          <w:tcPr>
            <w:tcW w:type="dxa" w:w="2340"/>
            <w:shd w:fill="FFFFFF"/>
            <w:tcMar>
              <w:top w:w="80" w:type="dxa"/>
              <w:bottom w:w="80" w:type="dxa"/>
              <w:left w:w="100" w:type="dxa"/>
              <w:right w:w="100" w:type="dxa"/>
            </w:tcMar>
          </w:tcPr>
          <w:p>
            <w:pPr>
              <w:spacing w:after="0"/>
            </w:pPr>
            <w:r>
              <w:rPr>
                <w:rFonts w:ascii="Calibri" w:hAnsi="Calibri"/>
                <w:sz w:val="18"/>
              </w:rPr>
              <w:t>Domain logic execution, data structure selection, algorithmic complexity analysis (Big-O), JUnit 5 unit tests.</w:t>
            </w:r>
          </w:p>
        </w:tc>
      </w:tr>
      <w:tr>
        <w:tc>
          <w:tcPr>
            <w:tcW w:type="dxa" w:w="2340"/>
            <w:shd w:fill="F9FAFC"/>
            <w:tcMar>
              <w:top w:w="80" w:type="dxa"/>
              <w:bottom w:w="80" w:type="dxa"/>
              <w:left w:w="100" w:type="dxa"/>
              <w:right w:w="100" w:type="dxa"/>
            </w:tcMar>
          </w:tcPr>
          <w:p>
            <w:pPr>
              <w:spacing w:after="0"/>
            </w:pPr>
            <w:r>
              <w:rPr>
                <w:rFonts w:ascii="Calibri" w:hAnsi="Calibri"/>
                <w:b/>
                <w:sz w:val="18"/>
              </w:rPr>
              <w:t>Backend Lead</w:t>
            </w:r>
          </w:p>
        </w:tc>
        <w:tc>
          <w:tcPr>
            <w:tcW w:type="dxa" w:w="2340"/>
            <w:shd w:fill="F9FAFC"/>
            <w:tcMar>
              <w:top w:w="80" w:type="dxa"/>
              <w:bottom w:w="80" w:type="dxa"/>
              <w:left w:w="100" w:type="dxa"/>
              <w:right w:w="100" w:type="dxa"/>
            </w:tcMar>
          </w:tcPr>
          <w:p>
            <w:pPr>
              <w:spacing w:after="0"/>
            </w:pPr>
            <w:r>
              <w:rPr>
                <w:rFonts w:ascii="Calibri" w:hAnsi="Calibri"/>
                <w:sz w:val="18"/>
              </w:rPr>
              <w:t>Track C: Data Access</w:t>
            </w:r>
          </w:p>
        </w:tc>
        <w:tc>
          <w:tcPr>
            <w:tcW w:type="dxa" w:w="2340"/>
            <w:shd w:fill="F9FAFC"/>
            <w:tcMar>
              <w:top w:w="80" w:type="dxa"/>
              <w:bottom w:w="80" w:type="dxa"/>
              <w:left w:w="100" w:type="dxa"/>
              <w:right w:w="100" w:type="dxa"/>
            </w:tcMar>
          </w:tcPr>
          <w:p>
            <w:pPr>
              <w:spacing w:after="0"/>
            </w:pPr>
            <w:r>
              <w:rPr>
                <w:rFonts w:ascii="Calibri" w:hAnsi="Calibri"/>
                <w:sz w:val="18"/>
              </w:rPr>
              <w:t>Package: `app.dao` &amp; `db/`</w:t>
              <w:br/>
              <w:t>Schema &amp; DAO Layer</w:t>
            </w:r>
          </w:p>
        </w:tc>
        <w:tc>
          <w:tcPr>
            <w:tcW w:type="dxa" w:w="2340"/>
            <w:shd w:fill="F9FAFC"/>
            <w:tcMar>
              <w:top w:w="80" w:type="dxa"/>
              <w:bottom w:w="80" w:type="dxa"/>
              <w:left w:w="100" w:type="dxa"/>
              <w:right w:w="100" w:type="dxa"/>
            </w:tcMar>
          </w:tcPr>
          <w:p>
            <w:pPr>
              <w:spacing w:after="0"/>
            </w:pPr>
            <w:r>
              <w:rPr>
                <w:rFonts w:ascii="Calibri" w:hAnsi="Calibri"/>
                <w:sz w:val="18"/>
              </w:rPr>
              <w:t>3NF Relational DB schema, JDBC PreparedStatement execution, atomic transactions (`setAutoCommit(false)`), connection pooling.</w:t>
            </w:r>
          </w:p>
        </w:tc>
      </w:tr>
    </w:tbl>
    <w:p>
      <w:pPr>
        <w:spacing w:after="120"/>
      </w:pPr>
    </w:p>
    <w:p>
      <w:pPr>
        <w:keepNext/>
        <w:spacing w:before="240" w:after="80"/>
      </w:pPr>
      <w:r>
        <w:rPr>
          <w:rFonts w:ascii="Arial" w:hAnsi="Arial"/>
          <w:b/>
          <w:color w:val="2E75B6"/>
          <w:sz w:val="26"/>
        </w:rPr>
        <w:t>Shared Team Responsibilities</w:t>
      </w:r>
    </w:p>
    <w:p>
      <w:pPr>
        <w:pStyle w:val="ListBullet"/>
        <w:spacing w:before="0" w:after="60" w:line="276" w:lineRule="auto"/>
      </w:pPr>
      <w:r>
        <w:rPr>
          <w:rFonts w:ascii="Calibri" w:hAnsi="Calibri"/>
          <w:b/>
          <w:color w:val="262626"/>
          <w:sz w:val="22"/>
        </w:rPr>
        <w:t xml:space="preserve">1. Core Documentation: </w:t>
      </w:r>
      <w:r>
        <w:rPr>
          <w:rFonts w:ascii="Calibri" w:hAnsi="Calibri"/>
          <w:color w:val="262626"/>
          <w:sz w:val="22"/>
        </w:rPr>
        <w:t>Software Requirements Specification (SRS) &amp; System Design Document.</w:t>
      </w:r>
    </w:p>
    <w:p>
      <w:pPr>
        <w:pStyle w:val="ListBullet"/>
        <w:spacing w:before="0" w:after="60" w:line="276" w:lineRule="auto"/>
      </w:pPr>
      <w:r>
        <w:rPr>
          <w:rFonts w:ascii="Calibri" w:hAnsi="Calibri"/>
          <w:b/>
          <w:color w:val="262626"/>
          <w:sz w:val="22"/>
        </w:rPr>
        <w:t xml:space="preserve">2. Quality Assurance: </w:t>
      </w:r>
      <w:r>
        <w:rPr>
          <w:rFonts w:ascii="Calibri" w:hAnsi="Calibri"/>
          <w:color w:val="262626"/>
          <w:sz w:val="22"/>
        </w:rPr>
        <w:t>Comprehensive JUnit 5 Test Suite and Manual UI Test Scripts.</w:t>
      </w:r>
    </w:p>
    <w:p>
      <w:pPr>
        <w:pStyle w:val="ListBullet"/>
        <w:spacing w:before="0" w:after="60" w:line="276" w:lineRule="auto"/>
      </w:pPr>
      <w:r>
        <w:rPr>
          <w:rFonts w:ascii="Calibri" w:hAnsi="Calibri"/>
          <w:b/>
          <w:color w:val="262626"/>
          <w:sz w:val="22"/>
        </w:rPr>
        <w:t xml:space="preserve">3. AI Governance: </w:t>
      </w:r>
      <w:r>
        <w:rPr>
          <w:rFonts w:ascii="Calibri" w:hAnsi="Calibri"/>
          <w:color w:val="262626"/>
          <w:sz w:val="22"/>
        </w:rPr>
        <w:t>Mandatory AI Interaction Log with at least 15 substantive, verified entries.</w:t>
      </w:r>
    </w:p>
    <w:p>
      <w:pPr>
        <w:pStyle w:val="ListBullet"/>
        <w:spacing w:before="0" w:after="60" w:line="276" w:lineRule="auto"/>
      </w:pPr>
      <w:r>
        <w:rPr>
          <w:rFonts w:ascii="Calibri" w:hAnsi="Calibri"/>
          <w:b/>
          <w:color w:val="262626"/>
          <w:sz w:val="22"/>
        </w:rPr>
        <w:t xml:space="preserve">4. Handover &amp; Defense: </w:t>
      </w:r>
      <w:r>
        <w:rPr>
          <w:rFonts w:ascii="Calibri" w:hAnsi="Calibri"/>
          <w:color w:val="262626"/>
          <w:sz w:val="22"/>
        </w:rPr>
        <w:t>10-minute live demonstration and individual viva defense.</w:t>
      </w:r>
    </w:p>
    <w:p>
      <w:pPr>
        <w:keepNext/>
        <w:spacing w:before="320" w:after="120"/>
      </w:pPr>
      <w:r>
        <w:rPr>
          <w:rFonts w:ascii="Arial" w:hAnsi="Arial"/>
          <w:b/>
          <w:color w:val="1B365D"/>
          <w:sz w:val="32"/>
        </w:rPr>
        <w:t>5. Technical Constraints &amp; Architectural Compliance Engine</w:t>
      </w:r>
    </w:p>
    <w:p>
      <w:pPr>
        <w:spacing w:before="0" w:after="80" w:line="276" w:lineRule="auto"/>
      </w:pPr>
      <w:r>
        <w:rPr>
          <w:rFonts w:ascii="Calibri" w:hAnsi="Calibri"/>
          <w:i w:val="0"/>
          <w:color w:val="262626"/>
          <w:sz w:val="22"/>
        </w:rPr>
        <w:t>Section 5 of the specification dictates strict technical constraints. Non-compliance results in immediate mark deductions:</w:t>
      </w:r>
    </w:p>
    <w:p>
      <w:pPr>
        <w:keepNext/>
        <w:spacing w:before="240" w:after="80"/>
      </w:pPr>
      <w:r>
        <w:rPr>
          <w:rFonts w:ascii="Arial" w:hAnsi="Arial"/>
          <w:b/>
          <w:color w:val="2E75B6"/>
          <w:sz w:val="26"/>
        </w:rPr>
        <w:t>The Zero-Violation Controller Rule</w:t>
      </w:r>
    </w:p>
    <w:p>
      <w:pPr>
        <w:spacing w:before="0" w:after="80" w:line="276" w:lineRule="auto"/>
      </w:pPr>
      <w:r>
        <w:rPr>
          <w:rFonts w:ascii="Calibri" w:hAnsi="Calibri"/>
          <w:i w:val="0"/>
          <w:color w:val="262626"/>
          <w:sz w:val="22"/>
        </w:rPr>
        <w:t>JavaFX Controllers (`app.ui`) must strictly adhere to the View-Adapter pattern. Under NO circumstances should a controller contain:</w:t>
      </w:r>
    </w:p>
    <w:p>
      <w:pPr>
        <w:pStyle w:val="ListBullet"/>
        <w:spacing w:before="0" w:after="60" w:line="276" w:lineRule="auto"/>
      </w:pPr>
      <w:r>
        <w:rPr>
          <w:rFonts w:ascii="Calibri" w:hAnsi="Calibri"/>
          <w:color w:val="262626"/>
          <w:sz w:val="22"/>
        </w:rPr>
        <w:t>Direct SQL statements or JDBC references (forfeits Backend marks).</w:t>
      </w:r>
    </w:p>
    <w:p>
      <w:pPr>
        <w:pStyle w:val="ListBullet"/>
        <w:spacing w:before="0" w:after="60" w:line="276" w:lineRule="auto"/>
      </w:pPr>
      <w:r>
        <w:rPr>
          <w:rFonts w:ascii="Calibri" w:hAnsi="Calibri"/>
          <w:color w:val="262626"/>
          <w:sz w:val="22"/>
        </w:rPr>
        <w:t>Arithmetic computations (e.g., GPA calculation, tax rate multiplication, fine accumulation).</w:t>
      </w:r>
    </w:p>
    <w:p>
      <w:pPr>
        <w:pStyle w:val="ListBullet"/>
        <w:spacing w:before="0" w:after="60" w:line="276" w:lineRule="auto"/>
      </w:pPr>
      <w:r>
        <w:rPr>
          <w:rFonts w:ascii="Calibri" w:hAnsi="Calibri"/>
          <w:color w:val="262626"/>
          <w:sz w:val="22"/>
        </w:rPr>
        <w:t>Business validation rules (e.g., checking stock availability or checking student eligibility).</w:t>
      </w:r>
    </w:p>
    <w:p>
      <w:pPr>
        <w:spacing w:before="0" w:after="80" w:line="276" w:lineRule="auto"/>
      </w:pPr>
      <w:r>
        <w:rPr>
          <w:rFonts w:ascii="Calibri" w:hAnsi="Calibri"/>
          <w:i w:val="0"/>
          <w:color w:val="262626"/>
          <w:sz w:val="22"/>
        </w:rPr>
        <w:t>Correct Flow: Controller captures text input -&gt; Performs basic format check (e.g., non-empty) -&gt; Calls Service Method -&gt; Receives Domain Model / Result -&gt; Updates UI controls.</w:t>
      </w:r>
    </w:p>
    <w:p>
      <w:pPr>
        <w:keepNext/>
        <w:spacing w:before="240" w:after="80"/>
      </w:pPr>
      <w:r>
        <w:rPr>
          <w:rFonts w:ascii="Arial" w:hAnsi="Arial"/>
          <w:b/>
          <w:color w:val="2E75B6"/>
          <w:sz w:val="26"/>
        </w:rPr>
        <w:t>JDBC Parameterization &amp; Security Rules</w:t>
      </w:r>
    </w:p>
    <w:p>
      <w:pPr>
        <w:spacing w:before="0" w:after="80" w:line="276" w:lineRule="auto"/>
      </w:pPr>
      <w:r>
        <w:rPr>
          <w:rFonts w:ascii="Calibri" w:hAnsi="Calibri"/>
          <w:i w:val="0"/>
          <w:color w:val="262626"/>
          <w:sz w:val="22"/>
        </w:rPr>
        <w:t>All SQL execution in DAO classes (`app.dao`) MUST use `PreparedStatement` with placeholder parameters (`?`).</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0" w:after="40"/>
            </w:pPr>
            <w:r>
              <w:rPr>
                <w:rFonts w:ascii="Arial" w:hAnsi="Arial"/>
                <w:b/>
                <w:color w:val="1B365D"/>
                <w:sz w:val="21"/>
              </w:rPr>
              <w:t>KEY STRATEGIC INSIGHT: CRITICAL PROHIBITION: STRING CONCATENATION</w:t>
              <w:br/>
            </w:r>
            <w:r>
              <w:rPr>
                <w:rFonts w:ascii="Calibri" w:hAnsi="Calibri"/>
                <w:color w:val="262626"/>
                <w:sz w:val="21"/>
              </w:rPr>
              <w:t>A single concatenated SQL string anywhere in the submission (e.g., 'SELECT * FROM users WHERE id = ' + input) forfeits ALL backend marks (15% of coursework grade). This rule is strictly enforced during code review.</w:t>
            </w:r>
          </w:p>
        </w:tc>
      </w:tr>
    </w:tbl>
    <w:p>
      <w:pPr>
        <w:spacing w:after="80"/>
      </w:pPr>
    </w:p>
    <w:p>
      <w:pPr>
        <w:keepNext/>
        <w:spacing w:before="240" w:after="80"/>
      </w:pPr>
      <w:r>
        <w:rPr>
          <w:rFonts w:ascii="Arial" w:hAnsi="Arial"/>
          <w:b/>
          <w:color w:val="2E75B6"/>
          <w:sz w:val="26"/>
        </w:rPr>
        <w:t>Transaction Management Engine</w:t>
      </w:r>
    </w:p>
    <w:p>
      <w:pPr>
        <w:spacing w:before="0" w:after="80" w:line="276" w:lineRule="auto"/>
      </w:pPr>
      <w:r>
        <w:rPr>
          <w:rFonts w:ascii="Calibri" w:hAnsi="Calibri"/>
          <w:i w:val="0"/>
          <w:color w:val="262626"/>
          <w:sz w:val="22"/>
        </w:rPr>
        <w:t>At least one core business operation must perform a multi-write transaction spanning two or more SQL statements inside a single connection context using explicit transaction controls:</w:t>
      </w:r>
    </w:p>
    <w:p>
      <w:pPr>
        <w:pStyle w:val="ListBullet"/>
        <w:spacing w:before="0" w:after="60" w:line="276" w:lineRule="auto"/>
      </w:pPr>
      <w:r>
        <w:rPr>
          <w:rFonts w:ascii="Calibri" w:hAnsi="Calibri"/>
          <w:b/>
          <w:color w:val="262626"/>
          <w:sz w:val="22"/>
        </w:rPr>
        <w:t xml:space="preserve">Step 1: </w:t>
      </w:r>
      <w:r>
        <w:rPr>
          <w:rFonts w:ascii="Calibri" w:hAnsi="Calibri"/>
          <w:color w:val="262626"/>
          <w:sz w:val="22"/>
        </w:rPr>
        <w:t>`connection.setAutoCommit(false);` — Disable automatic commit.</w:t>
      </w:r>
    </w:p>
    <w:p>
      <w:pPr>
        <w:pStyle w:val="ListBullet"/>
        <w:spacing w:before="0" w:after="60" w:line="276" w:lineRule="auto"/>
      </w:pPr>
      <w:r>
        <w:rPr>
          <w:rFonts w:ascii="Calibri" w:hAnsi="Calibri"/>
          <w:b/>
          <w:color w:val="262626"/>
          <w:sz w:val="22"/>
        </w:rPr>
        <w:t xml:space="preserve">Step 2: </w:t>
      </w:r>
      <w:r>
        <w:rPr>
          <w:rFonts w:ascii="Calibri" w:hAnsi="Calibri"/>
          <w:color w:val="262626"/>
          <w:sz w:val="22"/>
        </w:rPr>
        <w:t>Execute Write Operation 1 (e.g., Insert Order / Record Loan).</w:t>
      </w:r>
    </w:p>
    <w:p>
      <w:pPr>
        <w:pStyle w:val="ListBullet"/>
        <w:spacing w:before="0" w:after="60" w:line="276" w:lineRule="auto"/>
      </w:pPr>
      <w:r>
        <w:rPr>
          <w:rFonts w:ascii="Calibri" w:hAnsi="Calibri"/>
          <w:b/>
          <w:color w:val="262626"/>
          <w:sz w:val="22"/>
        </w:rPr>
        <w:t xml:space="preserve">Step 3: </w:t>
      </w:r>
      <w:r>
        <w:rPr>
          <w:rFonts w:ascii="Calibri" w:hAnsi="Calibri"/>
          <w:color w:val="262626"/>
          <w:sz w:val="22"/>
        </w:rPr>
        <w:t>Execute Write Operation 2 (e.g., Decrement Inventory / Update Availability).</w:t>
      </w:r>
    </w:p>
    <w:p>
      <w:pPr>
        <w:pStyle w:val="ListBullet"/>
        <w:spacing w:before="0" w:after="60" w:line="276" w:lineRule="auto"/>
      </w:pPr>
      <w:r>
        <w:rPr>
          <w:rFonts w:ascii="Calibri" w:hAnsi="Calibri"/>
          <w:b/>
          <w:color w:val="262626"/>
          <w:sz w:val="22"/>
        </w:rPr>
        <w:t xml:space="preserve">Step 4: </w:t>
      </w:r>
      <w:r>
        <w:rPr>
          <w:rFonts w:ascii="Calibri" w:hAnsi="Calibri"/>
          <w:color w:val="262626"/>
          <w:sz w:val="22"/>
        </w:rPr>
        <w:t>`connection.commit();` — Commit changes upon full success.</w:t>
      </w:r>
    </w:p>
    <w:p>
      <w:pPr>
        <w:pStyle w:val="ListBullet"/>
        <w:spacing w:before="0" w:after="60" w:line="276" w:lineRule="auto"/>
      </w:pPr>
      <w:r>
        <w:rPr>
          <w:rFonts w:ascii="Calibri" w:hAnsi="Calibri"/>
          <w:b/>
          <w:color w:val="262626"/>
          <w:sz w:val="22"/>
        </w:rPr>
        <w:t xml:space="preserve">Step 5: </w:t>
      </w:r>
      <w:r>
        <w:rPr>
          <w:rFonts w:ascii="Calibri" w:hAnsi="Calibri"/>
          <w:color w:val="262626"/>
          <w:sz w:val="22"/>
        </w:rPr>
        <w:t>`catch (SQLException e) { connection.rollback(); }` — Rollback completely on any failure.</w:t>
      </w:r>
    </w:p>
    <w:p>
      <w:pPr>
        <w:keepNext/>
        <w:spacing w:before="240" w:after="80"/>
      </w:pPr>
      <w:r>
        <w:rPr>
          <w:rFonts w:ascii="Arial" w:hAnsi="Arial"/>
          <w:b/>
          <w:color w:val="2E75B6"/>
          <w:sz w:val="26"/>
        </w:rPr>
        <w:t>Configuration &amp; Credential Security</w:t>
      </w:r>
    </w:p>
    <w:p>
      <w:pPr>
        <w:spacing w:before="0" w:after="80" w:line="276" w:lineRule="auto"/>
      </w:pPr>
      <w:r>
        <w:rPr>
          <w:rFonts w:ascii="Calibri" w:hAnsi="Calibri"/>
          <w:i w:val="0"/>
          <w:color w:val="262626"/>
          <w:sz w:val="22"/>
        </w:rPr>
        <w:t>Database passwords, host URLs, and credentials must NEVER be hardcoded in Java classes or committed to Git. They must be loaded dynamically from `src/main/resources/config.properties`, which MUST be listed in `.gitignore`. A `config.properties.example` template must be provided in the repository.</w:t>
      </w:r>
    </w:p>
    <w:p>
      <w:pPr>
        <w:keepNext/>
        <w:spacing w:before="320" w:after="120"/>
      </w:pPr>
      <w:r>
        <w:rPr>
          <w:rFonts w:ascii="Arial" w:hAnsi="Arial"/>
          <w:b/>
          <w:color w:val="1B365D"/>
          <w:sz w:val="32"/>
        </w:rPr>
        <w:t>6. Phase-by-Phase SDLC Execution Roadmap &amp; Checkpoints</w:t>
      </w:r>
    </w:p>
    <w:p>
      <w:pPr>
        <w:spacing w:before="0" w:after="80" w:line="276" w:lineRule="auto"/>
      </w:pPr>
      <w:r>
        <w:rPr>
          <w:rFonts w:ascii="Calibri" w:hAnsi="Calibri"/>
          <w:i w:val="0"/>
          <w:color w:val="262626"/>
          <w:sz w:val="22"/>
        </w:rPr>
        <w:t>The coursework enforces an iterative waterfall lifecycle across Weeks 8 to 15, monitored by five mandatory laboratory checkpoints:</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2340"/>
        <w:gridCol w:w="2340"/>
        <w:gridCol w:w="2340"/>
        <w:gridCol w:w="2340"/>
      </w:tblGrid>
      <w:tr>
        <w:tc>
          <w:tcPr>
            <w:tcW w:type="dxa" w:w="2340"/>
            <w:shd w:fill="1B365D"/>
            <w:tcMar>
              <w:top w:w="100" w:type="dxa"/>
              <w:bottom w:w="100" w:type="dxa"/>
              <w:left w:w="100" w:type="dxa"/>
              <w:right w:w="100" w:type="dxa"/>
            </w:tcMar>
          </w:tcPr>
          <w:p>
            <w:pPr>
              <w:spacing w:after="0"/>
            </w:pPr>
            <w:r>
              <w:rPr>
                <w:rFonts w:ascii="Arial" w:hAnsi="Arial"/>
                <w:b/>
                <w:color w:val="FFFFFF"/>
                <w:sz w:val="19"/>
              </w:rPr>
              <w:t>Phase &amp; Timing</w:t>
            </w:r>
          </w:p>
        </w:tc>
        <w:tc>
          <w:tcPr>
            <w:tcW w:type="dxa" w:w="2340"/>
            <w:shd w:fill="1B365D"/>
            <w:tcMar>
              <w:top w:w="100" w:type="dxa"/>
              <w:bottom w:w="100" w:type="dxa"/>
              <w:left w:w="100" w:type="dxa"/>
              <w:right w:w="100" w:type="dxa"/>
            </w:tcMar>
          </w:tcPr>
          <w:p>
            <w:pPr>
              <w:spacing w:after="0"/>
            </w:pPr>
            <w:r>
              <w:rPr>
                <w:rFonts w:ascii="Arial" w:hAnsi="Arial"/>
                <w:b/>
                <w:color w:val="FFFFFF"/>
                <w:sz w:val="19"/>
              </w:rPr>
              <w:t>Core Engineering Activities</w:t>
            </w:r>
          </w:p>
        </w:tc>
        <w:tc>
          <w:tcPr>
            <w:tcW w:type="dxa" w:w="2340"/>
            <w:shd w:fill="1B365D"/>
            <w:tcMar>
              <w:top w:w="100" w:type="dxa"/>
              <w:bottom w:w="100" w:type="dxa"/>
              <w:left w:w="100" w:type="dxa"/>
              <w:right w:w="100" w:type="dxa"/>
            </w:tcMar>
          </w:tcPr>
          <w:p>
            <w:pPr>
              <w:spacing w:after="0"/>
            </w:pPr>
            <w:r>
              <w:rPr>
                <w:rFonts w:ascii="Arial" w:hAnsi="Arial"/>
                <w:b/>
                <w:color w:val="FFFFFF"/>
                <w:sz w:val="19"/>
              </w:rPr>
              <w:t>Key Deliverable / Artefact</w:t>
            </w:r>
          </w:p>
        </w:tc>
        <w:tc>
          <w:tcPr>
            <w:tcW w:type="dxa" w:w="2340"/>
            <w:shd w:fill="1B365D"/>
            <w:tcMar>
              <w:top w:w="100" w:type="dxa"/>
              <w:bottom w:w="100" w:type="dxa"/>
              <w:left w:w="100" w:type="dxa"/>
              <w:right w:w="100" w:type="dxa"/>
            </w:tcMar>
          </w:tcPr>
          <w:p>
            <w:pPr>
              <w:spacing w:after="0"/>
            </w:pPr>
            <w:r>
              <w:rPr>
                <w:rFonts w:ascii="Arial" w:hAnsi="Arial"/>
                <w:b/>
                <w:color w:val="FFFFFF"/>
                <w:sz w:val="19"/>
              </w:rPr>
              <w:t>Lab Checkpoint Review</w:t>
            </w:r>
          </w:p>
        </w:tc>
      </w:tr>
      <w:tr>
        <w:tc>
          <w:tcPr>
            <w:tcW w:type="dxa" w:w="2340"/>
            <w:shd w:fill="F9FAFC"/>
            <w:tcMar>
              <w:top w:w="80" w:type="dxa"/>
              <w:bottom w:w="80" w:type="dxa"/>
              <w:left w:w="100" w:type="dxa"/>
              <w:right w:w="100" w:type="dxa"/>
            </w:tcMar>
          </w:tcPr>
          <w:p>
            <w:pPr>
              <w:spacing w:after="0"/>
            </w:pPr>
            <w:r>
              <w:rPr>
                <w:rFonts w:ascii="Calibri" w:hAnsi="Calibri"/>
                <w:b/>
                <w:sz w:val="17"/>
              </w:rPr>
              <w:t>1. Requirements</w:t>
              <w:br/>
              <w:t>(Week 8)</w:t>
            </w:r>
          </w:p>
        </w:tc>
        <w:tc>
          <w:tcPr>
            <w:tcW w:type="dxa" w:w="2340"/>
            <w:shd w:fill="F9FAFC"/>
            <w:tcMar>
              <w:top w:w="80" w:type="dxa"/>
              <w:bottom w:w="80" w:type="dxa"/>
              <w:left w:w="100" w:type="dxa"/>
              <w:right w:w="100" w:type="dxa"/>
            </w:tcMar>
          </w:tcPr>
          <w:p>
            <w:pPr>
              <w:spacing w:after="0"/>
            </w:pPr>
            <w:r>
              <w:rPr>
                <w:rFonts w:ascii="Calibri" w:hAnsi="Calibri"/>
                <w:sz w:val="17"/>
              </w:rPr>
              <w:t>Stakeholder assumptions, functional/non-functional requirements, 6+ use cases.</w:t>
            </w:r>
          </w:p>
        </w:tc>
        <w:tc>
          <w:tcPr>
            <w:tcW w:type="dxa" w:w="2340"/>
            <w:shd w:fill="F9FAFC"/>
            <w:tcMar>
              <w:top w:w="80" w:type="dxa"/>
              <w:bottom w:w="80" w:type="dxa"/>
              <w:left w:w="100" w:type="dxa"/>
              <w:right w:w="100" w:type="dxa"/>
            </w:tcMar>
          </w:tcPr>
          <w:p>
            <w:pPr>
              <w:spacing w:after="0"/>
            </w:pPr>
            <w:r>
              <w:rPr>
                <w:rFonts w:ascii="Calibri" w:hAnsi="Calibri"/>
                <w:sz w:val="17"/>
              </w:rPr>
              <w:t>SRS Document</w:t>
              <w:br/>
              <w:t>(Max 6 pages)</w:t>
            </w:r>
          </w:p>
        </w:tc>
        <w:tc>
          <w:tcPr>
            <w:tcW w:type="dxa" w:w="2340"/>
            <w:shd w:fill="F9FAFC"/>
            <w:tcMar>
              <w:top w:w="80" w:type="dxa"/>
              <w:bottom w:w="80" w:type="dxa"/>
              <w:left w:w="100" w:type="dxa"/>
              <w:right w:w="100" w:type="dxa"/>
            </w:tcMar>
          </w:tcPr>
          <w:p>
            <w:pPr>
              <w:spacing w:after="0"/>
            </w:pPr>
            <w:r>
              <w:rPr>
                <w:rFonts w:ascii="Calibri" w:hAnsi="Calibri"/>
                <w:sz w:val="17"/>
              </w:rPr>
              <w:t>W8 Checkpoint:</w:t>
              <w:br/>
              <w:t>Option confirmed, SRS reviewed, Git repo created.</w:t>
            </w:r>
          </w:p>
        </w:tc>
      </w:tr>
      <w:tr>
        <w:tc>
          <w:tcPr>
            <w:tcW w:type="dxa" w:w="2340"/>
            <w:shd w:fill="FFFFFF"/>
            <w:tcMar>
              <w:top w:w="80" w:type="dxa"/>
              <w:bottom w:w="80" w:type="dxa"/>
              <w:left w:w="100" w:type="dxa"/>
              <w:right w:w="100" w:type="dxa"/>
            </w:tcMar>
          </w:tcPr>
          <w:p>
            <w:pPr>
              <w:spacing w:after="0"/>
            </w:pPr>
            <w:r>
              <w:rPr>
                <w:rFonts w:ascii="Calibri" w:hAnsi="Calibri"/>
                <w:b/>
                <w:sz w:val="17"/>
              </w:rPr>
              <w:t>2. System Design</w:t>
              <w:br/>
              <w:t>(Week 9)</w:t>
            </w:r>
          </w:p>
        </w:tc>
        <w:tc>
          <w:tcPr>
            <w:tcW w:type="dxa" w:w="2340"/>
            <w:shd w:fill="FFFFFF"/>
            <w:tcMar>
              <w:top w:w="80" w:type="dxa"/>
              <w:bottom w:w="80" w:type="dxa"/>
              <w:left w:w="100" w:type="dxa"/>
              <w:right w:w="100" w:type="dxa"/>
            </w:tcMar>
          </w:tcPr>
          <w:p>
            <w:pPr>
              <w:spacing w:after="0"/>
            </w:pPr>
            <w:r>
              <w:rPr>
                <w:rFonts w:ascii="Calibri" w:hAnsi="Calibri"/>
                <w:sz w:val="17"/>
              </w:rPr>
              <w:t>3-Layer architecture diagram, UML Class diagram, 3NF ERD, Sequence diagram.</w:t>
            </w:r>
          </w:p>
        </w:tc>
        <w:tc>
          <w:tcPr>
            <w:tcW w:type="dxa" w:w="2340"/>
            <w:shd w:fill="FFFFFF"/>
            <w:tcMar>
              <w:top w:w="80" w:type="dxa"/>
              <w:bottom w:w="80" w:type="dxa"/>
              <w:left w:w="100" w:type="dxa"/>
              <w:right w:w="100" w:type="dxa"/>
            </w:tcMar>
          </w:tcPr>
          <w:p>
            <w:pPr>
              <w:spacing w:after="0"/>
            </w:pPr>
            <w:r>
              <w:rPr>
                <w:rFonts w:ascii="Calibri" w:hAnsi="Calibri"/>
                <w:sz w:val="17"/>
              </w:rPr>
              <w:t>Design Document +</w:t>
              <w:br/>
              <w:t>`schema.sql` script</w:t>
            </w:r>
          </w:p>
        </w:tc>
        <w:tc>
          <w:tcPr>
            <w:tcW w:type="dxa" w:w="2340"/>
            <w:shd w:fill="FFFFFF"/>
            <w:tcMar>
              <w:top w:w="80" w:type="dxa"/>
              <w:bottom w:w="80" w:type="dxa"/>
              <w:left w:w="100" w:type="dxa"/>
              <w:right w:w="100" w:type="dxa"/>
            </w:tcMar>
          </w:tcPr>
          <w:p>
            <w:pPr>
              <w:spacing w:after="0"/>
            </w:pPr>
            <w:r>
              <w:rPr>
                <w:rFonts w:ascii="Calibri" w:hAnsi="Calibri"/>
                <w:sz w:val="17"/>
              </w:rPr>
              <w:t>W9 Checkpoint:</w:t>
              <w:br/>
              <w:t>Architecture &amp; ERD examined; schema script must execute cleanly.</w:t>
            </w:r>
          </w:p>
        </w:tc>
      </w:tr>
      <w:tr>
        <w:tc>
          <w:tcPr>
            <w:tcW w:type="dxa" w:w="2340"/>
            <w:shd w:fill="F9FAFC"/>
            <w:tcMar>
              <w:top w:w="80" w:type="dxa"/>
              <w:bottom w:w="80" w:type="dxa"/>
              <w:left w:w="100" w:type="dxa"/>
              <w:right w:w="100" w:type="dxa"/>
            </w:tcMar>
          </w:tcPr>
          <w:p>
            <w:pPr>
              <w:spacing w:after="0"/>
            </w:pPr>
            <w:r>
              <w:rPr>
                <w:rFonts w:ascii="Calibri" w:hAnsi="Calibri"/>
                <w:b/>
                <w:sz w:val="17"/>
              </w:rPr>
              <w:t>3. Implementation</w:t>
              <w:br/>
              <w:t>(Weeks 10–12)</w:t>
            </w:r>
          </w:p>
        </w:tc>
        <w:tc>
          <w:tcPr>
            <w:tcW w:type="dxa" w:w="2340"/>
            <w:shd w:fill="F9FAFC"/>
            <w:tcMar>
              <w:top w:w="80" w:type="dxa"/>
              <w:bottom w:w="80" w:type="dxa"/>
              <w:left w:w="100" w:type="dxa"/>
              <w:right w:w="100" w:type="dxa"/>
            </w:tcMar>
          </w:tcPr>
          <w:p>
            <w:pPr>
              <w:spacing w:after="0"/>
            </w:pPr>
            <w:r>
              <w:rPr>
                <w:rFonts w:ascii="Calibri" w:hAnsi="Calibri"/>
                <w:sz w:val="17"/>
              </w:rPr>
              <w:t>Build Domain models, DAO layer, Service layer, JavaFX UI. PR peer reviews.</w:t>
            </w:r>
          </w:p>
        </w:tc>
        <w:tc>
          <w:tcPr>
            <w:tcW w:type="dxa" w:w="2340"/>
            <w:shd w:fill="F9FAFC"/>
            <w:tcMar>
              <w:top w:w="80" w:type="dxa"/>
              <w:bottom w:w="80" w:type="dxa"/>
              <w:left w:w="100" w:type="dxa"/>
              <w:right w:w="100" w:type="dxa"/>
            </w:tcMar>
          </w:tcPr>
          <w:p>
            <w:pPr>
              <w:spacing w:after="0"/>
            </w:pPr>
            <w:r>
              <w:rPr>
                <w:rFonts w:ascii="Calibri" w:hAnsi="Calibri"/>
                <w:sz w:val="17"/>
              </w:rPr>
              <w:t>Working Code in Git Repository</w:t>
            </w:r>
          </w:p>
        </w:tc>
        <w:tc>
          <w:tcPr>
            <w:tcW w:type="dxa" w:w="2340"/>
            <w:shd w:fill="F9FAFC"/>
            <w:tcMar>
              <w:top w:w="80" w:type="dxa"/>
              <w:bottom w:w="80" w:type="dxa"/>
              <w:left w:w="100" w:type="dxa"/>
              <w:right w:w="100" w:type="dxa"/>
            </w:tcMar>
          </w:tcPr>
          <w:p>
            <w:pPr>
              <w:spacing w:after="0"/>
            </w:pPr>
            <w:r>
              <w:rPr>
                <w:rFonts w:ascii="Calibri" w:hAnsi="Calibri"/>
                <w:sz w:val="17"/>
              </w:rPr>
              <w:t>W11 Checkpoint (CRITICAL):</w:t>
              <w:br/>
              <w:t>Vertical Slice — 1 complete feature working end-to-end.</w:t>
            </w:r>
          </w:p>
        </w:tc>
      </w:tr>
      <w:tr>
        <w:tc>
          <w:tcPr>
            <w:tcW w:type="dxa" w:w="2340"/>
            <w:shd w:fill="FFFFFF"/>
            <w:tcMar>
              <w:top w:w="80" w:type="dxa"/>
              <w:bottom w:w="80" w:type="dxa"/>
              <w:left w:w="100" w:type="dxa"/>
              <w:right w:w="100" w:type="dxa"/>
            </w:tcMar>
          </w:tcPr>
          <w:p>
            <w:pPr>
              <w:spacing w:after="0"/>
            </w:pPr>
            <w:r>
              <w:rPr>
                <w:rFonts w:ascii="Calibri" w:hAnsi="Calibri"/>
                <w:b/>
                <w:sz w:val="17"/>
              </w:rPr>
              <w:t>4. Testing</w:t>
              <w:br/>
              <w:t>(Week 13)</w:t>
            </w:r>
          </w:p>
        </w:tc>
        <w:tc>
          <w:tcPr>
            <w:tcW w:type="dxa" w:w="2340"/>
            <w:shd w:fill="FFFFFF"/>
            <w:tcMar>
              <w:top w:w="80" w:type="dxa"/>
              <w:bottom w:w="80" w:type="dxa"/>
              <w:left w:w="100" w:type="dxa"/>
              <w:right w:w="100" w:type="dxa"/>
            </w:tcMar>
          </w:tcPr>
          <w:p>
            <w:pPr>
              <w:spacing w:after="0"/>
            </w:pPr>
            <w:r>
              <w:rPr>
                <w:rFonts w:ascii="Calibri" w:hAnsi="Calibri"/>
                <w:sz w:val="17"/>
              </w:rPr>
              <w:t>Service layer JUnit 5 tests, DB integration tests, UI testing, Defect log.</w:t>
            </w:r>
          </w:p>
        </w:tc>
        <w:tc>
          <w:tcPr>
            <w:tcW w:type="dxa" w:w="2340"/>
            <w:shd w:fill="FFFFFF"/>
            <w:tcMar>
              <w:top w:w="80" w:type="dxa"/>
              <w:bottom w:w="80" w:type="dxa"/>
              <w:left w:w="100" w:type="dxa"/>
              <w:right w:w="100" w:type="dxa"/>
            </w:tcMar>
          </w:tcPr>
          <w:p>
            <w:pPr>
              <w:spacing w:after="0"/>
            </w:pPr>
            <w:r>
              <w:rPr>
                <w:rFonts w:ascii="Calibri" w:hAnsi="Calibri"/>
                <w:sz w:val="17"/>
              </w:rPr>
              <w:t>Test Plan, Test Results, Defect Log</w:t>
            </w:r>
          </w:p>
        </w:tc>
        <w:tc>
          <w:tcPr>
            <w:tcW w:type="dxa" w:w="2340"/>
            <w:shd w:fill="FFFFFF"/>
            <w:tcMar>
              <w:top w:w="80" w:type="dxa"/>
              <w:bottom w:w="80" w:type="dxa"/>
              <w:left w:w="100" w:type="dxa"/>
              <w:right w:w="100" w:type="dxa"/>
            </w:tcMar>
          </w:tcPr>
          <w:p>
            <w:pPr>
              <w:spacing w:after="0"/>
            </w:pPr>
            <w:r>
              <w:rPr>
                <w:rFonts w:ascii="Calibri" w:hAnsi="Calibri"/>
                <w:sz w:val="17"/>
              </w:rPr>
              <w:t>W13 Checkpoint:</w:t>
              <w:br/>
              <w:t>Test suite executed live in lab; defect log inspected.</w:t>
            </w:r>
          </w:p>
        </w:tc>
      </w:tr>
      <w:tr>
        <w:tc>
          <w:tcPr>
            <w:tcW w:type="dxa" w:w="2340"/>
            <w:shd w:fill="F9FAFC"/>
            <w:tcMar>
              <w:top w:w="80" w:type="dxa"/>
              <w:bottom w:w="80" w:type="dxa"/>
              <w:left w:w="100" w:type="dxa"/>
              <w:right w:w="100" w:type="dxa"/>
            </w:tcMar>
          </w:tcPr>
          <w:p>
            <w:pPr>
              <w:spacing w:after="0"/>
            </w:pPr>
            <w:r>
              <w:rPr>
                <w:rFonts w:ascii="Calibri" w:hAnsi="Calibri"/>
                <w:b/>
                <w:sz w:val="17"/>
              </w:rPr>
              <w:t>5. Deployment</w:t>
              <w:br/>
              <w:t>(Week 14)</w:t>
            </w:r>
          </w:p>
        </w:tc>
        <w:tc>
          <w:tcPr>
            <w:tcW w:type="dxa" w:w="2340"/>
            <w:shd w:fill="F9FAFC"/>
            <w:tcMar>
              <w:top w:w="80" w:type="dxa"/>
              <w:bottom w:w="80" w:type="dxa"/>
              <w:left w:w="100" w:type="dxa"/>
              <w:right w:w="100" w:type="dxa"/>
            </w:tcMar>
          </w:tcPr>
          <w:p>
            <w:pPr>
              <w:spacing w:after="0"/>
            </w:pPr>
            <w:r>
              <w:rPr>
                <w:rFonts w:ascii="Calibri" w:hAnsi="Calibri"/>
                <w:sz w:val="17"/>
              </w:rPr>
              <w:t>Fat JAR / package build, seed data script (`seed.sql`), verified setup.</w:t>
            </w:r>
          </w:p>
        </w:tc>
        <w:tc>
          <w:tcPr>
            <w:tcW w:type="dxa" w:w="2340"/>
            <w:shd w:fill="F9FAFC"/>
            <w:tcMar>
              <w:top w:w="80" w:type="dxa"/>
              <w:bottom w:w="80" w:type="dxa"/>
              <w:left w:w="100" w:type="dxa"/>
              <w:right w:w="100" w:type="dxa"/>
            </w:tcMar>
          </w:tcPr>
          <w:p>
            <w:pPr>
              <w:spacing w:after="0"/>
            </w:pPr>
            <w:r>
              <w:rPr>
                <w:rFonts w:ascii="Calibri" w:hAnsi="Calibri"/>
                <w:sz w:val="17"/>
              </w:rPr>
              <w:t>Release Package +</w:t>
              <w:br/>
              <w:t>README instructions</w:t>
            </w:r>
          </w:p>
        </w:tc>
        <w:tc>
          <w:tcPr>
            <w:tcW w:type="dxa" w:w="2340"/>
            <w:shd w:fill="F9FAFC"/>
            <w:tcMar>
              <w:top w:w="80" w:type="dxa"/>
              <w:bottom w:w="80" w:type="dxa"/>
              <w:left w:w="100" w:type="dxa"/>
              <w:right w:w="100" w:type="dxa"/>
            </w:tcMar>
          </w:tcPr>
          <w:p>
            <w:pPr>
              <w:spacing w:after="0"/>
            </w:pPr>
            <w:r>
              <w:rPr>
                <w:rFonts w:ascii="Calibri" w:hAnsi="Calibri"/>
                <w:sz w:val="17"/>
              </w:rPr>
              <w:t>Verification on clean machine outside developer environment.</w:t>
            </w:r>
          </w:p>
        </w:tc>
      </w:tr>
      <w:tr>
        <w:tc>
          <w:tcPr>
            <w:tcW w:type="dxa" w:w="2340"/>
            <w:shd w:fill="FFFFFF"/>
            <w:tcMar>
              <w:top w:w="80" w:type="dxa"/>
              <w:bottom w:w="80" w:type="dxa"/>
              <w:left w:w="100" w:type="dxa"/>
              <w:right w:w="100" w:type="dxa"/>
            </w:tcMar>
          </w:tcPr>
          <w:p>
            <w:pPr>
              <w:spacing w:after="0"/>
            </w:pPr>
            <w:r>
              <w:rPr>
                <w:rFonts w:ascii="Calibri" w:hAnsi="Calibri"/>
                <w:b/>
                <w:sz w:val="17"/>
              </w:rPr>
              <w:t>6. Maintenance</w:t>
              <w:br/>
              <w:t>(Week 15)</w:t>
            </w:r>
          </w:p>
        </w:tc>
        <w:tc>
          <w:tcPr>
            <w:tcW w:type="dxa" w:w="2340"/>
            <w:shd w:fill="FFFFFF"/>
            <w:tcMar>
              <w:top w:w="80" w:type="dxa"/>
              <w:bottom w:w="80" w:type="dxa"/>
              <w:left w:w="100" w:type="dxa"/>
              <w:right w:w="100" w:type="dxa"/>
            </w:tcMar>
          </w:tcPr>
          <w:p>
            <w:pPr>
              <w:spacing w:after="0"/>
            </w:pPr>
            <w:r>
              <w:rPr>
                <w:rFonts w:ascii="Calibri" w:hAnsi="Calibri"/>
                <w:sz w:val="17"/>
              </w:rPr>
              <w:t>Implement 1 post-release change request, design retrospective, next plan.</w:t>
            </w:r>
          </w:p>
        </w:tc>
        <w:tc>
          <w:tcPr>
            <w:tcW w:type="dxa" w:w="2340"/>
            <w:shd w:fill="FFFFFF"/>
            <w:tcMar>
              <w:top w:w="80" w:type="dxa"/>
              <w:bottom w:w="80" w:type="dxa"/>
              <w:left w:w="100" w:type="dxa"/>
              <w:right w:w="100" w:type="dxa"/>
            </w:tcMar>
          </w:tcPr>
          <w:p>
            <w:pPr>
              <w:spacing w:after="0"/>
            </w:pPr>
            <w:r>
              <w:rPr>
                <w:rFonts w:ascii="Calibri" w:hAnsi="Calibri"/>
                <w:sz w:val="17"/>
              </w:rPr>
              <w:t>Change Record +</w:t>
              <w:br/>
              <w:t>Retrospective Doc</w:t>
            </w:r>
          </w:p>
        </w:tc>
        <w:tc>
          <w:tcPr>
            <w:tcW w:type="dxa" w:w="2340"/>
            <w:shd w:fill="FFFFFF"/>
            <w:tcMar>
              <w:top w:w="80" w:type="dxa"/>
              <w:bottom w:w="80" w:type="dxa"/>
              <w:left w:w="100" w:type="dxa"/>
              <w:right w:w="100" w:type="dxa"/>
            </w:tcMar>
          </w:tcPr>
          <w:p>
            <w:pPr>
              <w:spacing w:after="0"/>
            </w:pPr>
            <w:r>
              <w:rPr>
                <w:rFonts w:ascii="Calibri" w:hAnsi="Calibri"/>
                <w:sz w:val="17"/>
              </w:rPr>
              <w:t>W15 Checkpoint &amp; Viva:</w:t>
              <w:br/>
              <w:t>10-min live demo + individual viva questioning per layer.</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0" w:after="40"/>
            </w:pPr>
            <w:r>
              <w:rPr>
                <w:rFonts w:ascii="Arial" w:hAnsi="Arial"/>
                <w:b/>
                <w:color w:val="1B365D"/>
                <w:sz w:val="21"/>
              </w:rPr>
              <w:t>KEY STRATEGIC INSIGHT: CRUCIAL OPERATIONAL RULE: THE WEEK 11 VERTICAL SLICE</w:t>
              <w:br/>
            </w:r>
            <w:r>
              <w:rPr>
                <w:rFonts w:ascii="Calibri" w:hAnsi="Calibri"/>
                <w:color w:val="262626"/>
                <w:sz w:val="21"/>
              </w:rPr>
              <w:t>Teams that attempt to build all Frontend screens, all Business rules, and all DAO classes independently and merge them at the end routinely fail. In Week 11, the team MUST demonstrate ONE thin feature (e.g., 'Register Student' or 'Add Product') working completely from UI screen -&gt; Service -&gt; DAO -&gt; Database -&gt; UI feedback. Once working, expand horizontally.</w:t>
            </w:r>
          </w:p>
        </w:tc>
      </w:tr>
    </w:tbl>
    <w:p>
      <w:pPr>
        <w:spacing w:after="80"/>
      </w:pPr>
    </w:p>
    <w:p>
      <w:pPr>
        <w:keepNext/>
        <w:spacing w:before="320" w:after="120"/>
      </w:pPr>
      <w:r>
        <w:rPr>
          <w:rFonts w:ascii="Arial" w:hAnsi="Arial"/>
          <w:b/>
          <w:color w:val="1B365D"/>
          <w:sz w:val="32"/>
        </w:rPr>
        <w:t>7. AI Governance &amp; Interaction Protocol</w:t>
      </w:r>
    </w:p>
    <w:p>
      <w:pPr>
        <w:spacing w:before="0" w:after="80" w:line="276" w:lineRule="auto"/>
      </w:pPr>
      <w:r>
        <w:rPr>
          <w:rFonts w:ascii="Calibri" w:hAnsi="Calibri"/>
          <w:i w:val="0"/>
          <w:color w:val="262626"/>
          <w:sz w:val="22"/>
        </w:rPr>
        <w:t>Section 8 of the specification establishes rules for AI usage. Generative AI tools are encouraged as engineering partners, but students are marked on their critical evaluation and direction of these tools.</w:t>
      </w:r>
    </w:p>
    <w:p>
      <w:pPr>
        <w:keepNext/>
        <w:spacing w:before="240" w:after="80"/>
      </w:pPr>
      <w:r>
        <w:rPr>
          <w:rFonts w:ascii="Arial" w:hAnsi="Arial"/>
          <w:b/>
          <w:color w:val="2E75B6"/>
          <w:sz w:val="26"/>
        </w:rPr>
        <w:t>Mandatory AI Interaction Log Architecture</w:t>
      </w:r>
    </w:p>
    <w:p>
      <w:pPr>
        <w:spacing w:before="0" w:after="80" w:line="276" w:lineRule="auto"/>
      </w:pPr>
      <w:r>
        <w:rPr>
          <w:rFonts w:ascii="Calibri" w:hAnsi="Calibri"/>
          <w:i w:val="0"/>
          <w:color w:val="262626"/>
          <w:sz w:val="22"/>
        </w:rPr>
        <w:t>The repository must contain an `ai-interaction-log.md` file updated incrementally throughout development. A minimum of 15 substantive entries is required. Entries showing caught and corrected AI mistakes yield higher marks than 'clean' generation.</w:t>
      </w:r>
    </w:p>
    <w:p>
      <w:pPr>
        <w:spacing w:before="0" w:after="80" w:line="276" w:lineRule="auto"/>
      </w:pPr>
      <w:r>
        <w:rPr>
          <w:rFonts w:ascii="Calibri" w:hAnsi="Calibri"/>
          <w:i w:val="0"/>
          <w:color w:val="262626"/>
          <w:sz w:val="22"/>
        </w:rPr>
        <w:t>Required Log Schema Format:</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3120"/>
        <w:gridCol w:w="3120"/>
        <w:gridCol w:w="3120"/>
      </w:tblGrid>
      <w:tr>
        <w:tc>
          <w:tcPr>
            <w:tcW w:type="dxa" w:w="3120"/>
            <w:shd w:fill="1B365D"/>
            <w:tcMar>
              <w:top w:w="80" w:type="dxa"/>
              <w:bottom w:w="80" w:type="dxa"/>
              <w:left w:w="100" w:type="dxa"/>
              <w:right w:w="100" w:type="dxa"/>
            </w:tcMar>
          </w:tcPr>
          <w:p>
            <w:pPr>
              <w:spacing w:after="0"/>
            </w:pPr>
            <w:r>
              <w:rPr>
                <w:rFonts w:ascii="Arial" w:hAnsi="Arial"/>
                <w:b/>
                <w:color w:val="FFFFFF"/>
                <w:sz w:val="18"/>
              </w:rPr>
              <w:t>Phase &amp; Tool</w:t>
            </w:r>
          </w:p>
        </w:tc>
        <w:tc>
          <w:tcPr>
            <w:tcW w:type="dxa" w:w="3120"/>
            <w:shd w:fill="1B365D"/>
            <w:tcMar>
              <w:top w:w="80" w:type="dxa"/>
              <w:bottom w:w="80" w:type="dxa"/>
              <w:left w:w="100" w:type="dxa"/>
              <w:right w:w="100" w:type="dxa"/>
            </w:tcMar>
          </w:tcPr>
          <w:p>
            <w:pPr>
              <w:spacing w:after="0"/>
            </w:pPr>
            <w:r>
              <w:rPr>
                <w:rFonts w:ascii="Arial" w:hAnsi="Arial"/>
                <w:b/>
                <w:color w:val="FFFFFF"/>
                <w:sz w:val="18"/>
              </w:rPr>
              <w:t>Prompt (Summarized)</w:t>
            </w:r>
          </w:p>
        </w:tc>
        <w:tc>
          <w:tcPr>
            <w:tcW w:type="dxa" w:w="3120"/>
            <w:shd w:fill="1B365D"/>
            <w:tcMar>
              <w:top w:w="80" w:type="dxa"/>
              <w:bottom w:w="80" w:type="dxa"/>
              <w:left w:w="100" w:type="dxa"/>
              <w:right w:w="100" w:type="dxa"/>
            </w:tcMar>
          </w:tcPr>
          <w:p>
            <w:pPr>
              <w:spacing w:after="0"/>
            </w:pPr>
            <w:r>
              <w:rPr>
                <w:rFonts w:ascii="Arial" w:hAnsi="Arial"/>
                <w:b/>
                <w:color w:val="FFFFFF"/>
                <w:sz w:val="18"/>
              </w:rPr>
              <w:t>Outcome &amp; Critical Judgement</w:t>
            </w:r>
          </w:p>
        </w:tc>
      </w:tr>
      <w:tr>
        <w:tc>
          <w:tcPr>
            <w:tcW w:type="dxa" w:w="3120"/>
            <w:shd w:fill="F0F4F8"/>
            <w:tcMar>
              <w:top w:w="80" w:type="dxa"/>
              <w:bottom w:w="80" w:type="dxa"/>
              <w:left w:w="100" w:type="dxa"/>
              <w:right w:w="100" w:type="dxa"/>
            </w:tcMar>
          </w:tcPr>
          <w:p>
            <w:pPr>
              <w:spacing w:after="0"/>
            </w:pPr>
            <w:r>
              <w:rPr>
                <w:rFonts w:ascii="Calibri" w:hAnsi="Calibri"/>
                <w:sz w:val="17"/>
              </w:rPr>
              <w:t>Phase 3 — DAO</w:t>
              <w:br/>
              <w:t>Tool: Claude Code</w:t>
            </w:r>
          </w:p>
        </w:tc>
        <w:tc>
          <w:tcPr>
            <w:tcW w:type="dxa" w:w="3120"/>
            <w:shd w:fill="F0F4F8"/>
            <w:tcMar>
              <w:top w:w="80" w:type="dxa"/>
              <w:bottom w:w="80" w:type="dxa"/>
              <w:left w:w="100" w:type="dxa"/>
              <w:right w:w="100" w:type="dxa"/>
            </w:tcMar>
          </w:tcPr>
          <w:p>
            <w:pPr>
              <w:spacing w:after="0"/>
            </w:pPr>
            <w:r>
              <w:rPr>
                <w:rFonts w:ascii="Calibri" w:hAnsi="Calibri"/>
                <w:sz w:val="17"/>
              </w:rPr>
              <w:t>Generate `LoanDao.save()` against given interface and schema.</w:t>
            </w:r>
          </w:p>
        </w:tc>
        <w:tc>
          <w:tcPr>
            <w:tcW w:type="dxa" w:w="3120"/>
            <w:shd w:fill="F0F4F8"/>
            <w:tcMar>
              <w:top w:w="80" w:type="dxa"/>
              <w:bottom w:w="80" w:type="dxa"/>
              <w:left w:w="100" w:type="dxa"/>
              <w:right w:w="100" w:type="dxa"/>
            </w:tcMar>
          </w:tcPr>
          <w:p>
            <w:pPr>
              <w:spacing w:after="0"/>
            </w:pPr>
            <w:r>
              <w:rPr>
                <w:rFonts w:ascii="Calibri" w:hAnsi="Calibri"/>
                <w:sz w:val="17"/>
              </w:rPr>
              <w:t>MODIFIED: Generated code omitted `connection.rollback()` inside catch block and used string concatenation for SQL query. Corrected to `PreparedStatement` and added transaction rollback.</w:t>
            </w:r>
          </w:p>
        </w:tc>
      </w:tr>
    </w:tbl>
    <w:p>
      <w:pPr>
        <w:spacing w:after="120"/>
      </w:pPr>
    </w:p>
    <w:p>
      <w:pPr>
        <w:keepNext/>
        <w:spacing w:before="240" w:after="80"/>
      </w:pPr>
      <w:r>
        <w:rPr>
          <w:rFonts w:ascii="Arial" w:hAnsi="Arial"/>
          <w:b/>
          <w:color w:val="2E75B6"/>
          <w:sz w:val="26"/>
        </w:rPr>
        <w:t>Common AI Pitfalls &amp; Antipatterns in Java Development</w:t>
      </w:r>
    </w:p>
    <w:p>
      <w:pPr>
        <w:pStyle w:val="ListBullet"/>
        <w:spacing w:before="0" w:after="60" w:line="276" w:lineRule="auto"/>
      </w:pPr>
      <w:r>
        <w:rPr>
          <w:rFonts w:ascii="Calibri" w:hAnsi="Calibri"/>
          <w:b/>
          <w:color w:val="262626"/>
          <w:sz w:val="22"/>
        </w:rPr>
        <w:t xml:space="preserve">1. Architecture Leaks: </w:t>
      </w:r>
      <w:r>
        <w:rPr>
          <w:rFonts w:ascii="Calibri" w:hAnsi="Calibri"/>
          <w:color w:val="262626"/>
          <w:sz w:val="22"/>
        </w:rPr>
        <w:t>AI tools routinely insert SQL statements or mathematical calculations directly into JavaFX `@FXML` controller classes.</w:t>
      </w:r>
    </w:p>
    <w:p>
      <w:pPr>
        <w:pStyle w:val="ListBullet"/>
        <w:spacing w:before="0" w:after="60" w:line="276" w:lineRule="auto"/>
      </w:pPr>
      <w:r>
        <w:rPr>
          <w:rFonts w:ascii="Calibri" w:hAnsi="Calibri"/>
          <w:b/>
          <w:color w:val="262626"/>
          <w:sz w:val="22"/>
        </w:rPr>
        <w:t xml:space="preserve">2. SQL Injection Hazard: </w:t>
      </w:r>
      <w:r>
        <w:rPr>
          <w:rFonts w:ascii="Calibri" w:hAnsi="Calibri"/>
          <w:color w:val="262626"/>
          <w:sz w:val="22"/>
        </w:rPr>
        <w:t>LLMs frequently suggest `Statement.executeUpdate("INSERT INTO... " + val)` instead of parameterized `PreparedStatement`.</w:t>
      </w:r>
    </w:p>
    <w:p>
      <w:pPr>
        <w:pStyle w:val="ListBullet"/>
        <w:spacing w:before="0" w:after="60" w:line="276" w:lineRule="auto"/>
      </w:pPr>
      <w:r>
        <w:rPr>
          <w:rFonts w:ascii="Calibri" w:hAnsi="Calibri"/>
          <w:b/>
          <w:color w:val="262626"/>
          <w:sz w:val="22"/>
        </w:rPr>
        <w:t xml:space="preserve">3. Missing Rollbacks: </w:t>
      </w:r>
      <w:r>
        <w:rPr>
          <w:rFonts w:ascii="Calibri" w:hAnsi="Calibri"/>
          <w:color w:val="262626"/>
          <w:sz w:val="22"/>
        </w:rPr>
        <w:t>Generated JDBC code often executes multiple `INSERT`/`UPDATE` calls without setting `autoCommit(false)` or managing rollbacks.</w:t>
      </w:r>
    </w:p>
    <w:p>
      <w:pPr>
        <w:pStyle w:val="ListBullet"/>
        <w:spacing w:before="0" w:after="60" w:line="276" w:lineRule="auto"/>
      </w:pPr>
      <w:r>
        <w:rPr>
          <w:rFonts w:ascii="Calibri" w:hAnsi="Calibri"/>
          <w:b/>
          <w:color w:val="262626"/>
          <w:sz w:val="22"/>
        </w:rPr>
        <w:t xml:space="preserve">4. Hallucinated APIs: </w:t>
      </w:r>
      <w:r>
        <w:rPr>
          <w:rFonts w:ascii="Calibri" w:hAnsi="Calibri"/>
          <w:color w:val="262626"/>
          <w:sz w:val="22"/>
        </w:rPr>
        <w:t>AI tools frequently hallucinate non-existent JavaFX methods or deprecated JDBC driver methods.</w:t>
      </w:r>
    </w:p>
    <w:p>
      <w:pPr>
        <w:keepNext/>
        <w:spacing w:before="240" w:after="80"/>
      </w:pPr>
      <w:r>
        <w:rPr>
          <w:rFonts w:ascii="Arial" w:hAnsi="Arial"/>
          <w:b/>
          <w:color w:val="2E75B6"/>
          <w:sz w:val="26"/>
        </w:rPr>
        <w:t>Strictly Prohibited AI Practices</w:t>
      </w:r>
    </w:p>
    <w:p>
      <w:pPr>
        <w:pStyle w:val="ListBullet"/>
        <w:spacing w:before="0" w:after="60" w:line="276" w:lineRule="auto"/>
      </w:pPr>
      <w:r>
        <w:rPr>
          <w:rFonts w:ascii="Calibri" w:hAnsi="Calibri"/>
          <w:b/>
          <w:color w:val="262626"/>
          <w:sz w:val="22"/>
        </w:rPr>
        <w:t xml:space="preserve">Unexplainable Code: </w:t>
      </w:r>
      <w:r>
        <w:rPr>
          <w:rFonts w:ascii="Calibri" w:hAnsi="Calibri"/>
          <w:color w:val="262626"/>
          <w:sz w:val="22"/>
        </w:rPr>
        <w:t>Submitting any code or algorithm that team members cannot read aloud and explain during the viva.</w:t>
      </w:r>
    </w:p>
    <w:p>
      <w:pPr>
        <w:pStyle w:val="ListBullet"/>
        <w:spacing w:before="0" w:after="60" w:line="276" w:lineRule="auto"/>
      </w:pPr>
      <w:r>
        <w:rPr>
          <w:rFonts w:ascii="Calibri" w:hAnsi="Calibri"/>
          <w:b/>
          <w:color w:val="262626"/>
          <w:sz w:val="22"/>
        </w:rPr>
        <w:t xml:space="preserve">Fabricated Artefacts: </w:t>
      </w:r>
      <w:r>
        <w:rPr>
          <w:rFonts w:ascii="Calibri" w:hAnsi="Calibri"/>
          <w:color w:val="262626"/>
          <w:sz w:val="22"/>
        </w:rPr>
        <w:t>Generating fake test results, screenshots, or defect logs not produced by actual software execution.</w:t>
      </w:r>
    </w:p>
    <w:p>
      <w:pPr>
        <w:pStyle w:val="ListBullet"/>
        <w:spacing w:before="0" w:after="60" w:line="276" w:lineRule="auto"/>
      </w:pPr>
      <w:r>
        <w:rPr>
          <w:rFonts w:ascii="Calibri" w:hAnsi="Calibri"/>
          <w:b/>
          <w:color w:val="262626"/>
          <w:sz w:val="22"/>
        </w:rPr>
        <w:t xml:space="preserve">Direct Agent Commits: </w:t>
      </w:r>
      <w:r>
        <w:rPr>
          <w:rFonts w:ascii="Calibri" w:hAnsi="Calibri"/>
          <w:color w:val="262626"/>
          <w:sz w:val="22"/>
        </w:rPr>
        <w:t>Allowing an AI agent to commit directly to the `main` branch without human pull request review.</w:t>
      </w:r>
    </w:p>
    <w:p>
      <w:pPr>
        <w:pStyle w:val="ListBullet"/>
        <w:spacing w:before="0" w:after="60" w:line="276" w:lineRule="auto"/>
      </w:pPr>
      <w:r>
        <w:rPr>
          <w:rFonts w:ascii="Calibri" w:hAnsi="Calibri"/>
          <w:b/>
          <w:color w:val="262626"/>
          <w:sz w:val="22"/>
        </w:rPr>
        <w:t xml:space="preserve">Data Privacy Breaches: </w:t>
      </w:r>
      <w:r>
        <w:rPr>
          <w:rFonts w:ascii="Calibri" w:hAnsi="Calibri"/>
          <w:color w:val="262626"/>
          <w:sz w:val="22"/>
        </w:rPr>
        <w:t>Pasting real personal, institutional, or sensitive student data into external LLMs.</w:t>
      </w:r>
    </w:p>
    <w:p>
      <w:pPr>
        <w:keepNext/>
        <w:spacing w:before="320" w:after="120"/>
      </w:pPr>
      <w:r>
        <w:rPr>
          <w:rFonts w:ascii="Arial" w:hAnsi="Arial"/>
          <w:b/>
          <w:color w:val="1B365D"/>
          <w:sz w:val="32"/>
        </w:rPr>
        <w:t>8. Marking Scheme Deconstruction &amp; Score Maximization Strategy</w:t>
      </w:r>
    </w:p>
    <w:p>
      <w:pPr>
        <w:spacing w:before="0" w:after="80" w:line="276" w:lineRule="auto"/>
      </w:pPr>
      <w:r>
        <w:rPr>
          <w:rFonts w:ascii="Calibri" w:hAnsi="Calibri"/>
          <w:i w:val="0"/>
          <w:color w:val="262626"/>
          <w:sz w:val="22"/>
        </w:rPr>
        <w:t>The 100 available marks are distributed across eight distinct evaluation criteria. Strategic score optimization requires aligning effort directly with mark allocations:</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3120"/>
        <w:gridCol w:w="3120"/>
        <w:gridCol w:w="3120"/>
      </w:tblGrid>
      <w:tr>
        <w:tc>
          <w:tcPr>
            <w:tcW w:type="dxa" w:w="3120"/>
            <w:shd w:fill="1B365D"/>
            <w:tcMar>
              <w:top w:w="100" w:type="dxa"/>
              <w:bottom w:w="100" w:type="dxa"/>
              <w:left w:w="100" w:type="dxa"/>
              <w:right w:w="100" w:type="dxa"/>
            </w:tcMar>
          </w:tcPr>
          <w:p>
            <w:pPr>
              <w:spacing w:after="0"/>
            </w:pPr>
            <w:r>
              <w:rPr>
                <w:rFonts w:ascii="Arial" w:hAnsi="Arial"/>
                <w:b/>
                <w:color w:val="FFFFFF"/>
                <w:sz w:val="19"/>
              </w:rPr>
              <w:t>Evaluation Criterion</w:t>
            </w:r>
          </w:p>
        </w:tc>
        <w:tc>
          <w:tcPr>
            <w:tcW w:type="dxa" w:w="3120"/>
            <w:shd w:fill="1B365D"/>
            <w:tcMar>
              <w:top w:w="100" w:type="dxa"/>
              <w:bottom w:w="100" w:type="dxa"/>
              <w:left w:w="100" w:type="dxa"/>
              <w:right w:w="100" w:type="dxa"/>
            </w:tcMar>
          </w:tcPr>
          <w:p>
            <w:pPr>
              <w:spacing w:after="0"/>
            </w:pPr>
            <w:r>
              <w:rPr>
                <w:rFonts w:ascii="Arial" w:hAnsi="Arial"/>
                <w:b/>
                <w:color w:val="FFFFFF"/>
                <w:sz w:val="19"/>
              </w:rPr>
              <w:t>Marks Allocation</w:t>
            </w:r>
          </w:p>
        </w:tc>
        <w:tc>
          <w:tcPr>
            <w:tcW w:type="dxa" w:w="3120"/>
            <w:shd w:fill="1B365D"/>
            <w:tcMar>
              <w:top w:w="100" w:type="dxa"/>
              <w:bottom w:w="100" w:type="dxa"/>
              <w:left w:w="100" w:type="dxa"/>
              <w:right w:w="100" w:type="dxa"/>
            </w:tcMar>
          </w:tcPr>
          <w:p>
            <w:pPr>
              <w:spacing w:after="0"/>
            </w:pPr>
            <w:r>
              <w:rPr>
                <w:rFonts w:ascii="Arial" w:hAnsi="Arial"/>
                <w:b/>
                <w:color w:val="FFFFFF"/>
                <w:sz w:val="19"/>
              </w:rPr>
              <w:t>Strategic Score Maximization Tactic</w:t>
            </w:r>
          </w:p>
        </w:tc>
      </w:tr>
      <w:tr>
        <w:tc>
          <w:tcPr>
            <w:tcW w:type="dxa" w:w="3120"/>
            <w:shd w:fill="F9FAFC"/>
            <w:tcMar>
              <w:top w:w="80" w:type="dxa"/>
              <w:bottom w:w="80" w:type="dxa"/>
              <w:left w:w="100" w:type="dxa"/>
              <w:right w:w="100" w:type="dxa"/>
            </w:tcMar>
          </w:tcPr>
          <w:p>
            <w:pPr>
              <w:spacing w:after="0"/>
            </w:pPr>
            <w:r>
              <w:rPr>
                <w:rFonts w:ascii="Calibri" w:hAnsi="Calibri"/>
                <w:b/>
                <w:sz w:val="18"/>
              </w:rPr>
              <w:t>Requirements &amp; Analysis (SRS)</w:t>
            </w:r>
          </w:p>
        </w:tc>
        <w:tc>
          <w:tcPr>
            <w:tcW w:type="dxa" w:w="3120"/>
            <w:shd w:fill="F9FAFC"/>
            <w:tcMar>
              <w:top w:w="80" w:type="dxa"/>
              <w:bottom w:w="80" w:type="dxa"/>
              <w:left w:w="100" w:type="dxa"/>
              <w:right w:w="100" w:type="dxa"/>
            </w:tcMar>
          </w:tcPr>
          <w:p>
            <w:pPr>
              <w:spacing w:after="0"/>
            </w:pPr>
            <w:r>
              <w:rPr>
                <w:rFonts w:ascii="Calibri" w:hAnsi="Calibri"/>
                <w:b/>
                <w:sz w:val="18"/>
              </w:rPr>
              <w:t>10 Marks</w:t>
            </w:r>
          </w:p>
        </w:tc>
        <w:tc>
          <w:tcPr>
            <w:tcW w:type="dxa" w:w="3120"/>
            <w:shd w:fill="F9FAFC"/>
            <w:tcMar>
              <w:top w:w="80" w:type="dxa"/>
              <w:bottom w:w="80" w:type="dxa"/>
              <w:left w:w="100" w:type="dxa"/>
              <w:right w:w="100" w:type="dxa"/>
            </w:tcMar>
          </w:tcPr>
          <w:p>
            <w:pPr>
              <w:spacing w:after="0"/>
            </w:pPr>
            <w:r>
              <w:rPr>
                <w:rFonts w:ascii="Calibri" w:hAnsi="Calibri"/>
                <w:sz w:val="18"/>
              </w:rPr>
              <w:t>Ensure all 6 use cases include explicit main &amp; alternate flows and measurable acceptance criteria.</w:t>
            </w:r>
          </w:p>
        </w:tc>
      </w:tr>
      <w:tr>
        <w:tc>
          <w:tcPr>
            <w:tcW w:type="dxa" w:w="3120"/>
            <w:shd w:fill="FFFFFF"/>
            <w:tcMar>
              <w:top w:w="80" w:type="dxa"/>
              <w:bottom w:w="80" w:type="dxa"/>
              <w:left w:w="100" w:type="dxa"/>
              <w:right w:w="100" w:type="dxa"/>
            </w:tcMar>
          </w:tcPr>
          <w:p>
            <w:pPr>
              <w:spacing w:after="0"/>
            </w:pPr>
            <w:r>
              <w:rPr>
                <w:rFonts w:ascii="Calibri" w:hAnsi="Calibri"/>
                <w:b/>
                <w:sz w:val="18"/>
              </w:rPr>
              <w:t>System Design &amp; Architecture</w:t>
            </w:r>
          </w:p>
        </w:tc>
        <w:tc>
          <w:tcPr>
            <w:tcW w:type="dxa" w:w="3120"/>
            <w:shd w:fill="FFFFFF"/>
            <w:tcMar>
              <w:top w:w="80" w:type="dxa"/>
              <w:bottom w:w="80" w:type="dxa"/>
              <w:left w:w="100" w:type="dxa"/>
              <w:right w:w="100" w:type="dxa"/>
            </w:tcMar>
          </w:tcPr>
          <w:p>
            <w:pPr>
              <w:spacing w:after="0"/>
            </w:pPr>
            <w:r>
              <w:rPr>
                <w:rFonts w:ascii="Calibri" w:hAnsi="Calibri"/>
                <w:b/>
                <w:sz w:val="18"/>
              </w:rPr>
              <w:t>15 Marks</w:t>
            </w:r>
          </w:p>
        </w:tc>
        <w:tc>
          <w:tcPr>
            <w:tcW w:type="dxa" w:w="3120"/>
            <w:shd w:fill="FFFFFF"/>
            <w:tcMar>
              <w:top w:w="80" w:type="dxa"/>
              <w:bottom w:w="80" w:type="dxa"/>
              <w:left w:w="100" w:type="dxa"/>
              <w:right w:w="100" w:type="dxa"/>
            </w:tcMar>
          </w:tcPr>
          <w:p>
            <w:pPr>
              <w:spacing w:after="0"/>
            </w:pPr>
            <w:r>
              <w:rPr>
                <w:rFonts w:ascii="Calibri" w:hAnsi="Calibri"/>
                <w:sz w:val="18"/>
              </w:rPr>
              <w:t>Ensure UML class diagram, 3NF ERD, and 3-layer architecture match actual Java code 100%.</w:t>
            </w:r>
          </w:p>
        </w:tc>
      </w:tr>
      <w:tr>
        <w:tc>
          <w:tcPr>
            <w:tcW w:type="dxa" w:w="3120"/>
            <w:shd w:fill="F9FAFC"/>
            <w:tcMar>
              <w:top w:w="80" w:type="dxa"/>
              <w:bottom w:w="80" w:type="dxa"/>
              <w:left w:w="100" w:type="dxa"/>
              <w:right w:w="100" w:type="dxa"/>
            </w:tcMar>
          </w:tcPr>
          <w:p>
            <w:pPr>
              <w:spacing w:after="0"/>
            </w:pPr>
            <w:r>
              <w:rPr>
                <w:rFonts w:ascii="Calibri" w:hAnsi="Calibri"/>
                <w:b/>
                <w:sz w:val="18"/>
              </w:rPr>
              <w:t>Backend Implementation</w:t>
            </w:r>
          </w:p>
        </w:tc>
        <w:tc>
          <w:tcPr>
            <w:tcW w:type="dxa" w:w="3120"/>
            <w:shd w:fill="F9FAFC"/>
            <w:tcMar>
              <w:top w:w="80" w:type="dxa"/>
              <w:bottom w:w="80" w:type="dxa"/>
              <w:left w:w="100" w:type="dxa"/>
              <w:right w:w="100" w:type="dxa"/>
            </w:tcMar>
          </w:tcPr>
          <w:p>
            <w:pPr>
              <w:spacing w:after="0"/>
            </w:pPr>
            <w:r>
              <w:rPr>
                <w:rFonts w:ascii="Calibri" w:hAnsi="Calibri"/>
                <w:b/>
                <w:sz w:val="18"/>
              </w:rPr>
              <w:t>15 Marks</w:t>
            </w:r>
          </w:p>
        </w:tc>
        <w:tc>
          <w:tcPr>
            <w:tcW w:type="dxa" w:w="3120"/>
            <w:shd w:fill="F9FAFC"/>
            <w:tcMar>
              <w:top w:w="80" w:type="dxa"/>
              <w:bottom w:w="80" w:type="dxa"/>
              <w:left w:w="100" w:type="dxa"/>
              <w:right w:w="100" w:type="dxa"/>
            </w:tcMar>
          </w:tcPr>
          <w:p>
            <w:pPr>
              <w:spacing w:after="0"/>
            </w:pPr>
            <w:r>
              <w:rPr>
                <w:rFonts w:ascii="Calibri" w:hAnsi="Calibri"/>
                <w:sz w:val="18"/>
              </w:rPr>
              <w:t>Strictly enforce `PreparedStatement` everywhere and showcase 1 multi-write atomic transaction.</w:t>
            </w:r>
          </w:p>
        </w:tc>
      </w:tr>
      <w:tr>
        <w:tc>
          <w:tcPr>
            <w:tcW w:type="dxa" w:w="3120"/>
            <w:shd w:fill="FFFFFF"/>
            <w:tcMar>
              <w:top w:w="80" w:type="dxa"/>
              <w:bottom w:w="80" w:type="dxa"/>
              <w:left w:w="100" w:type="dxa"/>
              <w:right w:w="100" w:type="dxa"/>
            </w:tcMar>
          </w:tcPr>
          <w:p>
            <w:pPr>
              <w:spacing w:after="0"/>
            </w:pPr>
            <w:r>
              <w:rPr>
                <w:rFonts w:ascii="Calibri" w:hAnsi="Calibri"/>
                <w:b/>
                <w:sz w:val="18"/>
              </w:rPr>
              <w:t>Logic &amp; Business Rules</w:t>
            </w:r>
          </w:p>
        </w:tc>
        <w:tc>
          <w:tcPr>
            <w:tcW w:type="dxa" w:w="3120"/>
            <w:shd w:fill="FFFFFF"/>
            <w:tcMar>
              <w:top w:w="80" w:type="dxa"/>
              <w:bottom w:w="80" w:type="dxa"/>
              <w:left w:w="100" w:type="dxa"/>
              <w:right w:w="100" w:type="dxa"/>
            </w:tcMar>
          </w:tcPr>
          <w:p>
            <w:pPr>
              <w:spacing w:after="0"/>
            </w:pPr>
            <w:r>
              <w:rPr>
                <w:rFonts w:ascii="Calibri" w:hAnsi="Calibri"/>
                <w:b/>
                <w:sz w:val="18"/>
              </w:rPr>
              <w:t>15 Marks</w:t>
            </w:r>
          </w:p>
        </w:tc>
        <w:tc>
          <w:tcPr>
            <w:tcW w:type="dxa" w:w="3120"/>
            <w:shd w:fill="FFFFFF"/>
            <w:tcMar>
              <w:top w:w="80" w:type="dxa"/>
              <w:bottom w:w="80" w:type="dxa"/>
              <w:left w:w="100" w:type="dxa"/>
              <w:right w:w="100" w:type="dxa"/>
            </w:tcMar>
          </w:tcPr>
          <w:p>
            <w:pPr>
              <w:spacing w:after="0"/>
            </w:pPr>
            <w:r>
              <w:rPr>
                <w:rFonts w:ascii="Calibri" w:hAnsi="Calibri"/>
                <w:sz w:val="18"/>
              </w:rPr>
              <w:t>Include explicit Big-O complexity analysis comments in service methods and select optimal collection types.</w:t>
            </w:r>
          </w:p>
        </w:tc>
      </w:tr>
      <w:tr>
        <w:tc>
          <w:tcPr>
            <w:tcW w:type="dxa" w:w="3120"/>
            <w:shd w:fill="F9FAFC"/>
            <w:tcMar>
              <w:top w:w="80" w:type="dxa"/>
              <w:bottom w:w="80" w:type="dxa"/>
              <w:left w:w="100" w:type="dxa"/>
              <w:right w:w="100" w:type="dxa"/>
            </w:tcMar>
          </w:tcPr>
          <w:p>
            <w:pPr>
              <w:spacing w:after="0"/>
            </w:pPr>
            <w:r>
              <w:rPr>
                <w:rFonts w:ascii="Calibri" w:hAnsi="Calibri"/>
                <w:b/>
                <w:sz w:val="18"/>
              </w:rPr>
              <w:t>Frontend Implementation</w:t>
            </w:r>
          </w:p>
        </w:tc>
        <w:tc>
          <w:tcPr>
            <w:tcW w:type="dxa" w:w="3120"/>
            <w:shd w:fill="F9FAFC"/>
            <w:tcMar>
              <w:top w:w="80" w:type="dxa"/>
              <w:bottom w:w="80" w:type="dxa"/>
              <w:left w:w="100" w:type="dxa"/>
              <w:right w:w="100" w:type="dxa"/>
            </w:tcMar>
          </w:tcPr>
          <w:p>
            <w:pPr>
              <w:spacing w:after="0"/>
            </w:pPr>
            <w:r>
              <w:rPr>
                <w:rFonts w:ascii="Calibri" w:hAnsi="Calibri"/>
                <w:b/>
                <w:sz w:val="18"/>
              </w:rPr>
              <w:t>15 Marks</w:t>
            </w:r>
          </w:p>
        </w:tc>
        <w:tc>
          <w:tcPr>
            <w:tcW w:type="dxa" w:w="3120"/>
            <w:shd w:fill="F9FAFC"/>
            <w:tcMar>
              <w:top w:w="80" w:type="dxa"/>
              <w:bottom w:w="80" w:type="dxa"/>
              <w:left w:w="100" w:type="dxa"/>
              <w:right w:w="100" w:type="dxa"/>
            </w:tcMar>
          </w:tcPr>
          <w:p>
            <w:pPr>
              <w:spacing w:after="0"/>
            </w:pPr>
            <w:r>
              <w:rPr>
                <w:rFonts w:ascii="Calibri" w:hAnsi="Calibri"/>
                <w:sz w:val="18"/>
              </w:rPr>
              <w:t>Ensure zero logic in controllers, implement robust client-side input validation, and polish JavaFX CSS styling.</w:t>
            </w:r>
          </w:p>
        </w:tc>
      </w:tr>
      <w:tr>
        <w:tc>
          <w:tcPr>
            <w:tcW w:type="dxa" w:w="3120"/>
            <w:shd w:fill="FFFFFF"/>
            <w:tcMar>
              <w:top w:w="80" w:type="dxa"/>
              <w:bottom w:w="80" w:type="dxa"/>
              <w:left w:w="100" w:type="dxa"/>
              <w:right w:w="100" w:type="dxa"/>
            </w:tcMar>
          </w:tcPr>
          <w:p>
            <w:pPr>
              <w:spacing w:after="0"/>
            </w:pPr>
            <w:r>
              <w:rPr>
                <w:rFonts w:ascii="Calibri" w:hAnsi="Calibri"/>
                <w:b/>
                <w:sz w:val="18"/>
              </w:rPr>
              <w:t>Testing &amp; Quality Assurance</w:t>
            </w:r>
          </w:p>
        </w:tc>
        <w:tc>
          <w:tcPr>
            <w:tcW w:type="dxa" w:w="3120"/>
            <w:shd w:fill="FFFFFF"/>
            <w:tcMar>
              <w:top w:w="80" w:type="dxa"/>
              <w:bottom w:w="80" w:type="dxa"/>
              <w:left w:w="100" w:type="dxa"/>
              <w:right w:w="100" w:type="dxa"/>
            </w:tcMar>
          </w:tcPr>
          <w:p>
            <w:pPr>
              <w:spacing w:after="0"/>
            </w:pPr>
            <w:r>
              <w:rPr>
                <w:rFonts w:ascii="Calibri" w:hAnsi="Calibri"/>
                <w:b/>
                <w:sz w:val="18"/>
              </w:rPr>
              <w:t>10 Marks</w:t>
            </w:r>
          </w:p>
        </w:tc>
        <w:tc>
          <w:tcPr>
            <w:tcW w:type="dxa" w:w="3120"/>
            <w:shd w:fill="FFFFFF"/>
            <w:tcMar>
              <w:top w:w="80" w:type="dxa"/>
              <w:bottom w:w="80" w:type="dxa"/>
              <w:left w:w="100" w:type="dxa"/>
              <w:right w:w="100" w:type="dxa"/>
            </w:tcMar>
          </w:tcPr>
          <w:p>
            <w:pPr>
              <w:spacing w:after="0"/>
            </w:pPr>
            <w:r>
              <w:rPr>
                <w:rFonts w:ascii="Calibri" w:hAnsi="Calibri"/>
                <w:sz w:val="18"/>
              </w:rPr>
              <w:t>Achieve high JUnit 5 coverage on service layer boundary/failure cases; maintain an honest defect log.</w:t>
            </w:r>
          </w:p>
        </w:tc>
      </w:tr>
      <w:tr>
        <w:tc>
          <w:tcPr>
            <w:tcW w:type="dxa" w:w="3120"/>
            <w:shd w:fill="F9FAFC"/>
            <w:tcMar>
              <w:top w:w="80" w:type="dxa"/>
              <w:bottom w:w="80" w:type="dxa"/>
              <w:left w:w="100" w:type="dxa"/>
              <w:right w:w="100" w:type="dxa"/>
            </w:tcMar>
          </w:tcPr>
          <w:p>
            <w:pPr>
              <w:spacing w:after="0"/>
            </w:pPr>
            <w:r>
              <w:rPr>
                <w:rFonts w:ascii="Calibri" w:hAnsi="Calibri"/>
                <w:b/>
                <w:sz w:val="18"/>
              </w:rPr>
              <w:t>AI Usage &amp; Governance</w:t>
            </w:r>
          </w:p>
        </w:tc>
        <w:tc>
          <w:tcPr>
            <w:tcW w:type="dxa" w:w="3120"/>
            <w:shd w:fill="F9FAFC"/>
            <w:tcMar>
              <w:top w:w="80" w:type="dxa"/>
              <w:bottom w:w="80" w:type="dxa"/>
              <w:left w:w="100" w:type="dxa"/>
              <w:right w:w="100" w:type="dxa"/>
            </w:tcMar>
          </w:tcPr>
          <w:p>
            <w:pPr>
              <w:spacing w:after="0"/>
            </w:pPr>
            <w:r>
              <w:rPr>
                <w:rFonts w:ascii="Calibri" w:hAnsi="Calibri"/>
                <w:b/>
                <w:sz w:val="18"/>
              </w:rPr>
              <w:t>10 Marks</w:t>
            </w:r>
          </w:p>
        </w:tc>
        <w:tc>
          <w:tcPr>
            <w:tcW w:type="dxa" w:w="3120"/>
            <w:shd w:fill="F9FAFC"/>
            <w:tcMar>
              <w:top w:w="80" w:type="dxa"/>
              <w:bottom w:w="80" w:type="dxa"/>
              <w:left w:w="100" w:type="dxa"/>
              <w:right w:w="100" w:type="dxa"/>
            </w:tcMar>
          </w:tcPr>
          <w:p>
            <w:pPr>
              <w:spacing w:after="0"/>
            </w:pPr>
            <w:r>
              <w:rPr>
                <w:rFonts w:ascii="Calibri" w:hAnsi="Calibri"/>
                <w:sz w:val="18"/>
              </w:rPr>
              <w:t>Maintain 15+ rich log entries demonstrating critical verification and caught AI mistakes.</w:t>
            </w:r>
          </w:p>
        </w:tc>
      </w:tr>
      <w:tr>
        <w:tc>
          <w:tcPr>
            <w:tcW w:type="dxa" w:w="3120"/>
            <w:shd w:fill="FFFFFF"/>
            <w:tcMar>
              <w:top w:w="80" w:type="dxa"/>
              <w:bottom w:w="80" w:type="dxa"/>
              <w:left w:w="100" w:type="dxa"/>
              <w:right w:w="100" w:type="dxa"/>
            </w:tcMar>
          </w:tcPr>
          <w:p>
            <w:pPr>
              <w:spacing w:after="0"/>
            </w:pPr>
            <w:r>
              <w:rPr>
                <w:rFonts w:ascii="Calibri" w:hAnsi="Calibri"/>
                <w:b/>
                <w:sz w:val="18"/>
              </w:rPr>
              <w:t>Process &amp; Viva Performance</w:t>
            </w:r>
          </w:p>
        </w:tc>
        <w:tc>
          <w:tcPr>
            <w:tcW w:type="dxa" w:w="3120"/>
            <w:shd w:fill="FFFFFF"/>
            <w:tcMar>
              <w:top w:w="80" w:type="dxa"/>
              <w:bottom w:w="80" w:type="dxa"/>
              <w:left w:w="100" w:type="dxa"/>
              <w:right w:w="100" w:type="dxa"/>
            </w:tcMar>
          </w:tcPr>
          <w:p>
            <w:pPr>
              <w:spacing w:after="0"/>
            </w:pPr>
            <w:r>
              <w:rPr>
                <w:rFonts w:ascii="Calibri" w:hAnsi="Calibri"/>
                <w:b/>
                <w:sz w:val="18"/>
              </w:rPr>
              <w:t>10 Marks</w:t>
            </w:r>
          </w:p>
        </w:tc>
        <w:tc>
          <w:tcPr>
            <w:tcW w:type="dxa" w:w="3120"/>
            <w:shd w:fill="FFFFFF"/>
            <w:tcMar>
              <w:top w:w="80" w:type="dxa"/>
              <w:bottom w:w="80" w:type="dxa"/>
              <w:left w:w="100" w:type="dxa"/>
              <w:right w:w="100" w:type="dxa"/>
            </w:tcMar>
          </w:tcPr>
          <w:p>
            <w:pPr>
              <w:spacing w:after="0"/>
            </w:pPr>
            <w:r>
              <w:rPr>
                <w:rFonts w:ascii="Calibri" w:hAnsi="Calibri"/>
                <w:sz w:val="18"/>
              </w:rPr>
              <w:t>Maintain frequent small commits per member, clean branch PR reviews, and deliver sharp viva answers.</w:t>
            </w:r>
          </w:p>
        </w:tc>
      </w:tr>
    </w:tbl>
    <w:p>
      <w:pPr>
        <w:spacing w:after="120"/>
      </w:pPr>
    </w:p>
    <w:p>
      <w:pPr>
        <w:keepNext/>
        <w:spacing w:before="320" w:after="120"/>
      </w:pPr>
      <w:r>
        <w:rPr>
          <w:rFonts w:ascii="Arial" w:hAnsi="Arial"/>
          <w:b/>
          <w:color w:val="1B365D"/>
          <w:sz w:val="32"/>
        </w:rPr>
        <w:t>9. Standard Repository Architecture &amp; Collaboration Guidelines</w:t>
      </w:r>
    </w:p>
    <w:p>
      <w:pPr>
        <w:spacing w:before="0" w:after="80" w:line="276" w:lineRule="auto"/>
      </w:pPr>
      <w:r>
        <w:rPr>
          <w:rFonts w:ascii="Calibri" w:hAnsi="Calibri"/>
          <w:i w:val="0"/>
          <w:color w:val="262626"/>
          <w:sz w:val="22"/>
        </w:rPr>
        <w:t>Repository structure must conform to Appendix A of the brief. Correct layout ensures automated build tools and examiners can easily locate artefacts:</w:t>
      </w:r>
    </w:p>
    <w:p>
      <w:pPr>
        <w:keepNext/>
        <w:spacing w:before="240" w:after="80"/>
      </w:pPr>
      <w:r>
        <w:rPr>
          <w:rFonts w:ascii="Arial" w:hAnsi="Arial"/>
          <w:b/>
          <w:color w:val="2E75B6"/>
          <w:sz w:val="26"/>
        </w:rPr>
        <w:t>Project Directory File Tree</w:t>
      </w:r>
    </w:p>
    <w:p>
      <w:pPr>
        <w:spacing w:before="80" w:after="120"/>
      </w:pPr>
      <w:r>
        <w:rPr>
          <w:rFonts w:ascii="Consolas" w:hAnsi="Consolas"/>
          <w:color w:val="1B365D"/>
          <w:sz w:val="17"/>
        </w:rPr>
        <w:t>project-root/</w:t>
        <w:br/>
        <w:t>│── docs/</w:t>
        <w:br/>
        <w:t>│   ├── srs.pdf                    # Software Requirements Specification (Max 6 pages)</w:t>
        <w:br/>
        <w:t>│   ├── design.pdf                 # System Design Document (UML, ERD, Layering)</w:t>
        <w:br/>
        <w:t>│   ├── test-plan.pdf              # Comprehensive Test Plan &amp; Strategy</w:t>
        <w:br/>
        <w:t>│   ├── retrospective.md           # Iteration retrospective &amp; lessons learned</w:t>
        <w:br/>
        <w:t>│   ├── ai-interaction-log.md      # Mandatory 15+ entry AI interaction log</w:t>
        <w:br/>
        <w:t>│   ├── meeting-log.md             # Weekly meeting minutes &amp; decision records</w:t>
        <w:br/>
        <w:t>│   └── defect-log.md              # Log of found, fixed, and re-tested defects</w:t>
        <w:br/>
        <w:t>│── db/</w:t>
        <w:br/>
        <w:t>│   ├── schema.sql                 # DDL script creating 3NF relational schema</w:t>
        <w:br/>
        <w:t>│   ├── seed.sql                   # Synthetic test data insertion script</w:t>
        <w:br/>
        <w:t>│   └── migrations/                # Schema migration scripts</w:t>
        <w:br/>
        <w:t>│── src/</w:t>
        <w:br/>
        <w:t>│   ├── main/java/app/</w:t>
        <w:br/>
        <w:t>│   │   ├── model/                 # Domain Entity Classes (Loan, Member, Product...)</w:t>
        <w:br/>
        <w:t>│   │   ├── dao/                   # DAO Interfaces &amp; MySQL JDBC Implementations</w:t>
        <w:br/>
        <w:t>│   │   ├── service/               # Service Layer (Business Rules &amp; Transactions)</w:t>
        <w:br/>
        <w:t>│   │   └── ui/                    # JavaFX Controllers ONLY (Zero SQL / Business Rules)</w:t>
        <w:br/>
        <w:t>│   └── main/resources/</w:t>
        <w:br/>
        <w:t>│       ├── *.fxml                 # JavaFX FXML Layout files</w:t>
        <w:br/>
        <w:t>│       ├── style.css              # Custom JavaFX Application Styling</w:t>
        <w:br/>
        <w:t>│       └── config.properties.example # DB configuration template (No real passwords!)</w:t>
        <w:br/>
        <w:t>│── src/test/java/                 # JUnit 5 Service &amp; Unit Test Suite</w:t>
        <w:br/>
        <w:t>│── .gitignore                     # Must exclude build/ and config.properties</w:t>
        <w:br/>
        <w:t>└── README.md                      # Build, configure, and execution instructions</w:t>
      </w:r>
    </w:p>
    <w:p>
      <w:pPr>
        <w:keepNext/>
        <w:spacing w:before="240" w:after="80"/>
      </w:pPr>
      <w:r>
        <w:rPr>
          <w:rFonts w:ascii="Arial" w:hAnsi="Arial"/>
          <w:b/>
          <w:color w:val="2E75B6"/>
          <w:sz w:val="26"/>
        </w:rPr>
        <w:t>Git Collaboration &amp; PR Review Rules</w:t>
      </w:r>
    </w:p>
    <w:p>
      <w:pPr>
        <w:pStyle w:val="ListBullet"/>
        <w:spacing w:before="0" w:after="60" w:line="276" w:lineRule="auto"/>
      </w:pPr>
      <w:r>
        <w:rPr>
          <w:rFonts w:ascii="Calibri" w:hAnsi="Calibri"/>
          <w:b/>
          <w:color w:val="262626"/>
          <w:sz w:val="22"/>
        </w:rPr>
        <w:t xml:space="preserve">Protected Main Branch: </w:t>
      </w:r>
      <w:r>
        <w:rPr>
          <w:rFonts w:ascii="Calibri" w:hAnsi="Calibri"/>
          <w:color w:val="262626"/>
          <w:sz w:val="22"/>
        </w:rPr>
        <w:t>The `main` branch is protected. Code reaches `main` ONLY through Pull Requests (PRs).</w:t>
      </w:r>
    </w:p>
    <w:p>
      <w:pPr>
        <w:pStyle w:val="ListBullet"/>
        <w:spacing w:before="0" w:after="60" w:line="276" w:lineRule="auto"/>
      </w:pPr>
      <w:r>
        <w:rPr>
          <w:rFonts w:ascii="Calibri" w:hAnsi="Calibri"/>
          <w:b/>
          <w:color w:val="262626"/>
          <w:sz w:val="22"/>
        </w:rPr>
        <w:t xml:space="preserve">Branch Naming: </w:t>
      </w:r>
      <w:r>
        <w:rPr>
          <w:rFonts w:ascii="Calibri" w:hAnsi="Calibri"/>
          <w:color w:val="262626"/>
          <w:sz w:val="22"/>
        </w:rPr>
        <w:t>Feature branches must be named descriptively (e.g., `feature/student-dao`, `feature/gpa-calculator`).</w:t>
      </w:r>
    </w:p>
    <w:p>
      <w:pPr>
        <w:pStyle w:val="ListBullet"/>
        <w:spacing w:before="0" w:after="60" w:line="276" w:lineRule="auto"/>
      </w:pPr>
      <w:r>
        <w:rPr>
          <w:rFonts w:ascii="Calibri" w:hAnsi="Calibri"/>
          <w:b/>
          <w:color w:val="262626"/>
          <w:sz w:val="22"/>
        </w:rPr>
        <w:t xml:space="preserve">Peer Review Rule: </w:t>
      </w:r>
      <w:r>
        <w:rPr>
          <w:rFonts w:ascii="Calibri" w:hAnsi="Calibri"/>
          <w:color w:val="262626"/>
          <w:sz w:val="22"/>
        </w:rPr>
        <w:t>Every PR must be reviewed and approved by a team member other than the author. Self-approvals score zero for process.</w:t>
      </w:r>
    </w:p>
    <w:p>
      <w:pPr>
        <w:pStyle w:val="ListBullet"/>
        <w:spacing w:before="0" w:after="60" w:line="276" w:lineRule="auto"/>
      </w:pPr>
      <w:r>
        <w:rPr>
          <w:rFonts w:ascii="Calibri" w:hAnsi="Calibri"/>
          <w:b/>
          <w:color w:val="262626"/>
          <w:sz w:val="22"/>
        </w:rPr>
        <w:t xml:space="preserve">Commit Discipline: </w:t>
      </w:r>
      <w:r>
        <w:rPr>
          <w:rFonts w:ascii="Calibri" w:hAnsi="Calibri"/>
          <w:color w:val="262626"/>
          <w:sz w:val="22"/>
        </w:rPr>
        <w:t>Commits must be frequent and small, made under individual accounts with descriptive messages stating what changed and why.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Page Document - AI-Assisted Full-Stack Java Application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CSC 508: Structured &amp; Object-Oriented Programming II | Logical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