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9360"/>
      </w:tblGrid>
      <w:tr>
        <w:tc>
          <w:tcPr>
            <w:tcW w:type="dxa" w:w="9360"/>
            <w:shd w:val="clear" w:color="auto" w:fill="1A1A2E"/>
          </w:tcPr>
          <w:p>
            <w:pPr>
              <w:jc w:val="center"/>
            </w:pPr>
            <w:r>
              <w:rPr>
                <w:b/>
                <w:color w:val="AACCFF"/>
                <w:sz w:val="20"/>
              </w:rPr>
              <w:t>MCCoE CYBERSECURITY APPRENTICESHIP PROGRAM</w:t>
            </w:r>
          </w:p>
        </w:tc>
      </w:tr>
      <w:tr>
        <w:tc>
          <w:tcPr>
            <w:tcW w:type="dxa" w:w="9360"/>
            <w:shd w:val="clear" w:color="auto" w:fill="EE2207"/>
          </w:tcPr>
          <w:p>
            <w:pPr>
              <w:jc w:val="center"/>
            </w:pPr>
            <w:r>
              <w:rPr>
                <w:b/>
                <w:color w:val="FFFFFF"/>
                <w:sz w:val="26"/>
              </w:rPr>
              <w:t>PROJECT 5 OF 8  —  PART 1: INCIDENT DEEP DIVE</w:t>
            </w:r>
          </w:p>
        </w:tc>
      </w:tr>
      <w:tr>
        <w:tc>
          <w:tcPr>
            <w:tcW w:type="dxa" w:w="9360"/>
            <w:shd w:val="clear" w:color="auto" w:fill="1A1A2E"/>
          </w:tcPr>
          <w:p>
            <w:pPr>
              <w:jc w:val="center"/>
            </w:pPr>
            <w:r>
              <w:rPr>
                <w:b/>
                <w:color w:val="EE2207"/>
                <w:sz w:val="32"/>
              </w:rPr>
              <w:t>SOLARWINDS SUPPLY CHAIN ATTACK (2020)</w:t>
            </w:r>
          </w:p>
        </w:tc>
      </w:tr>
    </w:tbl>
    <w:p/>
    <w:p>
      <w:pPr>
        <w:jc w:val="center"/>
      </w:pPr>
      <w:r>
        <w:rPr>
          <w:i/>
          <w:color w:val="555555"/>
          <w:sz w:val="22"/>
        </w:rPr>
        <w:t>Nation-State Attack · Supply Chain · 18,000 Victims · 9 Months Undetected</w:t>
      </w:r>
    </w:p>
    <w:p/>
    <w:p>
      <w:pPr>
        <w:ind w:left="216"/>
        <w:shd w:val="clear" w:color="auto" w:fill="E8F4FD"/>
      </w:pPr>
      <w:r>
        <w:rPr>
          <w:b/>
          <w:color w:val="1A1A2E"/>
          <w:sz w:val="20"/>
        </w:rPr>
        <w:t xml:space="preserve">📋 THIS PROJECT:  </w:t>
      </w:r>
      <w:r>
        <w:rPr>
          <w:color w:val="555555"/>
          <w:sz w:val="20"/>
        </w:rPr>
        <w:t>Understand what happened, map the attack, research the CVE. This project ends with a CVE Research Worksheet (50 points).</w:t>
      </w:r>
    </w:p>
    <w:p>
      <w:pPr>
        <w:ind w:left="216"/>
        <w:shd w:val="clear" w:color="auto" w:fill="FFF3CD"/>
      </w:pPr>
      <w:r>
        <w:rPr>
          <w:b/>
          <w:color w:val="7B4A00"/>
          <w:sz w:val="20"/>
        </w:rPr>
        <w:t xml:space="preserve">🔍 CVE / ADVISORY:  </w:t>
      </w:r>
      <w:r>
        <w:rPr>
          <w:color w:val="7B4A00"/>
          <w:sz w:val="20"/>
        </w:rPr>
        <w:t>CVE-2020-10148 (SolarWinds Orion API Authentication Bypass, CVSS 9.8 CRITICAL) — nvd.nist.gov</w:t>
      </w:r>
    </w:p>
    <w:p/>
    <w:p>
      <w:r>
        <w:rPr>
          <w:b/>
          <w:color w:val="EE2207"/>
          <w:sz w:val="34"/>
        </w:rPr>
        <w:t>INCIDENT OVERVIEW</w:t>
      </w:r>
    </w:p>
    <w:p>
      <w:r>
        <w:rPr>
          <w:color w:val="555555"/>
          <w:sz w:val="22"/>
        </w:rPr>
        <w:t>In late 2020, security firm FireEye discovered that nation-state attackers — later attributed to Russia's SVR intelligence service (APT29/Cozy Bear) — had injected malicious code (SUNBURST) into SolarWinds' Orion IT monitoring software update. Approximately 18,000 organizations installed the trojanized update. Victims included U.S. Departments of Treasury, State, Homeland Security, Defense, and Justice, plus Microsoft and thousands of private organizations. Attackers remained undetected for 9+ months, moving silently through government networks. This is widely considered the most sophisticated cyberattack in history.</w:t>
      </w:r>
    </w:p>
    <w:p/>
    <w:p>
      <w:r>
        <w:rPr>
          <w:b/>
          <w:color w:val="1A1A2E"/>
          <w:sz w:val="26"/>
        </w:rPr>
        <w:t>KEY FACTS AT A GLANCE</w:t>
      </w:r>
    </w:p>
    <w:p>
      <w:pPr>
        <w:pStyle w:val="ListBullet"/>
      </w:pPr>
      <w:r>
        <w:rPr>
          <w:color w:val="555555"/>
          <w:sz w:val="20"/>
        </w:rPr>
        <w:t>~18,000 organizations downloaded the trojanized Orion software update</w:t>
      </w:r>
    </w:p>
    <w:p>
      <w:pPr>
        <w:pStyle w:val="ListBullet"/>
      </w:pPr>
      <w:r>
        <w:rPr>
          <w:color w:val="555555"/>
          <w:sz w:val="20"/>
        </w:rPr>
        <w:t>~100 organizations were actively exploited for deeper access (including U.S. government agencies)</w:t>
      </w:r>
    </w:p>
    <w:p>
      <w:pPr>
        <w:pStyle w:val="ListBullet"/>
      </w:pPr>
      <w:r>
        <w:rPr>
          <w:color w:val="555555"/>
          <w:sz w:val="20"/>
        </w:rPr>
        <w:t>Attacker: APT29 / Cozy Bear — Russia's SVR foreign intelligence service</w:t>
      </w:r>
    </w:p>
    <w:p>
      <w:pPr>
        <w:pStyle w:val="ListBullet"/>
      </w:pPr>
      <w:r>
        <w:rPr>
          <w:color w:val="555555"/>
          <w:sz w:val="20"/>
        </w:rPr>
        <w:t>SUNBURST backdoor stayed dormant for 12–14 days after installation before activating</w:t>
      </w:r>
    </w:p>
    <w:p>
      <w:pPr>
        <w:pStyle w:val="ListBullet"/>
      </w:pPr>
      <w:r>
        <w:rPr>
          <w:color w:val="555555"/>
          <w:sz w:val="20"/>
        </w:rPr>
        <w:t>Used DNS-based C2 — traffic blended perfectly with legitimate Orion network monitoring</w:t>
      </w:r>
    </w:p>
    <w:p>
      <w:pPr>
        <w:pStyle w:val="ListBullet"/>
      </w:pPr>
      <w:r>
        <w:rPr>
          <w:color w:val="555555"/>
          <w:sz w:val="20"/>
        </w:rPr>
        <w:t>Attackers remained undetected for approximately 9 months</w:t>
      </w:r>
    </w:p>
    <w:p>
      <w:pPr>
        <w:pStyle w:val="ListBullet"/>
      </w:pPr>
      <w:r>
        <w:rPr>
          <w:color w:val="555555"/>
          <w:sz w:val="20"/>
        </w:rPr>
        <w:t>Microsoft President Brad Smith called it "the most sophisticated and largest cyberattack in history"</w:t>
      </w:r>
    </w:p>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5 · DAY 1</w:t>
            </w:r>
          </w:p>
        </w:tc>
        <w:tc>
          <w:tcPr>
            <w:tcW w:type="dxa" w:w="6336"/>
            <w:shd w:val="clear" w:color="auto" w:fill="EE2207"/>
          </w:tcPr>
          <w:p>
            <w:r>
              <w:rPr>
                <w:b/>
                <w:color w:val="FFFFFF"/>
                <w:sz w:val="22"/>
              </w:rPr>
              <w:t xml:space="preserve">  MONDAY — INCIDENT INTRODUCTION + CIA TRIAD</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understand the SolarWinds Supply Chain Attack at a high level and apply the CIA Triad to identify which pillars were violated and how.</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Open with this: 'This week we are going to study one real incident in serious depth. By Thursday you will know this attack better than most IT professionals. Your goal is not just to memorize facts — your goal is to understand WHY it happened and WHAT it means.'</w:t>
      </w:r>
    </w:p>
    <w:p>
      <w:pPr>
        <w:ind w:left="288"/>
        <w:shd w:val="clear" w:color="auto" w:fill="FFF3CD"/>
      </w:pPr>
      <w:r>
        <w:rPr>
          <w:b/>
          <w:color w:val="7B4A00"/>
          <w:sz w:val="20"/>
        </w:rPr>
        <w:t xml:space="preserve">📢 TELL YOUR STUDENTS:  </w:t>
      </w:r>
      <w:r>
        <w:rPr>
          <w:color w:val="7B4A00"/>
          <w:sz w:val="20"/>
        </w:rPr>
        <w:t>CIA Triad teaching tip: Make it personal before making it technical. Ask: 'What would happen to you if your bank account was unavailable for a week? What if someone could read all your private messages? What if your medical records were changed?' Then connect those feelings to Availability, Confidentiality, and Integrity.</w:t>
      </w:r>
    </w:p>
    <w:p>
      <w:pPr>
        <w:ind w:left="288"/>
        <w:shd w:val="clear" w:color="auto" w:fill="FFF3CD"/>
      </w:pPr>
      <w:r>
        <w:rPr>
          <w:b/>
          <w:color w:val="7B4A00"/>
          <w:sz w:val="20"/>
        </w:rPr>
        <w:t xml:space="preserve">📢 TELL YOUR STUDENTS:  </w:t>
      </w:r>
      <w:r>
        <w:rPr>
          <w:color w:val="7B4A00"/>
          <w:sz w:val="20"/>
        </w:rPr>
        <w:t>When students read the incident overview, let the room go quiet. After reading, ask: 'What surprised you most?' Get emotional engagement before analysis.</w:t>
      </w:r>
    </w:p>
    <w:p>
      <w:pPr>
        <w:ind w:left="288"/>
        <w:shd w:val="clear" w:color="auto" w:fill="FFF3CD"/>
      </w:pPr>
      <w:r>
        <w:rPr>
          <w:b/>
          <w:color w:val="7B4A00"/>
          <w:sz w:val="20"/>
        </w:rPr>
        <w:t xml:space="preserve">📢 TELL YOUR STUDENTS:  </w:t>
      </w:r>
      <w:r>
        <w:rPr>
          <w:color w:val="7B4A00"/>
          <w:sz w:val="20"/>
        </w:rPr>
        <w:t>Push students to be specific on CIA mapping. 'SolarWinds Supply Chain Attack key insight: Confidentiality was the target — 9 months of government intelligence stolen. Availability was intentionally NOT disrupted — stealth was the goal.'</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0:00–0:15</w:t>
            </w:r>
          </w:p>
        </w:tc>
        <w:tc>
          <w:tcPr>
            <w:tcW w:type="dxa" w:w="2520"/>
            <w:shd w:val="clear" w:color="auto" w:fill="F8F9FA"/>
          </w:tcPr>
          <w:p>
            <w:r>
              <w:rPr>
                <w:b/>
                <w:color w:val="1A1A2E"/>
                <w:sz w:val="18"/>
              </w:rPr>
              <w:t>Welcome &amp; Project Overview</w:t>
            </w:r>
          </w:p>
        </w:tc>
        <w:tc>
          <w:tcPr>
            <w:tcW w:type="dxa" w:w="5904"/>
            <w:shd w:val="clear" w:color="auto" w:fill="F8F9FA"/>
          </w:tcPr>
          <w:p>
            <w:r>
              <w:rPr>
                <w:color w:val="555555"/>
                <w:sz w:val="18"/>
              </w:rPr>
              <w:t>Distribute Project 5 packet. Explain: this project is about understanding exactly what happened. Next project we apply frameworks and write the executive summary.</w:t>
            </w:r>
          </w:p>
        </w:tc>
      </w:tr>
      <w:tr>
        <w:tc>
          <w:tcPr>
            <w:tcW w:type="dxa" w:w="1224"/>
            <w:shd w:val="clear" w:color="auto" w:fill="FFFFFF"/>
          </w:tcPr>
          <w:p>
            <w:r>
              <w:rPr>
                <w:b/>
                <w:color w:val="EE2207"/>
                <w:sz w:val="18"/>
              </w:rPr>
              <w:t>0:15–0:45</w:t>
            </w:r>
          </w:p>
        </w:tc>
        <w:tc>
          <w:tcPr>
            <w:tcW w:type="dxa" w:w="2520"/>
            <w:shd w:val="clear" w:color="auto" w:fill="FFFFFF"/>
          </w:tcPr>
          <w:p>
            <w:r>
              <w:rPr>
                <w:b/>
                <w:color w:val="1A1A2E"/>
                <w:sz w:val="18"/>
              </w:rPr>
              <w:t>Lecture: CIA Triad</w:t>
            </w:r>
          </w:p>
        </w:tc>
        <w:tc>
          <w:tcPr>
            <w:tcW w:type="dxa" w:w="5904"/>
            <w:shd w:val="clear" w:color="auto" w:fill="FFFFFF"/>
          </w:tcPr>
          <w:p>
            <w:r>
              <w:rPr>
                <w:color w:val="555555"/>
                <w:sz w:val="18"/>
              </w:rPr>
              <w:t>Teach Confidentiality, Integrity, Availability. Use real-world examples. Ask: what happens when each one fails?</w:t>
            </w:r>
          </w:p>
        </w:tc>
      </w:tr>
      <w:tr>
        <w:tc>
          <w:tcPr>
            <w:tcW w:type="dxa" w:w="1224"/>
            <w:shd w:val="clear" w:color="auto" w:fill="F8F9FA"/>
          </w:tcPr>
          <w:p>
            <w:r>
              <w:rPr>
                <w:b/>
                <w:color w:val="EE2207"/>
                <w:sz w:val="18"/>
              </w:rPr>
              <w:t>0:45–1:10</w:t>
            </w:r>
          </w:p>
        </w:tc>
        <w:tc>
          <w:tcPr>
            <w:tcW w:type="dxa" w:w="2520"/>
            <w:shd w:val="clear" w:color="auto" w:fill="F8F9FA"/>
          </w:tcPr>
          <w:p>
            <w:r>
              <w:rPr>
                <w:b/>
                <w:color w:val="1A1A2E"/>
                <w:sz w:val="18"/>
              </w:rPr>
              <w:t>Read the Incident</w:t>
            </w:r>
          </w:p>
        </w:tc>
        <w:tc>
          <w:tcPr>
            <w:tcW w:type="dxa" w:w="5904"/>
            <w:shd w:val="clear" w:color="auto" w:fill="F8F9FA"/>
          </w:tcPr>
          <w:p>
            <w:r>
              <w:rPr>
                <w:color w:val="555555"/>
                <w:sz w:val="18"/>
              </w:rPr>
              <w:t>Students read the Incident Overview (15 min silent). Then open discussion: What happened? What was your first reaction?</w:t>
            </w:r>
          </w:p>
        </w:tc>
      </w:tr>
      <w:tr>
        <w:tc>
          <w:tcPr>
            <w:tcW w:type="dxa" w:w="1224"/>
            <w:shd w:val="clear" w:color="auto" w:fill="FFFFFF"/>
          </w:tcPr>
          <w:p>
            <w:r>
              <w:rPr>
                <w:b/>
                <w:color w:val="EE2207"/>
                <w:sz w:val="18"/>
              </w:rPr>
              <w:t>1:10–1:50</w:t>
            </w:r>
          </w:p>
        </w:tc>
        <w:tc>
          <w:tcPr>
            <w:tcW w:type="dxa" w:w="2520"/>
            <w:shd w:val="clear" w:color="auto" w:fill="FFFFFF"/>
          </w:tcPr>
          <w:p>
            <w:r>
              <w:rPr>
                <w:b/>
                <w:color w:val="1A1A2E"/>
                <w:sz w:val="18"/>
              </w:rPr>
              <w:t>CIA Triad Mapping Activity</w:t>
            </w:r>
          </w:p>
        </w:tc>
        <w:tc>
          <w:tcPr>
            <w:tcW w:type="dxa" w:w="5904"/>
            <w:shd w:val="clear" w:color="auto" w:fill="FFFFFF"/>
          </w:tcPr>
          <w:p>
            <w:r>
              <w:rPr>
                <w:color w:val="555555"/>
                <w:sz w:val="18"/>
              </w:rPr>
              <w:t>Students fill out their CIA Triad worksheet — which pillars were violated, specific evidence, impact rating (Low/Med/High/Critical).</w:t>
            </w:r>
          </w:p>
        </w:tc>
      </w:tr>
      <w:tr>
        <w:tc>
          <w:tcPr>
            <w:tcW w:type="dxa" w:w="1224"/>
            <w:shd w:val="clear" w:color="auto" w:fill="F8F9FA"/>
          </w:tcPr>
          <w:p>
            <w:r>
              <w:rPr>
                <w:b/>
                <w:color w:val="EE2207"/>
                <w:sz w:val="18"/>
              </w:rPr>
              <w:t>1:50–2:00</w:t>
            </w:r>
          </w:p>
        </w:tc>
        <w:tc>
          <w:tcPr>
            <w:tcW w:type="dxa" w:w="2520"/>
            <w:shd w:val="clear" w:color="auto" w:fill="F8F9FA"/>
          </w:tcPr>
          <w:p>
            <w:r>
              <w:rPr>
                <w:b/>
                <w:color w:val="1A1A2E"/>
                <w:sz w:val="18"/>
              </w:rPr>
              <w:t>Debrief &amp; Homework</w:t>
            </w:r>
          </w:p>
        </w:tc>
        <w:tc>
          <w:tcPr>
            <w:tcW w:type="dxa" w:w="5904"/>
            <w:shd w:val="clear" w:color="auto" w:fill="F8F9FA"/>
          </w:tcPr>
          <w:p>
            <w:r>
              <w:rPr>
                <w:color w:val="555555"/>
                <w:sz w:val="18"/>
              </w:rPr>
              <w:t>Share out. Homework: Write a 1-paragraph plain-English explanation of the incident for a non-technical reader.</w:t>
            </w:r>
          </w:p>
        </w:tc>
      </w:tr>
    </w:tbl>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5 · DAY 2</w:t>
            </w:r>
          </w:p>
        </w:tc>
        <w:tc>
          <w:tcPr>
            <w:tcW w:type="dxa" w:w="6336"/>
            <w:shd w:val="clear" w:color="auto" w:fill="EE2207"/>
          </w:tcPr>
          <w:p>
            <w:r>
              <w:rPr>
                <w:b/>
                <w:color w:val="FFFFFF"/>
                <w:sz w:val="22"/>
              </w:rPr>
              <w:t xml:space="preserve">  TUESDAY — CYBER KILL CHAIN — ALL 7 PHASES</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map the complete attack through all 7 Kill Chain phases using specific incident evidence.</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'Every attack follows a pattern. Once you know the pattern, you can predict it — and stop it. The Kill Chain is not just for understanding attacks. It shows you exactly where you can break the chain and stop the attacker.'</w:t>
      </w:r>
    </w:p>
    <w:p>
      <w:pPr>
        <w:ind w:left="288"/>
        <w:shd w:val="clear" w:color="auto" w:fill="FFF3CD"/>
      </w:pPr>
      <w:r>
        <w:rPr>
          <w:b/>
          <w:color w:val="7B4A00"/>
          <w:sz w:val="20"/>
        </w:rPr>
        <w:t xml:space="preserve">📢 TELL YOUR STUDENTS:  </w:t>
      </w:r>
      <w:r>
        <w:rPr>
          <w:color w:val="7B4A00"/>
          <w:sz w:val="20"/>
        </w:rPr>
        <w:t>The most teachable Kill Chain moment for SolarWinds Supply Chain Attack: 'Delivery — SolarWinds itself delivered the malware through its own legitimate, signed update. The victims did exactly what they were supposed to do and still got compromised.'</w:t>
      </w:r>
    </w:p>
    <w:p>
      <w:pPr>
        <w:ind w:left="288"/>
        <w:shd w:val="clear" w:color="auto" w:fill="FFF3CD"/>
      </w:pPr>
      <w:r>
        <w:rPr>
          <w:b/>
          <w:color w:val="7B4A00"/>
          <w:sz w:val="20"/>
        </w:rPr>
        <w:t xml:space="preserve">📢 TELL YOUR STUDENTS:  </w:t>
      </w:r>
      <w:r>
        <w:rPr>
          <w:color w:val="7B4A00"/>
          <w:sz w:val="20"/>
        </w:rPr>
        <w:t>'When you fill out this Kill Chain table — be SPECIFIC. Do not write: Delivery — sent malware. Write: Delivery — crafted phishing email impersonating an invoice, sent to Fazio Mechanical HVAC employees, attached malware that stole VPN credentials when opened. That specificity is what earns full credit.'</w:t>
      </w:r>
    </w:p>
    <w:p>
      <w:pPr>
        <w:ind w:left="288"/>
        <w:shd w:val="clear" w:color="auto" w:fill="FFF3CD"/>
      </w:pPr>
      <w:r>
        <w:rPr>
          <w:b/>
          <w:color w:val="7B4A00"/>
          <w:sz w:val="20"/>
        </w:rPr>
        <w:t xml:space="preserve">📢 TELL YOUR STUDENTS:  </w:t>
      </w:r>
      <w:r>
        <w:rPr>
          <w:color w:val="7B4A00"/>
          <w:sz w:val="20"/>
        </w:rPr>
        <w:t>'Ask yourself after each phase: at this point in the attack, what EXACTLY could a defender have done to stop it? That question is the whole point of the Kill Chain.'</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0:00–0:30</w:t>
            </w:r>
          </w:p>
        </w:tc>
        <w:tc>
          <w:tcPr>
            <w:tcW w:type="dxa" w:w="2520"/>
            <w:shd w:val="clear" w:color="auto" w:fill="F8F9FA"/>
          </w:tcPr>
          <w:p>
            <w:r>
              <w:rPr>
                <w:b/>
                <w:color w:val="1A1A2E"/>
                <w:sz w:val="18"/>
              </w:rPr>
              <w:t>Lecture: Kill Chain</w:t>
            </w:r>
          </w:p>
        </w:tc>
        <w:tc>
          <w:tcPr>
            <w:tcW w:type="dxa" w:w="5904"/>
            <w:shd w:val="clear" w:color="auto" w:fill="F8F9FA"/>
          </w:tcPr>
          <w:p>
            <w:r>
              <w:rPr>
                <w:color w:val="555555"/>
                <w:sz w:val="18"/>
              </w:rPr>
              <w:t>Teach the 7 phases. For each: what does the attacker do? At what point could a defender have stopped this?</w:t>
            </w:r>
          </w:p>
        </w:tc>
      </w:tr>
      <w:tr>
        <w:tc>
          <w:tcPr>
            <w:tcW w:type="dxa" w:w="1224"/>
            <w:shd w:val="clear" w:color="auto" w:fill="FFFFFF"/>
          </w:tcPr>
          <w:p>
            <w:r>
              <w:rPr>
                <w:b/>
                <w:color w:val="EE2207"/>
                <w:sz w:val="18"/>
              </w:rPr>
              <w:t>0:30–1:00</w:t>
            </w:r>
          </w:p>
        </w:tc>
        <w:tc>
          <w:tcPr>
            <w:tcW w:type="dxa" w:w="2520"/>
            <w:shd w:val="clear" w:color="auto" w:fill="FFFFFF"/>
          </w:tcPr>
          <w:p>
            <w:r>
              <w:rPr>
                <w:b/>
                <w:color w:val="1A1A2E"/>
                <w:sz w:val="18"/>
              </w:rPr>
              <w:t>Demo: Phase Walkthrough</w:t>
            </w:r>
          </w:p>
        </w:tc>
        <w:tc>
          <w:tcPr>
            <w:tcW w:type="dxa" w:w="5904"/>
            <w:shd w:val="clear" w:color="auto" w:fill="FFFFFF"/>
          </w:tcPr>
          <w:p>
            <w:r>
              <w:rPr>
                <w:color w:val="555555"/>
                <w:sz w:val="18"/>
              </w:rPr>
              <w:t>Walk through ONE Kill Chain phase together as a class. Model your analysis process out loud.</w:t>
            </w:r>
          </w:p>
        </w:tc>
      </w:tr>
      <w:tr>
        <w:tc>
          <w:tcPr>
            <w:tcW w:type="dxa" w:w="1224"/>
            <w:shd w:val="clear" w:color="auto" w:fill="F8F9FA"/>
          </w:tcPr>
          <w:p>
            <w:r>
              <w:rPr>
                <w:b/>
                <w:color w:val="EE2207"/>
                <w:sz w:val="18"/>
              </w:rPr>
              <w:t>1:00–1:45</w:t>
            </w:r>
          </w:p>
        </w:tc>
        <w:tc>
          <w:tcPr>
            <w:tcW w:type="dxa" w:w="2520"/>
            <w:shd w:val="clear" w:color="auto" w:fill="F8F9FA"/>
          </w:tcPr>
          <w:p>
            <w:r>
              <w:rPr>
                <w:b/>
                <w:color w:val="1A1A2E"/>
                <w:sz w:val="18"/>
              </w:rPr>
              <w:t>Kill Chain Mapping</w:t>
            </w:r>
          </w:p>
        </w:tc>
        <w:tc>
          <w:tcPr>
            <w:tcW w:type="dxa" w:w="5904"/>
            <w:shd w:val="clear" w:color="auto" w:fill="F8F9FA"/>
          </w:tcPr>
          <w:p>
            <w:r>
              <w:rPr>
                <w:color w:val="555555"/>
                <w:sz w:val="18"/>
              </w:rPr>
              <w:t>Students complete the full Kill Chain table — all 7 phases with specific incident evidence, not generic descriptions.</w:t>
            </w:r>
          </w:p>
        </w:tc>
      </w:tr>
      <w:tr>
        <w:tc>
          <w:tcPr>
            <w:tcW w:type="dxa" w:w="1224"/>
            <w:shd w:val="clear" w:color="auto" w:fill="FFFFFF"/>
          </w:tcPr>
          <w:p>
            <w:r>
              <w:rPr>
                <w:b/>
                <w:color w:val="EE2207"/>
                <w:sz w:val="18"/>
              </w:rPr>
              <w:t>1:45–2:00</w:t>
            </w:r>
          </w:p>
        </w:tc>
        <w:tc>
          <w:tcPr>
            <w:tcW w:type="dxa" w:w="2520"/>
            <w:shd w:val="clear" w:color="auto" w:fill="FFFFFF"/>
          </w:tcPr>
          <w:p>
            <w:r>
              <w:rPr>
                <w:b/>
                <w:color w:val="1A1A2E"/>
                <w:sz w:val="18"/>
              </w:rPr>
              <w:t>Discussion</w:t>
            </w:r>
          </w:p>
        </w:tc>
        <w:tc>
          <w:tcPr>
            <w:tcW w:type="dxa" w:w="5904"/>
            <w:shd w:val="clear" w:color="auto" w:fill="FFFFFF"/>
          </w:tcPr>
          <w:p>
            <w:r>
              <w:rPr>
                <w:color w:val="555555"/>
                <w:sz w:val="18"/>
              </w:rPr>
              <w:t>Which phase was the most preventable? Which phase was most surprising? What would have stopped the attack?</w:t>
            </w:r>
          </w:p>
        </w:tc>
      </w:tr>
    </w:tbl>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5 · DAY 3</w:t>
            </w:r>
          </w:p>
        </w:tc>
        <w:tc>
          <w:tcPr>
            <w:tcW w:type="dxa" w:w="6336"/>
            <w:shd w:val="clear" w:color="auto" w:fill="EE2207"/>
          </w:tcPr>
          <w:p>
            <w:r>
              <w:rPr>
                <w:b/>
                <w:color w:val="FFFFFF"/>
                <w:sz w:val="22"/>
              </w:rPr>
              <w:t xml:space="preserve">  WEDNESDAY — MITRE ATT&amp;CK — HANDS-ON LAB</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identify specific ATT&amp;CK techniques, navigate attack.mitre.org, and explain each technique in plain English.</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'Today you learn the language every cybersecurity professional uses. When you write T1566 in a report, every SOC analyst reading that report instantly understands exactly what happened. This is a universal language — and you are going to speak it fluently.'</w:t>
      </w:r>
    </w:p>
    <w:p>
      <w:pPr>
        <w:ind w:left="288"/>
        <w:shd w:val="clear" w:color="auto" w:fill="FFF3CD"/>
      </w:pPr>
      <w:r>
        <w:rPr>
          <w:b/>
          <w:color w:val="7B4A00"/>
          <w:sz w:val="20"/>
        </w:rPr>
        <w:t xml:space="preserve">📢 TELL YOUR STUDENTS:  </w:t>
      </w:r>
      <w:r>
        <w:rPr>
          <w:color w:val="7B4A00"/>
          <w:sz w:val="20"/>
        </w:rPr>
        <w:t>Key techniques for SolarWinds Supply Chain Attack: T1195.002 (Compromise Software Supply Chain), T1071.004 (DNS Command and Control), T1027 (Obfuscated Files and Information). Look these up together first.</w:t>
      </w:r>
    </w:p>
    <w:p>
      <w:pPr>
        <w:ind w:left="288"/>
        <w:shd w:val="clear" w:color="auto" w:fill="FFF3CD"/>
      </w:pPr>
      <w:r>
        <w:rPr>
          <w:b/>
          <w:color w:val="7B4A00"/>
          <w:sz w:val="20"/>
        </w:rPr>
        <w:t xml:space="preserve">📢 TELL YOUR STUDENTS:  </w:t>
      </w:r>
      <w:r>
        <w:rPr>
          <w:color w:val="7B4A00"/>
          <w:sz w:val="20"/>
        </w:rPr>
        <w:t>'The ATT&amp;CK matrix has 14 Tactic columns and hundreds of techniques. Each technique page shows: what it is, how attackers use it in real incidents, what tools they use, and how to detect it. That detection section is gold for defenders.'</w:t>
      </w:r>
    </w:p>
    <w:p>
      <w:pPr>
        <w:ind w:left="288"/>
        <w:shd w:val="clear" w:color="auto" w:fill="FFF3CD"/>
      </w:pPr>
      <w:r>
        <w:rPr>
          <w:b/>
          <w:color w:val="7B4A00"/>
          <w:sz w:val="20"/>
        </w:rPr>
        <w:t xml:space="preserve">📢 TELL YOUR STUDENTS:  </w:t>
      </w:r>
      <w:r>
        <w:rPr>
          <w:color w:val="7B4A00"/>
          <w:sz w:val="20"/>
        </w:rPr>
        <w:t>'Tactic vs Technique: Tactic = I want to get into your house. Technique = I will pick the lock. Procedure = I will use this specific lockpick set, at 2am, on a Tuesday. Procedures are what you find in incident reports — the specific real-world implementation.'</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0:00–0:30</w:t>
            </w:r>
          </w:p>
        </w:tc>
        <w:tc>
          <w:tcPr>
            <w:tcW w:type="dxa" w:w="2520"/>
            <w:shd w:val="clear" w:color="auto" w:fill="F8F9FA"/>
          </w:tcPr>
          <w:p>
            <w:r>
              <w:rPr>
                <w:b/>
                <w:color w:val="1A1A2E"/>
                <w:sz w:val="18"/>
              </w:rPr>
              <w:t>Lecture: MITRE ATT&amp;CK</w:t>
            </w:r>
          </w:p>
        </w:tc>
        <w:tc>
          <w:tcPr>
            <w:tcW w:type="dxa" w:w="5904"/>
            <w:shd w:val="clear" w:color="auto" w:fill="F8F9FA"/>
          </w:tcPr>
          <w:p>
            <w:r>
              <w:rPr>
                <w:color w:val="555555"/>
                <w:sz w:val="18"/>
              </w:rPr>
              <w:t>Explain Tactics (the WHY), Techniques (the HOW), Procedures (the specific implementation). Show the ATT&amp;CK Navigator.</w:t>
            </w:r>
          </w:p>
        </w:tc>
      </w:tr>
      <w:tr>
        <w:tc>
          <w:tcPr>
            <w:tcW w:type="dxa" w:w="1224"/>
            <w:shd w:val="clear" w:color="auto" w:fill="FFFFFF"/>
          </w:tcPr>
          <w:p>
            <w:r>
              <w:rPr>
                <w:b/>
                <w:color w:val="EE2207"/>
                <w:sz w:val="18"/>
              </w:rPr>
              <w:t>0:30–0:50</w:t>
            </w:r>
          </w:p>
        </w:tc>
        <w:tc>
          <w:tcPr>
            <w:tcW w:type="dxa" w:w="2520"/>
            <w:shd w:val="clear" w:color="auto" w:fill="FFFFFF"/>
          </w:tcPr>
          <w:p>
            <w:r>
              <w:rPr>
                <w:b/>
                <w:color w:val="1A1A2E"/>
                <w:sz w:val="18"/>
              </w:rPr>
              <w:t>Live Demo: attack.mitre.org</w:t>
            </w:r>
          </w:p>
        </w:tc>
        <w:tc>
          <w:tcPr>
            <w:tcW w:type="dxa" w:w="5904"/>
            <w:shd w:val="clear" w:color="auto" w:fill="FFFFFF"/>
          </w:tcPr>
          <w:p>
            <w:r>
              <w:rPr>
                <w:color w:val="555555"/>
                <w:sz w:val="18"/>
              </w:rPr>
              <w:t>Navigate the matrix together. Look up ONE technique from this incident. Show the description, procedure examples, and detection methods.</w:t>
            </w:r>
          </w:p>
        </w:tc>
      </w:tr>
      <w:tr>
        <w:tc>
          <w:tcPr>
            <w:tcW w:type="dxa" w:w="1224"/>
            <w:shd w:val="clear" w:color="auto" w:fill="F8F9FA"/>
          </w:tcPr>
          <w:p>
            <w:r>
              <w:rPr>
                <w:b/>
                <w:color w:val="EE2207"/>
                <w:sz w:val="18"/>
              </w:rPr>
              <w:t>0:50–1:40</w:t>
            </w:r>
          </w:p>
        </w:tc>
        <w:tc>
          <w:tcPr>
            <w:tcW w:type="dxa" w:w="2520"/>
            <w:shd w:val="clear" w:color="auto" w:fill="F8F9FA"/>
          </w:tcPr>
          <w:p>
            <w:r>
              <w:rPr>
                <w:b/>
                <w:color w:val="1A1A2E"/>
                <w:sz w:val="18"/>
              </w:rPr>
              <w:t>ATT&amp;CK Research Lab</w:t>
            </w:r>
          </w:p>
        </w:tc>
        <w:tc>
          <w:tcPr>
            <w:tcW w:type="dxa" w:w="5904"/>
            <w:shd w:val="clear" w:color="auto" w:fill="F8F9FA"/>
          </w:tcPr>
          <w:p>
            <w:r>
              <w:rPr>
                <w:color w:val="555555"/>
                <w:sz w:val="18"/>
              </w:rPr>
              <w:t>Students identify 3–5 techniques from the incident. For each: ID, name, tactic, and plain-English explanation.</w:t>
            </w:r>
          </w:p>
        </w:tc>
      </w:tr>
      <w:tr>
        <w:tc>
          <w:tcPr>
            <w:tcW w:type="dxa" w:w="1224"/>
            <w:shd w:val="clear" w:color="auto" w:fill="FFFFFF"/>
          </w:tcPr>
          <w:p>
            <w:r>
              <w:rPr>
                <w:b/>
                <w:color w:val="EE2207"/>
                <w:sz w:val="18"/>
              </w:rPr>
              <w:t>1:40–2:00</w:t>
            </w:r>
          </w:p>
        </w:tc>
        <w:tc>
          <w:tcPr>
            <w:tcW w:type="dxa" w:w="2520"/>
            <w:shd w:val="clear" w:color="auto" w:fill="FFFFFF"/>
          </w:tcPr>
          <w:p>
            <w:r>
              <w:rPr>
                <w:b/>
                <w:color w:val="1A1A2E"/>
                <w:sz w:val="18"/>
              </w:rPr>
              <w:t>Class ATT&amp;CK Heat Map</w:t>
            </w:r>
          </w:p>
        </w:tc>
        <w:tc>
          <w:tcPr>
            <w:tcW w:type="dxa" w:w="5904"/>
            <w:shd w:val="clear" w:color="auto" w:fill="FFFFFF"/>
          </w:tcPr>
          <w:p>
            <w:r>
              <w:rPr>
                <w:color w:val="555555"/>
                <w:sz w:val="18"/>
              </w:rPr>
              <w:t>Build a shared map on the board. Students add techniques. What does the pattern tell us about where to focus defenses?</w:t>
            </w:r>
          </w:p>
        </w:tc>
      </w:tr>
    </w:tbl>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5 · DAY 4</w:t>
            </w:r>
          </w:p>
        </w:tc>
        <w:tc>
          <w:tcPr>
            <w:tcW w:type="dxa" w:w="6336"/>
            <w:shd w:val="clear" w:color="auto" w:fill="EE2207"/>
          </w:tcPr>
          <w:p>
            <w:r>
              <w:rPr>
                <w:b/>
                <w:color w:val="FFFFFF"/>
                <w:sz w:val="22"/>
              </w:rPr>
              <w:t xml:space="preserve">  THURSDAY — CVE RESEARCH LAB + WORKSHEET SUBMISSION (50 PTS)</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research the CVE or CISA advisory, build the incident timeline, finalize and submit the CVE Research Worksheet.</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'Today you do what a real security analyst does — you research. You look things up. You read official sources. nvd.nist.gov and cisa.gov are not textbooks — they are live databases of real threats. Every CVE you look up today is something attackers are using right now against real organizations.'</w:t>
      </w:r>
    </w:p>
    <w:p>
      <w:pPr>
        <w:ind w:left="288"/>
        <w:shd w:val="clear" w:color="auto" w:fill="FFF3CD"/>
      </w:pPr>
      <w:r>
        <w:rPr>
          <w:b/>
          <w:color w:val="7B4A00"/>
          <w:sz w:val="20"/>
        </w:rPr>
        <w:t xml:space="preserve">📢 TELL YOUR STUDENTS:  </w:t>
      </w:r>
      <w:r>
        <w:rPr>
          <w:color w:val="7B4A00"/>
          <w:sz w:val="20"/>
        </w:rPr>
        <w:t>CVE teaching insight for SolarWinds Supply Chain Attack: 'CVE-2020-10148 is the Orion API bypass. But SUNBURST itself is not a traditional CVE — it was malicious code in legitimate software. That distinction is important. Not every attack technique maps to a CVE number.'</w:t>
      </w:r>
    </w:p>
    <w:p>
      <w:pPr>
        <w:ind w:left="288"/>
        <w:shd w:val="clear" w:color="auto" w:fill="FFF3CD"/>
      </w:pPr>
      <w:r>
        <w:rPr>
          <w:b/>
          <w:color w:val="7B4A00"/>
          <w:sz w:val="20"/>
        </w:rPr>
        <w:t xml:space="preserve">📢 TELL YOUR STUDENTS:  </w:t>
      </w:r>
      <w:r>
        <w:rPr>
          <w:color w:val="7B4A00"/>
          <w:sz w:val="20"/>
        </w:rPr>
        <w:t>'When students build the timeline, have them pay attention to the GAP between patch release and exploitation. For Equifax: 69 days. CISA recommends critical CVEs be patched within 15 days. What does that gap tell us about Equifax's patch management program?'</w:t>
      </w:r>
    </w:p>
    <w:p>
      <w:pPr>
        <w:ind w:left="288"/>
        <w:shd w:val="clear" w:color="auto" w:fill="FFF3CD"/>
      </w:pPr>
      <w:r>
        <w:rPr>
          <w:b/>
          <w:color w:val="7B4A00"/>
          <w:sz w:val="20"/>
        </w:rPr>
        <w:t xml:space="preserve">📢 TELL YOUR STUDENTS:  </w:t>
      </w:r>
      <w:r>
        <w:rPr>
          <w:color w:val="7B4A00"/>
          <w:sz w:val="20"/>
        </w:rPr>
        <w:t>'Before submissions are collected, ask: what is the one thing you learned this project that you will never forget? Go around the room. Then: Next project is Part 2 — defender perspective, NIST CSF, and the Executive Summary that a CEO or Board could read. That is the skill that gets you hired.'</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0:00–0:20</w:t>
            </w:r>
          </w:p>
        </w:tc>
        <w:tc>
          <w:tcPr>
            <w:tcW w:type="dxa" w:w="2520"/>
            <w:shd w:val="clear" w:color="auto" w:fill="F8F9FA"/>
          </w:tcPr>
          <w:p>
            <w:r>
              <w:rPr>
                <w:b/>
                <w:color w:val="1A1A2E"/>
                <w:sz w:val="18"/>
              </w:rPr>
              <w:t>CVE Orientation</w:t>
            </w:r>
          </w:p>
        </w:tc>
        <w:tc>
          <w:tcPr>
            <w:tcW w:type="dxa" w:w="5904"/>
            <w:shd w:val="clear" w:color="auto" w:fill="F8F9FA"/>
          </w:tcPr>
          <w:p>
            <w:r>
              <w:rPr>
                <w:color w:val="555555"/>
                <w:sz w:val="18"/>
              </w:rPr>
              <w:t>Walk students through nvd.nist.gov and cisa.gov. Show them how to read a CVE entry: description, CVSS score, references.</w:t>
            </w:r>
          </w:p>
        </w:tc>
      </w:tr>
      <w:tr>
        <w:tc>
          <w:tcPr>
            <w:tcW w:type="dxa" w:w="1224"/>
            <w:shd w:val="clear" w:color="auto" w:fill="FFFFFF"/>
          </w:tcPr>
          <w:p>
            <w:r>
              <w:rPr>
                <w:b/>
                <w:color w:val="EE2207"/>
                <w:sz w:val="18"/>
              </w:rPr>
              <w:t>0:20–1:10</w:t>
            </w:r>
          </w:p>
        </w:tc>
        <w:tc>
          <w:tcPr>
            <w:tcW w:type="dxa" w:w="2520"/>
            <w:shd w:val="clear" w:color="auto" w:fill="FFFFFF"/>
          </w:tcPr>
          <w:p>
            <w:r>
              <w:rPr>
                <w:b/>
                <w:color w:val="1A1A2E"/>
                <w:sz w:val="18"/>
              </w:rPr>
              <w:t>Research Lab + Worksheet</w:t>
            </w:r>
          </w:p>
        </w:tc>
        <w:tc>
          <w:tcPr>
            <w:tcW w:type="dxa" w:w="5904"/>
            <w:shd w:val="clear" w:color="auto" w:fill="FFFFFF"/>
          </w:tcPr>
          <w:p>
            <w:r>
              <w:rPr>
                <w:color w:val="555555"/>
                <w:sz w:val="18"/>
              </w:rPr>
              <w:t>Students research: CVE-2020-10148 (CVSS 9.8), CISA Emergency Directive 21-01, FireEye SUNBURST Report. Document: patch/fix, when available, how the incident was contained, who was involved.</w:t>
            </w:r>
          </w:p>
        </w:tc>
      </w:tr>
      <w:tr>
        <w:tc>
          <w:tcPr>
            <w:tcW w:type="dxa" w:w="1224"/>
            <w:shd w:val="clear" w:color="auto" w:fill="F8F9FA"/>
          </w:tcPr>
          <w:p>
            <w:r>
              <w:rPr>
                <w:b/>
                <w:color w:val="EE2207"/>
                <w:sz w:val="18"/>
              </w:rPr>
              <w:t>1:10–1:40</w:t>
            </w:r>
          </w:p>
        </w:tc>
        <w:tc>
          <w:tcPr>
            <w:tcW w:type="dxa" w:w="2520"/>
            <w:shd w:val="clear" w:color="auto" w:fill="F8F9FA"/>
          </w:tcPr>
          <w:p>
            <w:r>
              <w:rPr>
                <w:b/>
                <w:color w:val="1A1A2E"/>
                <w:sz w:val="18"/>
              </w:rPr>
              <w:t>Timeline + Finalization</w:t>
            </w:r>
          </w:p>
        </w:tc>
        <w:tc>
          <w:tcPr>
            <w:tcW w:type="dxa" w:w="5904"/>
            <w:shd w:val="clear" w:color="auto" w:fill="F8F9FA"/>
          </w:tcPr>
          <w:p>
            <w:r>
              <w:rPr>
                <w:color w:val="555555"/>
                <w:sz w:val="18"/>
              </w:rPr>
              <w:t>Students build the incident timeline. Finalize the CVE Research Worksheet. Instructor circulates to answer last-minute questions.</w:t>
            </w:r>
          </w:p>
        </w:tc>
      </w:tr>
      <w:tr>
        <w:tc>
          <w:tcPr>
            <w:tcW w:type="dxa" w:w="1224"/>
            <w:shd w:val="clear" w:color="auto" w:fill="FFFFFF"/>
          </w:tcPr>
          <w:p>
            <w:r>
              <w:rPr>
                <w:b/>
                <w:color w:val="EE2207"/>
                <w:sz w:val="18"/>
              </w:rPr>
              <w:t>1:40–2:00</w:t>
            </w:r>
          </w:p>
        </w:tc>
        <w:tc>
          <w:tcPr>
            <w:tcW w:type="dxa" w:w="2520"/>
            <w:shd w:val="clear" w:color="auto" w:fill="FFFFFF"/>
          </w:tcPr>
          <w:p>
            <w:r>
              <w:rPr>
                <w:b/>
                <w:color w:val="1A1A2E"/>
                <w:sz w:val="18"/>
              </w:rPr>
              <w:t>Submit + Next Project Preview</w:t>
            </w:r>
          </w:p>
        </w:tc>
        <w:tc>
          <w:tcPr>
            <w:tcW w:type="dxa" w:w="5904"/>
            <w:shd w:val="clear" w:color="auto" w:fill="FFFFFF"/>
          </w:tcPr>
          <w:p>
            <w:r>
              <w:rPr>
                <w:color w:val="555555"/>
                <w:sz w:val="18"/>
              </w:rPr>
              <w:t>Students submit completed CVE Research Worksheet (50 points). Open discussion: What surprised you? Preview next project: NIST CSF, attacker methodology, and Executive Summary.</w:t>
            </w:r>
          </w:p>
        </w:tc>
      </w:tr>
    </w:tbl>
    <w:p/>
    <w:p>
      <w:r>
        <w:br w:type="page"/>
      </w:r>
    </w:p>
    <w:p>
      <w:r>
        <w:rPr>
          <w:b/>
          <w:color w:val="EE2207"/>
          <w:sz w:val="34"/>
        </w:rPr>
        <w:t>KILL CHAIN REFERENCE — FULL ANALYSIS</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1A1A2E"/>
          </w:tcPr>
          <w:p>
            <w:r>
              <w:rPr>
                <w:b/>
                <w:color w:val="FFFFFF"/>
                <w:sz w:val="18"/>
              </w:rPr>
              <w:t>PHASE</w:t>
            </w:r>
          </w:p>
        </w:tc>
        <w:tc>
          <w:tcPr>
            <w:tcW w:type="dxa" w:w="4320"/>
            <w:shd w:val="clear" w:color="auto" w:fill="1A1A2E"/>
          </w:tcPr>
          <w:p>
            <w:r>
              <w:rPr>
                <w:b/>
                <w:color w:val="FFFFFF"/>
                <w:sz w:val="18"/>
              </w:rPr>
              <w:t>WHAT HAPPENED IN THIS INCIDENT</w:t>
            </w:r>
          </w:p>
        </w:tc>
        <w:tc>
          <w:tcPr>
            <w:tcW w:type="dxa" w:w="3600"/>
            <w:shd w:val="clear" w:color="auto" w:fill="1A1A2E"/>
          </w:tcPr>
          <w:p>
            <w:r>
              <w:rPr>
                <w:b/>
                <w:color w:val="FFFFFF"/>
                <w:sz w:val="18"/>
              </w:rPr>
              <w:t>DEFENDER OPPORTUNITY</w:t>
            </w:r>
          </w:p>
        </w:tc>
      </w:tr>
      <w:tr>
        <w:tc>
          <w:tcPr>
            <w:tcW w:type="dxa" w:w="1728"/>
            <w:shd w:val="clear" w:color="auto" w:fill="F8F9FA"/>
          </w:tcPr>
          <w:p>
            <w:r>
              <w:rPr>
                <w:b/>
                <w:color w:val="EE2207"/>
                <w:sz w:val="18"/>
              </w:rPr>
              <w:t>1. Reconnaissance</w:t>
            </w:r>
          </w:p>
        </w:tc>
        <w:tc>
          <w:tcPr>
            <w:tcW w:type="dxa" w:w="4320"/>
            <w:shd w:val="clear" w:color="auto" w:fill="F8F9FA"/>
          </w:tcPr>
          <w:p>
            <w:r>
              <w:rPr>
                <w:color w:val="555555"/>
                <w:sz w:val="18"/>
              </w:rPr>
              <w:t>APT29 studied SolarWinds' software build process; identified Orion updates as a mass distribution mechanism</w:t>
            </w:r>
          </w:p>
        </w:tc>
        <w:tc>
          <w:tcPr>
            <w:tcW w:type="dxa" w:w="3600"/>
            <w:shd w:val="clear" w:color="auto" w:fill="F8F9FA"/>
          </w:tcPr>
          <w:p>
            <w:r>
              <w:rPr>
                <w:color w:val="007A33"/>
                <w:sz w:val="18"/>
              </w:rPr>
              <w:t>Threat intelligence; dark web monitoring; monitor vendor relationships</w:t>
            </w:r>
          </w:p>
        </w:tc>
      </w:tr>
      <w:tr>
        <w:tc>
          <w:tcPr>
            <w:tcW w:type="dxa" w:w="1728"/>
            <w:shd w:val="clear" w:color="auto" w:fill="FFFFFF"/>
          </w:tcPr>
          <w:p>
            <w:r>
              <w:rPr>
                <w:b/>
                <w:color w:val="EE2207"/>
                <w:sz w:val="18"/>
              </w:rPr>
              <w:t>2. Weaponization</w:t>
            </w:r>
          </w:p>
        </w:tc>
        <w:tc>
          <w:tcPr>
            <w:tcW w:type="dxa" w:w="4320"/>
            <w:shd w:val="clear" w:color="auto" w:fill="FFFFFF"/>
          </w:tcPr>
          <w:p>
            <w:r>
              <w:rPr>
                <w:color w:val="555555"/>
                <w:sz w:val="18"/>
              </w:rPr>
              <w:t>Developed SUNBURST backdoor; injected it into SolarWinds' Orion source code during the build process</w:t>
            </w:r>
          </w:p>
        </w:tc>
        <w:tc>
          <w:tcPr>
            <w:tcW w:type="dxa" w:w="3600"/>
            <w:shd w:val="clear" w:color="auto" w:fill="FFFFFF"/>
          </w:tcPr>
          <w:p>
            <w:r>
              <w:rPr>
                <w:color w:val="007A33"/>
                <w:sz w:val="18"/>
              </w:rPr>
              <w:t>Patch management; secure development practices; code signing</w:t>
            </w:r>
          </w:p>
        </w:tc>
      </w:tr>
      <w:tr>
        <w:tc>
          <w:tcPr>
            <w:tcW w:type="dxa" w:w="1728"/>
            <w:shd w:val="clear" w:color="auto" w:fill="F8F9FA"/>
          </w:tcPr>
          <w:p>
            <w:r>
              <w:rPr>
                <w:b/>
                <w:color w:val="EE2207"/>
                <w:sz w:val="18"/>
              </w:rPr>
              <w:t>3. Delivery</w:t>
            </w:r>
          </w:p>
        </w:tc>
        <w:tc>
          <w:tcPr>
            <w:tcW w:type="dxa" w:w="4320"/>
            <w:shd w:val="clear" w:color="auto" w:fill="F8F9FA"/>
          </w:tcPr>
          <w:p>
            <w:r>
              <w:rPr>
                <w:color w:val="555555"/>
                <w:sz w:val="18"/>
              </w:rPr>
              <w:t>SolarWinds unknowingly delivered the malware via its own legitimate signed software update to 18,000 customers</w:t>
            </w:r>
          </w:p>
        </w:tc>
        <w:tc>
          <w:tcPr>
            <w:tcW w:type="dxa" w:w="3600"/>
            <w:shd w:val="clear" w:color="auto" w:fill="F8F9FA"/>
          </w:tcPr>
          <w:p>
            <w:r>
              <w:rPr>
                <w:color w:val="007A33"/>
                <w:sz w:val="18"/>
              </w:rPr>
              <w:t>Email filtering; MFA; user security awareness training</w:t>
            </w:r>
          </w:p>
        </w:tc>
      </w:tr>
      <w:tr>
        <w:tc>
          <w:tcPr>
            <w:tcW w:type="dxa" w:w="1728"/>
            <w:shd w:val="clear" w:color="auto" w:fill="FFFFFF"/>
          </w:tcPr>
          <w:p>
            <w:r>
              <w:rPr>
                <w:b/>
                <w:color w:val="EE2207"/>
                <w:sz w:val="18"/>
              </w:rPr>
              <w:t>4. Exploitation</w:t>
            </w:r>
          </w:p>
        </w:tc>
        <w:tc>
          <w:tcPr>
            <w:tcW w:type="dxa" w:w="4320"/>
            <w:shd w:val="clear" w:color="auto" w:fill="FFFFFF"/>
          </w:tcPr>
          <w:p>
            <w:r>
              <w:rPr>
                <w:color w:val="555555"/>
                <w:sz w:val="18"/>
              </w:rPr>
              <w:t>SUNBURST laid dormant 12–14 days then checked for security tools and sandbox environments before activating</w:t>
            </w:r>
          </w:p>
        </w:tc>
        <w:tc>
          <w:tcPr>
            <w:tcW w:type="dxa" w:w="3600"/>
            <w:shd w:val="clear" w:color="auto" w:fill="FFFFFF"/>
          </w:tcPr>
          <w:p>
            <w:r>
              <w:rPr>
                <w:color w:val="007A33"/>
                <w:sz w:val="18"/>
              </w:rPr>
              <w:t>Patch known CVEs; WAF; regular penetration testing</w:t>
            </w:r>
          </w:p>
        </w:tc>
      </w:tr>
      <w:tr>
        <w:tc>
          <w:tcPr>
            <w:tcW w:type="dxa" w:w="1728"/>
            <w:shd w:val="clear" w:color="auto" w:fill="F8F9FA"/>
          </w:tcPr>
          <w:p>
            <w:r>
              <w:rPr>
                <w:b/>
                <w:color w:val="EE2207"/>
                <w:sz w:val="18"/>
              </w:rPr>
              <w:t>5. Installation</w:t>
            </w:r>
          </w:p>
        </w:tc>
        <w:tc>
          <w:tcPr>
            <w:tcW w:type="dxa" w:w="4320"/>
            <w:shd w:val="clear" w:color="auto" w:fill="F8F9FA"/>
          </w:tcPr>
          <w:p>
            <w:r>
              <w:rPr>
                <w:color w:val="555555"/>
                <w:sz w:val="18"/>
              </w:rPr>
              <w:t>Established SUNBURST backdoor; deployed TEARDROP + Cobalt Strike at high-value targets</w:t>
            </w:r>
          </w:p>
        </w:tc>
        <w:tc>
          <w:tcPr>
            <w:tcW w:type="dxa" w:w="3600"/>
            <w:shd w:val="clear" w:color="auto" w:fill="F8F9FA"/>
          </w:tcPr>
          <w:p>
            <w:r>
              <w:rPr>
                <w:color w:val="007A33"/>
                <w:sz w:val="18"/>
              </w:rPr>
              <w:t>File integrity monitoring; application whitelisting; EDR</w:t>
            </w:r>
          </w:p>
        </w:tc>
      </w:tr>
      <w:tr>
        <w:tc>
          <w:tcPr>
            <w:tcW w:type="dxa" w:w="1728"/>
            <w:shd w:val="clear" w:color="auto" w:fill="FFFFFF"/>
          </w:tcPr>
          <w:p>
            <w:r>
              <w:rPr>
                <w:b/>
                <w:color w:val="EE2207"/>
                <w:sz w:val="18"/>
              </w:rPr>
              <w:t>6. Command &amp; Control</w:t>
            </w:r>
          </w:p>
        </w:tc>
        <w:tc>
          <w:tcPr>
            <w:tcW w:type="dxa" w:w="4320"/>
            <w:shd w:val="clear" w:color="auto" w:fill="FFFFFF"/>
          </w:tcPr>
          <w:p>
            <w:r>
              <w:rPr>
                <w:color w:val="555555"/>
                <w:sz w:val="18"/>
              </w:rPr>
              <w:t>Used DNS queries to avsvmcloud[.]com subdomains — mimicked legitimate Orion telemetry traffic</w:t>
            </w:r>
          </w:p>
        </w:tc>
        <w:tc>
          <w:tcPr>
            <w:tcW w:type="dxa" w:w="3600"/>
            <w:shd w:val="clear" w:color="auto" w:fill="FFFFFF"/>
          </w:tcPr>
          <w:p>
            <w:r>
              <w:rPr>
                <w:color w:val="007A33"/>
                <w:sz w:val="18"/>
              </w:rPr>
              <w:t>DNS filtering; SSL inspection; anomaly detection on outbound traffic</w:t>
            </w:r>
          </w:p>
        </w:tc>
      </w:tr>
      <w:tr>
        <w:tc>
          <w:tcPr>
            <w:tcW w:type="dxa" w:w="1728"/>
            <w:shd w:val="clear" w:color="auto" w:fill="F8F9FA"/>
          </w:tcPr>
          <w:p>
            <w:r>
              <w:rPr>
                <w:b/>
                <w:color w:val="EE2207"/>
                <w:sz w:val="18"/>
              </w:rPr>
              <w:t>7. Actions on Obj.</w:t>
            </w:r>
          </w:p>
        </w:tc>
        <w:tc>
          <w:tcPr>
            <w:tcW w:type="dxa" w:w="4320"/>
            <w:shd w:val="clear" w:color="auto" w:fill="F8F9FA"/>
          </w:tcPr>
          <w:p>
            <w:r>
              <w:rPr>
                <w:color w:val="555555"/>
                <w:sz w:val="18"/>
              </w:rPr>
              <w:t>Stole auth tokens, moved to cloud environments (M365, Azure AD), accessed emails and documents for 9+ months</w:t>
            </w:r>
          </w:p>
        </w:tc>
        <w:tc>
          <w:tcPr>
            <w:tcW w:type="dxa" w:w="3600"/>
            <w:shd w:val="clear" w:color="auto" w:fill="F8F9FA"/>
          </w:tcPr>
          <w:p>
            <w:r>
              <w:rPr>
                <w:color w:val="007A33"/>
                <w:sz w:val="18"/>
              </w:rPr>
              <w:t>Data loss prevention (DLP); database activity monitoring; network segmentation</w:t>
            </w:r>
          </w:p>
        </w:tc>
      </w:tr>
    </w:tbl>
    <w:p/>
    <w:p>
      <w:r>
        <w:br w:type="page"/>
      </w:r>
    </w:p>
    <w:p>
      <w:r>
        <w:rPr>
          <w:b/>
          <w:color w:val="EE2207"/>
          <w:sz w:val="34"/>
        </w:rPr>
        <w:t>MITRE ATT&amp;CK TECHNIQUE REFERENCE</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1A1A2E"/>
          </w:tcPr>
          <w:p>
            <w:r>
              <w:rPr>
                <w:b/>
                <w:color w:val="FFFFFF"/>
                <w:sz w:val="18"/>
              </w:rPr>
              <w:t>TECHNIQUE ID</w:t>
            </w:r>
          </w:p>
        </w:tc>
        <w:tc>
          <w:tcPr>
            <w:tcW w:type="dxa" w:w="2736"/>
            <w:shd w:val="clear" w:color="auto" w:fill="1A1A2E"/>
          </w:tcPr>
          <w:p>
            <w:r>
              <w:rPr>
                <w:b/>
                <w:color w:val="FFFFFF"/>
                <w:sz w:val="18"/>
              </w:rPr>
              <w:t>TECHNIQUE NAME</w:t>
            </w:r>
          </w:p>
        </w:tc>
        <w:tc>
          <w:tcPr>
            <w:tcW w:type="dxa" w:w="5472"/>
            <w:shd w:val="clear" w:color="auto" w:fill="1A1A2E"/>
          </w:tcPr>
          <w:p>
            <w:r>
              <w:rPr>
                <w:b/>
                <w:color w:val="FFFFFF"/>
                <w:sz w:val="18"/>
              </w:rPr>
              <w:t>HOW IT WAS USED</w:t>
            </w:r>
          </w:p>
        </w:tc>
      </w:tr>
      <w:tr>
        <w:tc>
          <w:tcPr>
            <w:tcW w:type="dxa" w:w="1440"/>
            <w:shd w:val="clear" w:color="auto" w:fill="F8F9FA"/>
          </w:tcPr>
          <w:p>
            <w:r>
              <w:rPr>
                <w:b/>
                <w:color w:val="EE2207"/>
                <w:sz w:val="18"/>
              </w:rPr>
              <w:t>T1195.002</w:t>
            </w:r>
          </w:p>
        </w:tc>
        <w:tc>
          <w:tcPr>
            <w:tcW w:type="dxa" w:w="2736"/>
            <w:shd w:val="clear" w:color="auto" w:fill="F8F9FA"/>
          </w:tcPr>
          <w:p>
            <w:r>
              <w:rPr>
                <w:b/>
                <w:color w:val="1A1A2E"/>
                <w:sz w:val="18"/>
              </w:rPr>
              <w:t>Compromise Software Supply Chain</w:t>
            </w:r>
          </w:p>
        </w:tc>
        <w:tc>
          <w:tcPr>
            <w:tcW w:type="dxa" w:w="5472"/>
            <w:shd w:val="clear" w:color="auto" w:fill="F8F9FA"/>
          </w:tcPr>
          <w:p>
            <w:r>
              <w:rPr>
                <w:color w:val="555555"/>
                <w:sz w:val="18"/>
              </w:rPr>
              <w:t>Injected SUNBURST backdoor into SolarWinds' legitimate Orion build pipeline</w:t>
            </w:r>
          </w:p>
        </w:tc>
      </w:tr>
      <w:tr>
        <w:tc>
          <w:tcPr>
            <w:tcW w:type="dxa" w:w="1440"/>
            <w:shd w:val="clear" w:color="auto" w:fill="FFFFFF"/>
          </w:tcPr>
          <w:p>
            <w:r>
              <w:rPr>
                <w:b/>
                <w:color w:val="EE2207"/>
                <w:sz w:val="18"/>
              </w:rPr>
              <w:t>T1071.004</w:t>
            </w:r>
          </w:p>
        </w:tc>
        <w:tc>
          <w:tcPr>
            <w:tcW w:type="dxa" w:w="2736"/>
            <w:shd w:val="clear" w:color="auto" w:fill="FFFFFF"/>
          </w:tcPr>
          <w:p>
            <w:r>
              <w:rPr>
                <w:b/>
                <w:color w:val="1A1A2E"/>
                <w:sz w:val="18"/>
              </w:rPr>
              <w:t>DNS Command and Control</w:t>
            </w:r>
          </w:p>
        </w:tc>
        <w:tc>
          <w:tcPr>
            <w:tcW w:type="dxa" w:w="5472"/>
            <w:shd w:val="clear" w:color="auto" w:fill="FFFFFF"/>
          </w:tcPr>
          <w:p>
            <w:r>
              <w:rPr>
                <w:color w:val="555555"/>
                <w:sz w:val="18"/>
              </w:rPr>
              <w:t>Used DNS queries for C2 — blended with legitimate network monitoring traffic</w:t>
            </w:r>
          </w:p>
        </w:tc>
      </w:tr>
      <w:tr>
        <w:tc>
          <w:tcPr>
            <w:tcW w:type="dxa" w:w="1440"/>
            <w:shd w:val="clear" w:color="auto" w:fill="F8F9FA"/>
          </w:tcPr>
          <w:p>
            <w:r>
              <w:rPr>
                <w:b/>
                <w:color w:val="EE2207"/>
                <w:sz w:val="18"/>
              </w:rPr>
              <w:t>T1027</w:t>
            </w:r>
          </w:p>
        </w:tc>
        <w:tc>
          <w:tcPr>
            <w:tcW w:type="dxa" w:w="2736"/>
            <w:shd w:val="clear" w:color="auto" w:fill="F8F9FA"/>
          </w:tcPr>
          <w:p>
            <w:r>
              <w:rPr>
                <w:b/>
                <w:color w:val="1A1A2E"/>
                <w:sz w:val="18"/>
              </w:rPr>
              <w:t>Obfuscated Files and Information</w:t>
            </w:r>
          </w:p>
        </w:tc>
        <w:tc>
          <w:tcPr>
            <w:tcW w:type="dxa" w:w="5472"/>
            <w:shd w:val="clear" w:color="auto" w:fill="F8F9FA"/>
          </w:tcPr>
          <w:p>
            <w:r>
              <w:rPr>
                <w:color w:val="555555"/>
                <w:sz w:val="18"/>
              </w:rPr>
              <w:t>SUNBURST carefully mimicked legitimate SolarWinds code to evade detection</w:t>
            </w:r>
          </w:p>
        </w:tc>
      </w:tr>
      <w:tr>
        <w:tc>
          <w:tcPr>
            <w:tcW w:type="dxa" w:w="1440"/>
            <w:shd w:val="clear" w:color="auto" w:fill="FFFFFF"/>
          </w:tcPr>
          <w:p>
            <w:r>
              <w:rPr>
                <w:b/>
                <w:color w:val="EE2207"/>
                <w:sz w:val="18"/>
              </w:rPr>
              <w:t>T1550.001</w:t>
            </w:r>
          </w:p>
        </w:tc>
        <w:tc>
          <w:tcPr>
            <w:tcW w:type="dxa" w:w="2736"/>
            <w:shd w:val="clear" w:color="auto" w:fill="FFFFFF"/>
          </w:tcPr>
          <w:p>
            <w:r>
              <w:rPr>
                <w:b/>
                <w:color w:val="1A1A2E"/>
                <w:sz w:val="18"/>
              </w:rPr>
              <w:t>Application Access Token</w:t>
            </w:r>
          </w:p>
        </w:tc>
        <w:tc>
          <w:tcPr>
            <w:tcW w:type="dxa" w:w="5472"/>
            <w:shd w:val="clear" w:color="auto" w:fill="FFFFFF"/>
          </w:tcPr>
          <w:p>
            <w:r>
              <w:rPr>
                <w:color w:val="555555"/>
                <w:sz w:val="18"/>
              </w:rPr>
              <w:t>Forged SAML tokens to access Microsoft 365 and Azure cloud environments</w:t>
            </w:r>
          </w:p>
        </w:tc>
      </w:tr>
      <w:tr>
        <w:tc>
          <w:tcPr>
            <w:tcW w:type="dxa" w:w="1440"/>
            <w:shd w:val="clear" w:color="auto" w:fill="F8F9FA"/>
          </w:tcPr>
          <w:p>
            <w:r>
              <w:rPr>
                <w:b/>
                <w:color w:val="EE2207"/>
                <w:sz w:val="18"/>
              </w:rPr>
              <w:t>T1562</w:t>
            </w:r>
          </w:p>
        </w:tc>
        <w:tc>
          <w:tcPr>
            <w:tcW w:type="dxa" w:w="2736"/>
            <w:shd w:val="clear" w:color="auto" w:fill="F8F9FA"/>
          </w:tcPr>
          <w:p>
            <w:r>
              <w:rPr>
                <w:b/>
                <w:color w:val="1A1A2E"/>
                <w:sz w:val="18"/>
              </w:rPr>
              <w:t>Impair Defenses</w:t>
            </w:r>
          </w:p>
        </w:tc>
        <w:tc>
          <w:tcPr>
            <w:tcW w:type="dxa" w:w="5472"/>
            <w:shd w:val="clear" w:color="auto" w:fill="F8F9FA"/>
          </w:tcPr>
          <w:p>
            <w:r>
              <w:rPr>
                <w:color w:val="555555"/>
                <w:sz w:val="18"/>
              </w:rPr>
              <w:t>SUNBURST checked for security tools before activating — disabled if found</w:t>
            </w:r>
          </w:p>
        </w:tc>
      </w:tr>
    </w:tbl>
    <w:p/>
    <w:p>
      <w:r>
        <w:br w:type="page"/>
      </w:r>
    </w:p>
    <w:p>
      <w:r>
        <w:rPr>
          <w:b/>
          <w:color w:val="EE2207"/>
          <w:sz w:val="34"/>
        </w:rPr>
        <w:t>CVE / ADVISORY REFERENCE</w:t>
      </w:r>
    </w:p>
    <w:p>
      <w:pPr>
        <w:ind w:left="216"/>
        <w:shd w:val="clear" w:color="auto" w:fill="E8F4FD"/>
      </w:pPr>
      <w:r>
        <w:rPr>
          <w:b/>
          <w:color w:val="1A1A2E"/>
          <w:sz w:val="20"/>
        </w:rPr>
        <w:t xml:space="preserve">🔍 IDENTIFIER:  </w:t>
      </w:r>
      <w:r>
        <w:rPr>
          <w:color w:val="555555"/>
          <w:sz w:val="20"/>
        </w:rPr>
        <w:t>CVE-2020-10148 (SolarWinds Orion API Authentication Bypass, CVSS 9.8 CRITICAL) — nvd.nist.gov</w:t>
      </w:r>
    </w:p>
    <w:p/>
    <w:p>
      <w:r>
        <w:rPr>
          <w:b/>
          <w:color w:val="1A1A2E"/>
          <w:sz w:val="26"/>
        </w:rPr>
        <w:t>HOW IT WAS PATCHED</w:t>
      </w:r>
    </w:p>
    <w:p>
      <w:pPr>
        <w:pStyle w:val="ListBullet"/>
      </w:pPr>
      <w:r>
        <w:rPr>
          <w:color w:val="555555"/>
          <w:sz w:val="20"/>
        </w:rPr>
        <w:t>CVE-2020-10148: SolarWinds released Orion hotfix 2020.2.1 HF1 (Dec 15, 2020) then HF2 (Dec 23, 2020)</w:t>
      </w:r>
    </w:p>
    <w:p>
      <w:pPr>
        <w:pStyle w:val="ListBullet"/>
      </w:pPr>
      <w:r>
        <w:rPr>
          <w:color w:val="555555"/>
          <w:sz w:val="20"/>
        </w:rPr>
        <w:t>CISA Emergency Directive 21-01: All federal agencies ordered to immediately power off or disconnect ALL Orion instances</w:t>
      </w:r>
    </w:p>
    <w:p>
      <w:pPr>
        <w:pStyle w:val="ListBullet"/>
      </w:pPr>
      <w:r>
        <w:rPr>
          <w:color w:val="555555"/>
          <w:sz w:val="20"/>
        </w:rPr>
        <w:t>Microsoft, GoDaddy, and FireEye collaborated to sinkhole the SUNBURST C2 domain avsvmcloud[.]com</w:t>
      </w:r>
    </w:p>
    <w:p>
      <w:pPr>
        <w:pStyle w:val="ListBullet"/>
      </w:pPr>
      <w:r>
        <w:rPr>
          <w:color w:val="555555"/>
          <w:sz w:val="20"/>
        </w:rPr>
        <w:t>High-value targets directed to completely rebuild affected systems from scratch rather than just patch</w:t>
      </w:r>
    </w:p>
    <w:p>
      <w:pPr>
        <w:pStyle w:val="ListBullet"/>
      </w:pPr>
      <w:r>
        <w:rPr>
          <w:color w:val="555555"/>
          <w:sz w:val="20"/>
        </w:rPr>
        <w:t>All credentials, tokens, and certificates on systems touching Orion had to be rotated or revoked</w:t>
      </w:r>
    </w:p>
    <w:p/>
    <w:p>
      <w:r>
        <w:rPr>
          <w:b/>
          <w:color w:val="1A1A2E"/>
          <w:sz w:val="26"/>
        </w:rPr>
        <w:t>HOW THE INCIDENT WAS CONTAINED</w:t>
      </w:r>
    </w:p>
    <w:p>
      <w:pPr>
        <w:pStyle w:val="ListBullet"/>
      </w:pPr>
      <w:r>
        <w:rPr>
          <w:color w:val="555555"/>
          <w:sz w:val="20"/>
        </w:rPr>
        <w:t>FireEye discovered breach while investigating their own network; notified NSA, CISA, FBI immediately</w:t>
      </w:r>
    </w:p>
    <w:p>
      <w:pPr>
        <w:pStyle w:val="ListBullet"/>
      </w:pPr>
      <w:r>
        <w:rPr>
          <w:color w:val="555555"/>
          <w:sz w:val="20"/>
        </w:rPr>
        <w:t>Sinkholing avsvmcloud[.]com allowed researchers to identify all infected organizations (who "phoned home")</w:t>
      </w:r>
    </w:p>
    <w:p>
      <w:pPr>
        <w:pStyle w:val="ListBullet"/>
      </w:pPr>
      <w:r>
        <w:rPr>
          <w:color w:val="555555"/>
          <w:sz w:val="20"/>
        </w:rPr>
        <w:t>CISA stood up 24/7 incident coordination center for the SolarWinds response</w:t>
      </w:r>
    </w:p>
    <w:p>
      <w:pPr>
        <w:pStyle w:val="ListBullet"/>
      </w:pPr>
      <w:r>
        <w:rPr>
          <w:color w:val="555555"/>
          <w:sz w:val="20"/>
        </w:rPr>
        <w:t>Cyber Unified Coordination Group (NSA, CISA, FBI, ODNI) coordinated the full government response</w:t>
      </w:r>
    </w:p>
    <w:p/>
    <w:p>
      <w:r>
        <w:rPr>
          <w:b/>
          <w:color w:val="1A1A2E"/>
          <w:sz w:val="26"/>
        </w:rPr>
        <w:t>INCIDENT TIMELINE</w:t>
      </w:r>
    </w:p>
    <w:tbl>
      <w:tblPr>
        <w:tblStyle w:val="TableGrid"/>
        <w:tblW w:type="auto" w:w="0"/>
        <w:tblLook w:firstColumn="1" w:firstRow="1" w:lastColumn="0" w:lastRow="0" w:noHBand="0" w:noVBand="1" w:val="04A0"/>
      </w:tblPr>
      <w:tblGrid>
        <w:gridCol w:w="4680"/>
        <w:gridCol w:w="4680"/>
      </w:tblGrid>
      <w:tr>
        <w:tc>
          <w:tcPr>
            <w:tcW w:type="dxa" w:w="2880"/>
            <w:shd w:val="clear" w:color="auto" w:fill="1A1A2E"/>
          </w:tcPr>
          <w:p>
            <w:r>
              <w:rPr>
                <w:b/>
                <w:color w:val="FFFFFF"/>
              </w:rPr>
              <w:t>DATE</w:t>
            </w:r>
          </w:p>
        </w:tc>
        <w:tc>
          <w:tcPr>
            <w:tcW w:type="dxa" w:w="6768"/>
            <w:shd w:val="clear" w:color="auto" w:fill="1A1A2E"/>
          </w:tcPr>
          <w:p>
            <w:r>
              <w:rPr>
                <w:b/>
                <w:color w:val="FFFFFF"/>
              </w:rPr>
              <w:t>EVENT</w:t>
            </w:r>
          </w:p>
        </w:tc>
      </w:tr>
      <w:tr>
        <w:tc>
          <w:tcPr>
            <w:tcW w:type="dxa" w:w="2880"/>
            <w:shd w:val="clear" w:color="auto" w:fill="F8F9FA"/>
          </w:tcPr>
          <w:p>
            <w:r>
              <w:rPr>
                <w:b/>
                <w:color w:val="EE2207"/>
                <w:sz w:val="18"/>
              </w:rPr>
              <w:t>Oct 2019</w:t>
            </w:r>
          </w:p>
        </w:tc>
        <w:tc>
          <w:tcPr>
            <w:tcW w:type="dxa" w:w="6768"/>
            <w:shd w:val="clear" w:color="auto" w:fill="F8F9FA"/>
          </w:tcPr>
          <w:p>
            <w:r>
              <w:rPr>
                <w:color w:val="555555"/>
                <w:sz w:val="18"/>
              </w:rPr>
              <w:t>Attackers first access SolarWinds build environment</w:t>
            </w:r>
          </w:p>
        </w:tc>
      </w:tr>
      <w:tr>
        <w:tc>
          <w:tcPr>
            <w:tcW w:type="dxa" w:w="2880"/>
            <w:shd w:val="clear" w:color="auto" w:fill="FFFFFF"/>
          </w:tcPr>
          <w:p>
            <w:r>
              <w:rPr>
                <w:b/>
                <w:color w:val="EE2207"/>
                <w:sz w:val="18"/>
              </w:rPr>
              <w:t>Mar 26, 2020</w:t>
            </w:r>
          </w:p>
        </w:tc>
        <w:tc>
          <w:tcPr>
            <w:tcW w:type="dxa" w:w="6768"/>
            <w:shd w:val="clear" w:color="auto" w:fill="FFFFFF"/>
          </w:tcPr>
          <w:p>
            <w:r>
              <w:rPr>
                <w:color w:val="555555"/>
                <w:sz w:val="18"/>
              </w:rPr>
              <w:t>Malicious Orion update officially released to 18,000 customers</w:t>
            </w:r>
          </w:p>
        </w:tc>
      </w:tr>
      <w:tr>
        <w:tc>
          <w:tcPr>
            <w:tcW w:type="dxa" w:w="2880"/>
            <w:shd w:val="clear" w:color="auto" w:fill="F8F9FA"/>
          </w:tcPr>
          <w:p>
            <w:r>
              <w:rPr>
                <w:b/>
                <w:color w:val="EE2207"/>
                <w:sz w:val="18"/>
              </w:rPr>
              <w:t>Mar–Oct 2020</w:t>
            </w:r>
          </w:p>
        </w:tc>
        <w:tc>
          <w:tcPr>
            <w:tcW w:type="dxa" w:w="6768"/>
            <w:shd w:val="clear" w:color="auto" w:fill="F8F9FA"/>
          </w:tcPr>
          <w:p>
            <w:r>
              <w:rPr>
                <w:color w:val="555555"/>
                <w:sz w:val="18"/>
              </w:rPr>
              <w:t>Attackers silently access government networks — 9+ months undetected</w:t>
            </w:r>
          </w:p>
        </w:tc>
      </w:tr>
      <w:tr>
        <w:tc>
          <w:tcPr>
            <w:tcW w:type="dxa" w:w="2880"/>
            <w:shd w:val="clear" w:color="auto" w:fill="FFFFFF"/>
          </w:tcPr>
          <w:p>
            <w:r>
              <w:rPr>
                <w:b/>
                <w:color w:val="EE2207"/>
                <w:sz w:val="18"/>
              </w:rPr>
              <w:t>Dec 8, 2020</w:t>
            </w:r>
          </w:p>
        </w:tc>
        <w:tc>
          <w:tcPr>
            <w:tcW w:type="dxa" w:w="6768"/>
            <w:shd w:val="clear" w:color="auto" w:fill="FFFFFF"/>
          </w:tcPr>
          <w:p>
            <w:r>
              <w:rPr>
                <w:color w:val="555555"/>
                <w:sz w:val="18"/>
              </w:rPr>
              <w:t>FireEye publicly discloses their own breach</w:t>
            </w:r>
          </w:p>
        </w:tc>
      </w:tr>
      <w:tr>
        <w:tc>
          <w:tcPr>
            <w:tcW w:type="dxa" w:w="2880"/>
            <w:shd w:val="clear" w:color="auto" w:fill="F8F9FA"/>
          </w:tcPr>
          <w:p>
            <w:r>
              <w:rPr>
                <w:b/>
                <w:color w:val="EE2207"/>
                <w:sz w:val="18"/>
              </w:rPr>
              <w:t>Dec 13, 2020</w:t>
            </w:r>
          </w:p>
        </w:tc>
        <w:tc>
          <w:tcPr>
            <w:tcW w:type="dxa" w:w="6768"/>
            <w:shd w:val="clear" w:color="auto" w:fill="F8F9FA"/>
          </w:tcPr>
          <w:p>
            <w:r>
              <w:rPr>
                <w:color w:val="555555"/>
                <w:sz w:val="18"/>
              </w:rPr>
              <w:t>SolarWinds supply chain attack publicly disclosed; CISA issues ED 21-01</w:t>
            </w:r>
          </w:p>
        </w:tc>
      </w:tr>
      <w:tr>
        <w:tc>
          <w:tcPr>
            <w:tcW w:type="dxa" w:w="2880"/>
            <w:shd w:val="clear" w:color="auto" w:fill="FFFFFF"/>
          </w:tcPr>
          <w:p>
            <w:r>
              <w:rPr>
                <w:b/>
                <w:color w:val="EE2207"/>
                <w:sz w:val="18"/>
              </w:rPr>
              <w:t>Dec 14, 2020</w:t>
            </w:r>
          </w:p>
        </w:tc>
        <w:tc>
          <w:tcPr>
            <w:tcW w:type="dxa" w:w="6768"/>
            <w:shd w:val="clear" w:color="auto" w:fill="FFFFFF"/>
          </w:tcPr>
          <w:p>
            <w:r>
              <w:rPr>
                <w:color w:val="555555"/>
                <w:sz w:val="18"/>
              </w:rPr>
              <w:t>C2 domain avsvmcloud[.]com sinkholed by Microsoft/GoDaddy/FireEye</w:t>
            </w:r>
          </w:p>
        </w:tc>
      </w:tr>
      <w:tr>
        <w:tc>
          <w:tcPr>
            <w:tcW w:type="dxa" w:w="2880"/>
            <w:shd w:val="clear" w:color="auto" w:fill="F8F9FA"/>
          </w:tcPr>
          <w:p>
            <w:r>
              <w:rPr>
                <w:b/>
                <w:color w:val="EE2207"/>
                <w:sz w:val="18"/>
              </w:rPr>
              <w:t>Dec 15–23</w:t>
            </w:r>
          </w:p>
        </w:tc>
        <w:tc>
          <w:tcPr>
            <w:tcW w:type="dxa" w:w="6768"/>
            <w:shd w:val="clear" w:color="auto" w:fill="F8F9FA"/>
          </w:tcPr>
          <w:p>
            <w:r>
              <w:rPr>
                <w:color w:val="555555"/>
                <w:sz w:val="18"/>
              </w:rPr>
              <w:t>SolarWinds releases HF1 and HF2 patches</w:t>
            </w:r>
          </w:p>
        </w:tc>
      </w:tr>
      <w:tr>
        <w:tc>
          <w:tcPr>
            <w:tcW w:type="dxa" w:w="2880"/>
            <w:shd w:val="clear" w:color="auto" w:fill="FFFFFF"/>
          </w:tcPr>
          <w:p>
            <w:r>
              <w:rPr>
                <w:b/>
                <w:color w:val="EE2207"/>
                <w:sz w:val="18"/>
              </w:rPr>
              <w:t>May 2021</w:t>
            </w:r>
          </w:p>
        </w:tc>
        <w:tc>
          <w:tcPr>
            <w:tcW w:type="dxa" w:w="6768"/>
            <w:shd w:val="clear" w:color="auto" w:fill="FFFFFF"/>
          </w:tcPr>
          <w:p>
            <w:r>
              <w:rPr>
                <w:color w:val="555555"/>
                <w:sz w:val="18"/>
              </w:rPr>
              <w:t>Executive Order 14028 — SBOM and Zero Trust now required for federal contractors</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E2207"/>
          </w:tcPr>
          <w:p>
            <w:pPr>
              <w:jc w:val="center"/>
            </w:pPr>
            <w:r>
              <w:rPr>
                <w:b/>
                <w:color w:val="FFFFFF"/>
                <w:sz w:val="24"/>
              </w:rPr>
              <w:t>PROJECT 5 ASSESSMENT — CVE RESEARCH WORKSHEET (50 POINTS)</w:t>
            </w:r>
          </w:p>
        </w:tc>
      </w:tr>
    </w:tbl>
    <w:p/>
    <w:p>
      <w:pPr>
        <w:ind w:left="216"/>
        <w:shd w:val="clear" w:color="auto" w:fill="FFF3CD"/>
      </w:pPr>
      <w:r>
        <w:rPr>
          <w:b/>
          <w:color w:val="7B4A00"/>
          <w:sz w:val="20"/>
        </w:rPr>
        <w:t xml:space="preserve">📌 DUE:  </w:t>
      </w:r>
      <w:r>
        <w:rPr>
          <w:color w:val="7B4A00"/>
          <w:sz w:val="20"/>
        </w:rPr>
        <w:t>Thursday of this project. Submit to your instructor.</w:t>
      </w:r>
    </w:p>
    <w:p/>
    <w:p>
      <w:r>
        <w:rPr>
          <w:b/>
          <w:color w:val="EE2207"/>
          <w:sz w:val="20"/>
        </w:rPr>
        <w:t xml:space="preserve">[10 pts]  </w:t>
      </w:r>
      <w:r>
        <w:rPr>
          <w:color w:val="555555"/>
          <w:sz w:val="20"/>
        </w:rPr>
        <w:t>What is the CVE number and CVSS score for this incident? If no CVE exists, what CISA advisory or identifier applies? What does the CVSS score (or the absence of a CVE) tell you about the nature of this vulnerability?</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p>
      <w:r>
        <w:rPr>
          <w:b/>
          <w:color w:val="EE2207"/>
          <w:sz w:val="20"/>
        </w:rPr>
        <w:t xml:space="preserve">[10 pts]  </w:t>
      </w:r>
      <w:r>
        <w:rPr>
          <w:color w:val="555555"/>
          <w:sz w:val="20"/>
        </w:rPr>
        <w:t>Describe the vulnerability or weakness in your own words — plain English, no jargon. A non-technical reader should completely understand what went wrong.</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p>
      <w:r>
        <w:rPr>
          <w:b/>
          <w:color w:val="EE2207"/>
          <w:sz w:val="20"/>
        </w:rPr>
        <w:t xml:space="preserve">[10 pts]  </w:t>
      </w:r>
      <w:r>
        <w:rPr>
          <w:color w:val="555555"/>
          <w:sz w:val="20"/>
        </w:rPr>
        <w:t>When was the official patch or fix released? How much time passed between the fix being available and the breach occurring? What does that timeline tell you about the organization's security practices?</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p>
      <w:r>
        <w:rPr>
          <w:b/>
          <w:color w:val="EE2207"/>
          <w:sz w:val="20"/>
        </w:rPr>
        <w:t xml:space="preserve">[10 pts]  </w:t>
      </w:r>
      <w:r>
        <w:rPr>
          <w:color w:val="555555"/>
          <w:sz w:val="20"/>
        </w:rPr>
        <w:t>Who was involved in containing this incident? What specific actions were taken? How long did full containment take?</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p>
      <w:r>
        <w:rPr>
          <w:b/>
          <w:color w:val="EE2207"/>
          <w:sz w:val="20"/>
        </w:rPr>
        <w:t xml:space="preserve">[10 pts]  </w:t>
      </w:r>
      <w:r>
        <w:rPr>
          <w:color w:val="555555"/>
          <w:sz w:val="20"/>
        </w:rPr>
        <w:t>List your 3 most critical "From Here On Out" recommendations for any organization that uses similar technology. For each, explain specifically WHY it would have prevented or reduced this breach.</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p>
      <w:r>
        <w:rPr>
          <w:b/>
          <w:color w:val="1A1A2E"/>
          <w:sz w:val="26"/>
        </w:rPr>
        <w:t>REFERENCES &amp; RESOURCES</w:t>
      </w:r>
    </w:p>
    <w:p>
      <w:pPr>
        <w:pStyle w:val="ListBullet"/>
      </w:pPr>
      <w:r>
        <w:rPr>
          <w:color w:val="555555"/>
          <w:sz w:val="20"/>
        </w:rPr>
        <w:t>FireEye Blog: "Highly Evasive Attacker Leverages SolarWinds Supply Chain" (December 13, 2020) — mandiant.com</w:t>
      </w:r>
    </w:p>
    <w:p>
      <w:pPr>
        <w:pStyle w:val="ListBullet"/>
      </w:pPr>
      <w:r>
        <w:rPr>
          <w:color w:val="555555"/>
          <w:sz w:val="20"/>
        </w:rPr>
        <w:t>CISA Emergency Directive 21-01 — cisa.gov/emergency-directive-21-01</w:t>
      </w:r>
    </w:p>
    <w:p>
      <w:pPr>
        <w:pStyle w:val="ListBullet"/>
      </w:pPr>
      <w:r>
        <w:rPr>
          <w:color w:val="555555"/>
          <w:sz w:val="20"/>
        </w:rPr>
        <w:t>nvd.nist.gov/vuln/detail/CVE-2020-10148 — full technical details</w:t>
      </w:r>
    </w:p>
    <w:p>
      <w:pPr>
        <w:pStyle w:val="ListBullet"/>
      </w:pPr>
      <w:r>
        <w:rPr>
          <w:color w:val="555555"/>
          <w:sz w:val="20"/>
        </w:rPr>
        <w:t>U.S. Senate Intelligence Committee: SolarWinds Hearing (February 23, 2021)</w:t>
      </w:r>
    </w:p>
    <w:p>
      <w:pPr>
        <w:pStyle w:val="ListBullet"/>
      </w:pPr>
      <w:r>
        <w:rPr>
          <w:color w:val="555555"/>
          <w:sz w:val="20"/>
        </w:rPr>
        <w:t>Executive Order 14028 on Improving the Nation's Cybersecurity — whitehouse.gov</w:t>
      </w:r>
    </w:p>
    <w:p>
      <w:pPr>
        <w:pStyle w:val="ListBullet"/>
      </w:pPr>
      <w:r>
        <w:rPr>
          <w:color w:val="555555"/>
          <w:sz w:val="20"/>
        </w:rPr>
        <w:t>MITRE ATT&amp;CK: attack.mitre.org — search T1195, T1071, T1027</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