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Style w:val="TableGrid"/>
        <w:tblW w:type="auto" w:w="0"/>
        <w:tblLook w:firstColumn="1" w:firstRow="1" w:lastColumn="0" w:lastRow="0" w:noHBand="0" w:noVBand="1" w:val="04A0"/>
      </w:tblPr>
      <w:tblGrid>
        <w:gridCol w:w="9360"/>
      </w:tblGrid>
      <w:tr>
        <w:tc>
          <w:tcPr>
            <w:tcW w:type="dxa" w:w="9360"/>
            <w:shd w:val="clear" w:color="auto" w:fill="1A1A2E"/>
          </w:tcPr>
          <w:p>
            <w:pPr>
              <w:jc w:val="center"/>
            </w:pPr>
            <w:r>
              <w:rPr>
                <w:b/>
                <w:color w:val="AACCFF"/>
                <w:sz w:val="20"/>
              </w:rPr>
              <w:t>MCCoE CYBERSECURITY APPRENTICESHIP PROGRAM</w:t>
            </w:r>
          </w:p>
        </w:tc>
      </w:tr>
      <w:tr>
        <w:tc>
          <w:tcPr>
            <w:tcW w:type="dxa" w:w="9360"/>
            <w:shd w:val="clear" w:color="auto" w:fill="1A5276"/>
          </w:tcPr>
          <w:p>
            <w:pPr>
              <w:jc w:val="center"/>
            </w:pPr>
            <w:r>
              <w:rPr>
                <w:b/>
                <w:color w:val="FFFFFF"/>
                <w:sz w:val="26"/>
              </w:rPr>
              <w:t>PROJECT 6 OF 8  —  PART 2: FRAMEWORKS + EXECUTIVE SUMMARY</w:t>
            </w:r>
          </w:p>
        </w:tc>
      </w:tr>
      <w:tr>
        <w:tc>
          <w:tcPr>
            <w:tcW w:type="dxa" w:w="9360"/>
            <w:shd w:val="clear" w:color="auto" w:fill="1A1A2E"/>
          </w:tcPr>
          <w:p>
            <w:pPr>
              <w:jc w:val="center"/>
            </w:pPr>
            <w:r>
              <w:rPr>
                <w:b/>
                <w:color w:val="EE2207"/>
                <w:sz w:val="32"/>
              </w:rPr>
              <w:t>SOLARWINDS SUPPLY CHAIN ATTACK (2020)</w:t>
            </w:r>
          </w:p>
        </w:tc>
      </w:tr>
    </w:tbl>
    <w:p/>
    <w:p>
      <w:pPr>
        <w:jc w:val="center"/>
      </w:pPr>
      <w:r>
        <w:rPr>
          <w:i/>
          <w:color w:val="555555"/>
          <w:sz w:val="22"/>
        </w:rPr>
        <w:t>Nation-State Attack · Supply Chain · 18,000 Victims · 9 Months Undetected</w:t>
      </w:r>
    </w:p>
    <w:p/>
    <w:p>
      <w:pPr>
        <w:ind w:left="216"/>
        <w:shd w:val="clear" w:color="auto" w:fill="E8F4FD"/>
      </w:pPr>
      <w:r>
        <w:rPr>
          <w:b/>
          <w:color w:val="1A1A2E"/>
          <w:sz w:val="20"/>
        </w:rPr>
        <w:t xml:space="preserve">📋 THIS PROJECT:  </w:t>
      </w:r>
      <w:r>
        <w:rPr>
          <w:color w:val="555555"/>
          <w:sz w:val="20"/>
        </w:rPr>
        <w:t>Apply the NIST CSF and pentesting methodology. Write and present your professional Executive Summary. This project ends with your Executive Summary submission (100 points).</w:t>
      </w:r>
    </w:p>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1A1A2E"/>
          </w:tcPr>
          <w:p>
            <w:r>
              <w:rPr>
                <w:b/>
                <w:color w:val="AACCFF"/>
                <w:sz w:val="20"/>
              </w:rPr>
              <w:t xml:space="preserve">  PROJECT 6 · DAY 6</w:t>
            </w:r>
          </w:p>
        </w:tc>
        <w:tc>
          <w:tcPr>
            <w:tcW w:type="dxa" w:w="6336"/>
            <w:shd w:val="clear" w:color="auto" w:fill="EE2207"/>
          </w:tcPr>
          <w:p>
            <w:r>
              <w:rPr>
                <w:b/>
                <w:color w:val="FFFFFF"/>
                <w:sz w:val="22"/>
              </w:rPr>
              <w:t xml:space="preserve">  MONDAY — NIST CSF — DEFENSIVE FAILURE ANALYSIS</w:t>
            </w:r>
          </w:p>
        </w:tc>
        <w:tc>
          <w:tcPr>
            <w:tcW w:type="dxa" w:w="1008"/>
            <w:shd w:val="clear" w:color="auto" w:fill="1A1A2E"/>
          </w:tcPr>
          <w:p>
            <w:pPr>
              <w:jc w:val="right"/>
            </w:pPr>
            <w:r>
              <w:rPr>
                <w:b/>
                <w:color w:val="AAAAAA"/>
                <w:sz w:val="20"/>
              </w:rPr>
              <w:t xml:space="preserve">1–2 HRS  </w:t>
            </w:r>
          </w:p>
        </w:tc>
      </w:tr>
    </w:tbl>
    <w:p/>
    <w:p>
      <w:pPr>
        <w:ind w:left="216"/>
        <w:shd w:val="clear" w:color="auto" w:fill="E8F4FD"/>
      </w:pPr>
      <w:r>
        <w:rPr>
          <w:b/>
          <w:color w:val="1A1A2E"/>
          <w:sz w:val="20"/>
        </w:rPr>
        <w:t xml:space="preserve">🎯 OBJECTIVE:  </w:t>
      </w:r>
      <w:r>
        <w:rPr>
          <w:color w:val="555555"/>
          <w:sz w:val="20"/>
        </w:rPr>
        <w:t>Students apply all 5 NIST Cybersecurity Framework functions to identify exactly what the organization did wrong and what they should have done.</w:t>
      </w:r>
    </w:p>
    <w:p/>
    <w:p>
      <w:r>
        <w:rPr>
          <w:b/>
          <w:color w:val="7B4A00"/>
          <w:sz w:val="22"/>
        </w:rPr>
        <w:t>📢 TEACHER TALKING POINTS</w:t>
      </w:r>
    </w:p>
    <w:p>
      <w:pPr>
        <w:ind w:left="288"/>
        <w:shd w:val="clear" w:color="auto" w:fill="FFF3CD"/>
      </w:pPr>
      <w:r>
        <w:rPr>
          <w:b/>
          <w:color w:val="7B4A00"/>
          <w:sz w:val="20"/>
        </w:rPr>
        <w:t xml:space="preserve">📢 TELL YOUR STUDENTS:  </w:t>
      </w:r>
      <w:r>
        <w:rPr>
          <w:color w:val="7B4A00"/>
          <w:sz w:val="20"/>
        </w:rPr>
        <w:t>'Last week you saw the attack. This week you look at it from the other side — the defender. The NIST framework gives defenders a checklist. For every function that failed in this breach, there is a specific control that should have existed and did not.'</w:t>
      </w:r>
    </w:p>
    <w:p>
      <w:pPr>
        <w:ind w:left="288"/>
        <w:shd w:val="clear" w:color="auto" w:fill="FFF3CD"/>
      </w:pPr>
      <w:r>
        <w:rPr>
          <w:b/>
          <w:color w:val="7B4A00"/>
          <w:sz w:val="20"/>
        </w:rPr>
        <w:t xml:space="preserve">📢 TELL YOUR STUDENTS:  </w:t>
      </w:r>
      <w:r>
        <w:rPr>
          <w:color w:val="7B4A00"/>
          <w:sz w:val="20"/>
        </w:rPr>
        <w:t>Most critical NIST failure for SolarWinds Supply Chain Attack: 'DETECT — 9 months undetected. Ask students: what behavioral detection would have found SUNBURST when signature-based tools completely failed?'</w:t>
      </w:r>
    </w:p>
    <w:p>
      <w:pPr>
        <w:ind w:left="288"/>
        <w:shd w:val="clear" w:color="auto" w:fill="FFF3CD"/>
      </w:pPr>
      <w:r>
        <w:rPr>
          <w:b/>
          <w:color w:val="7B4A00"/>
          <w:sz w:val="20"/>
        </w:rPr>
        <w:t xml:space="preserve">📢 TELL YOUR STUDENTS:  </w:t>
      </w:r>
      <w:r>
        <w:rPr>
          <w:color w:val="7B4A00"/>
          <w:sz w:val="20"/>
        </w:rPr>
        <w:t>'For every NIST failure, I want you to write a specific corrective action — not just Implement MFA but: Implement MFA on all VPN and remote access systems using hardware tokens or authenticator apps within 30 days. That specificity is what a real CISO writes.'</w:t>
      </w:r>
    </w:p>
    <w:p>
      <w:pPr>
        <w:ind w:left="288"/>
        <w:shd w:val="clear" w:color="auto" w:fill="FFF3CD"/>
      </w:pPr>
      <w:r>
        <w:rPr>
          <w:b/>
          <w:color w:val="7B4A00"/>
          <w:sz w:val="20"/>
        </w:rPr>
        <w:t xml:space="preserve">📢 TELL YOUR STUDENTS:  </w:t>
      </w:r>
      <w:r>
        <w:rPr>
          <w:color w:val="7B4A00"/>
          <w:sz w:val="20"/>
        </w:rPr>
        <w:t>'NIST is not just for analyzing failures. It is for building programs. When you finish here, you should be able to tell a company: here are the 5 things you need to do before you are breached. That is what this framework teaches you to say.'</w:t>
      </w:r>
    </w:p>
    <w:p/>
    <w:p>
      <w:r>
        <w:rPr>
          <w:b/>
          <w:color w:val="1A1A2E"/>
          <w:sz w:val="22"/>
        </w:rPr>
        <w:t>CLASS SCHEDULE</w:t>
      </w:r>
    </w:p>
    <w:tbl>
      <w:tblPr>
        <w:tblStyle w:val="TableGrid"/>
        <w:tblW w:type="auto" w:w="0"/>
        <w:tblLook w:firstColumn="1" w:firstRow="1" w:lastColumn="0" w:lastRow="0" w:noHBand="0" w:noVBand="1" w:val="04A0"/>
      </w:tblPr>
      <w:tblGrid>
        <w:gridCol w:w="3120"/>
        <w:gridCol w:w="3120"/>
        <w:gridCol w:w="3120"/>
      </w:tblGrid>
      <w:tr>
        <w:tc>
          <w:tcPr>
            <w:tcW w:type="dxa" w:w="1224"/>
            <w:shd w:val="clear" w:color="auto" w:fill="1A1A2E"/>
          </w:tcPr>
          <w:p>
            <w:r>
              <w:rPr>
                <w:b/>
                <w:color w:val="FFFFFF"/>
                <w:sz w:val="18"/>
              </w:rPr>
              <w:t>TIME</w:t>
            </w:r>
          </w:p>
        </w:tc>
        <w:tc>
          <w:tcPr>
            <w:tcW w:type="dxa" w:w="2520"/>
            <w:shd w:val="clear" w:color="auto" w:fill="1A1A2E"/>
          </w:tcPr>
          <w:p>
            <w:r>
              <w:rPr>
                <w:b/>
                <w:color w:val="FFFFFF"/>
                <w:sz w:val="18"/>
              </w:rPr>
              <w:t>ACTIVITY</w:t>
            </w:r>
          </w:p>
        </w:tc>
        <w:tc>
          <w:tcPr>
            <w:tcW w:type="dxa" w:w="5904"/>
            <w:shd w:val="clear" w:color="auto" w:fill="1A1A2E"/>
          </w:tcPr>
          <w:p>
            <w:r>
              <w:rPr>
                <w:b/>
                <w:color w:val="FFFFFF"/>
                <w:sz w:val="18"/>
              </w:rPr>
              <w:t>DETAIL / INSTRUCTIONS</w:t>
            </w:r>
          </w:p>
        </w:tc>
      </w:tr>
      <w:tr>
        <w:tc>
          <w:tcPr>
            <w:tcW w:type="dxa" w:w="1224"/>
            <w:shd w:val="clear" w:color="auto" w:fill="F8F9FA"/>
          </w:tcPr>
          <w:p>
            <w:r>
              <w:rPr>
                <w:b/>
                <w:color w:val="EE2207"/>
                <w:sz w:val="18"/>
              </w:rPr>
              <w:t>0:00–0:20</w:t>
            </w:r>
          </w:p>
        </w:tc>
        <w:tc>
          <w:tcPr>
            <w:tcW w:type="dxa" w:w="2520"/>
            <w:shd w:val="clear" w:color="auto" w:fill="F8F9FA"/>
          </w:tcPr>
          <w:p>
            <w:r>
              <w:rPr>
                <w:b/>
                <w:color w:val="1A1A2E"/>
                <w:sz w:val="18"/>
              </w:rPr>
              <w:t>Project Launch + Review</w:t>
            </w:r>
          </w:p>
        </w:tc>
        <w:tc>
          <w:tcPr>
            <w:tcW w:type="dxa" w:w="5904"/>
            <w:shd w:val="clear" w:color="auto" w:fill="F8F9FA"/>
          </w:tcPr>
          <w:p>
            <w:r>
              <w:rPr>
                <w:color w:val="555555"/>
                <w:sz w:val="18"/>
              </w:rPr>
              <w:t>Quick recap of last project findings. Preview this project: today = defender perspective. What failed? What should have existed?</w:t>
            </w:r>
          </w:p>
        </w:tc>
      </w:tr>
      <w:tr>
        <w:tc>
          <w:tcPr>
            <w:tcW w:type="dxa" w:w="1224"/>
            <w:shd w:val="clear" w:color="auto" w:fill="FFFFFF"/>
          </w:tcPr>
          <w:p>
            <w:r>
              <w:rPr>
                <w:b/>
                <w:color w:val="EE2207"/>
                <w:sz w:val="18"/>
              </w:rPr>
              <w:t>0:20–0:50</w:t>
            </w:r>
          </w:p>
        </w:tc>
        <w:tc>
          <w:tcPr>
            <w:tcW w:type="dxa" w:w="2520"/>
            <w:shd w:val="clear" w:color="auto" w:fill="FFFFFF"/>
          </w:tcPr>
          <w:p>
            <w:r>
              <w:rPr>
                <w:b/>
                <w:color w:val="1A1A2E"/>
                <w:sz w:val="18"/>
              </w:rPr>
              <w:t>Lecture: NIST CSF</w:t>
            </w:r>
          </w:p>
        </w:tc>
        <w:tc>
          <w:tcPr>
            <w:tcW w:type="dxa" w:w="5904"/>
            <w:shd w:val="clear" w:color="auto" w:fill="FFFFFF"/>
          </w:tcPr>
          <w:p>
            <w:r>
              <w:rPr>
                <w:color w:val="555555"/>
                <w:sz w:val="18"/>
              </w:rPr>
              <w:t>Teach the 5 functions. Draw a timeline on the board — overlay NIST. Show: Identify/Protect are BEFORE. Detect/Respond/Recover are DURING and AFTER.</w:t>
            </w:r>
          </w:p>
        </w:tc>
      </w:tr>
      <w:tr>
        <w:tc>
          <w:tcPr>
            <w:tcW w:type="dxa" w:w="1224"/>
            <w:shd w:val="clear" w:color="auto" w:fill="F8F9FA"/>
          </w:tcPr>
          <w:p>
            <w:r>
              <w:rPr>
                <w:b/>
                <w:color w:val="EE2207"/>
                <w:sz w:val="18"/>
              </w:rPr>
              <w:t>0:50–1:40</w:t>
            </w:r>
          </w:p>
        </w:tc>
        <w:tc>
          <w:tcPr>
            <w:tcW w:type="dxa" w:w="2520"/>
            <w:shd w:val="clear" w:color="auto" w:fill="F8F9FA"/>
          </w:tcPr>
          <w:p>
            <w:r>
              <w:rPr>
                <w:b/>
                <w:color w:val="1A1A2E"/>
                <w:sz w:val="18"/>
              </w:rPr>
              <w:t>NIST Failure Analysis</w:t>
            </w:r>
          </w:p>
        </w:tc>
        <w:tc>
          <w:tcPr>
            <w:tcW w:type="dxa" w:w="5904"/>
            <w:shd w:val="clear" w:color="auto" w:fill="F8F9FA"/>
          </w:tcPr>
          <w:p>
            <w:r>
              <w:rPr>
                <w:color w:val="555555"/>
                <w:sz w:val="18"/>
              </w:rPr>
              <w:t>Students fill out the NIST table: for each function — specific failure + specific corrective action. No vague answers.</w:t>
            </w:r>
          </w:p>
        </w:tc>
      </w:tr>
      <w:tr>
        <w:tc>
          <w:tcPr>
            <w:tcW w:type="dxa" w:w="1224"/>
            <w:shd w:val="clear" w:color="auto" w:fill="FFFFFF"/>
          </w:tcPr>
          <w:p>
            <w:r>
              <w:rPr>
                <w:b/>
                <w:color w:val="EE2207"/>
                <w:sz w:val="18"/>
              </w:rPr>
              <w:t>1:40–2:00</w:t>
            </w:r>
          </w:p>
        </w:tc>
        <w:tc>
          <w:tcPr>
            <w:tcW w:type="dxa" w:w="2520"/>
            <w:shd w:val="clear" w:color="auto" w:fill="FFFFFF"/>
          </w:tcPr>
          <w:p>
            <w:r>
              <w:rPr>
                <w:b/>
                <w:color w:val="1A1A2E"/>
                <w:sz w:val="18"/>
              </w:rPr>
              <w:t>Critical Failure Vote</w:t>
            </w:r>
          </w:p>
        </w:tc>
        <w:tc>
          <w:tcPr>
            <w:tcW w:type="dxa" w:w="5904"/>
            <w:shd w:val="clear" w:color="auto" w:fill="FFFFFF"/>
          </w:tcPr>
          <w:p>
            <w:r>
              <w:rPr>
                <w:color w:val="555555"/>
                <w:sz w:val="18"/>
              </w:rPr>
              <w:t>Which NIST function had the most catastrophic failure? Students vote and justify their answer. Discuss.</w:t>
            </w:r>
          </w:p>
        </w:tc>
      </w:tr>
    </w:tbl>
    <w:p/>
    <w:p>
      <w:r>
        <w:br w:type="page"/>
      </w:r>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1A1A2E"/>
          </w:tcPr>
          <w:p>
            <w:r>
              <w:rPr>
                <w:b/>
                <w:color w:val="AACCFF"/>
                <w:sz w:val="20"/>
              </w:rPr>
              <w:t xml:space="preserve">  PROJECT 6 · DAY 7</w:t>
            </w:r>
          </w:p>
        </w:tc>
        <w:tc>
          <w:tcPr>
            <w:tcW w:type="dxa" w:w="6336"/>
            <w:shd w:val="clear" w:color="auto" w:fill="EE2207"/>
          </w:tcPr>
          <w:p>
            <w:r>
              <w:rPr>
                <w:b/>
                <w:color w:val="FFFFFF"/>
                <w:sz w:val="22"/>
              </w:rPr>
              <w:t xml:space="preserve">  TUESDAY — 5 PHASES OF PENTESTING — ATTACKER METHODOLOGY</w:t>
            </w:r>
          </w:p>
        </w:tc>
        <w:tc>
          <w:tcPr>
            <w:tcW w:type="dxa" w:w="1008"/>
            <w:shd w:val="clear" w:color="auto" w:fill="1A1A2E"/>
          </w:tcPr>
          <w:p>
            <w:pPr>
              <w:jc w:val="right"/>
            </w:pPr>
            <w:r>
              <w:rPr>
                <w:b/>
                <w:color w:val="AAAAAA"/>
                <w:sz w:val="20"/>
              </w:rPr>
              <w:t xml:space="preserve">1–2 HRS  </w:t>
            </w:r>
          </w:p>
        </w:tc>
      </w:tr>
    </w:tbl>
    <w:p/>
    <w:p>
      <w:pPr>
        <w:ind w:left="216"/>
        <w:shd w:val="clear" w:color="auto" w:fill="E8F4FD"/>
      </w:pPr>
      <w:r>
        <w:rPr>
          <w:b/>
          <w:color w:val="1A1A2E"/>
          <w:sz w:val="20"/>
        </w:rPr>
        <w:t xml:space="preserve">🎯 OBJECTIVE:  </w:t>
      </w:r>
      <w:r>
        <w:rPr>
          <w:color w:val="555555"/>
          <w:sz w:val="20"/>
        </w:rPr>
        <w:t>Students map the attacker's actions to the 5 pentesting phases. Think like an attacker to become a better defender.</w:t>
      </w:r>
    </w:p>
    <w:p/>
    <w:p>
      <w:r>
        <w:rPr>
          <w:b/>
          <w:color w:val="7B4A00"/>
          <w:sz w:val="22"/>
        </w:rPr>
        <w:t>📢 TEACHER TALKING POINTS</w:t>
      </w:r>
    </w:p>
    <w:p>
      <w:pPr>
        <w:ind w:left="288"/>
        <w:shd w:val="clear" w:color="auto" w:fill="FFF3CD"/>
      </w:pPr>
      <w:r>
        <w:rPr>
          <w:b/>
          <w:color w:val="7B4A00"/>
          <w:sz w:val="20"/>
        </w:rPr>
        <w:t xml:space="preserve">📢 TELL YOUR STUDENTS:  </w:t>
      </w:r>
      <w:r>
        <w:rPr>
          <w:color w:val="7B4A00"/>
          <w:sz w:val="20"/>
        </w:rPr>
        <w:t>'This is not teaching you to be a criminal. A doctor studies disease to heal patients. A security analyst studies attacks to defend against them. The 5 pentesting phases show you the attacker's mindset — and once you understand how they think, you can anticipate their moves.'</w:t>
      </w:r>
    </w:p>
    <w:p>
      <w:pPr>
        <w:ind w:left="288"/>
        <w:shd w:val="clear" w:color="auto" w:fill="FFF3CD"/>
      </w:pPr>
      <w:r>
        <w:rPr>
          <w:b/>
          <w:color w:val="7B4A00"/>
          <w:sz w:val="20"/>
        </w:rPr>
        <w:t xml:space="preserve">📢 TELL YOUR STUDENTS:  </w:t>
      </w:r>
      <w:r>
        <w:rPr>
          <w:color w:val="7B4A00"/>
          <w:sz w:val="20"/>
        </w:rPr>
        <w:t>Key pentesting insight for SolarWinds Supply Chain Attack: 'SUNBURST was in Maintaining Access mode for 9 months. The attacker was inside and invisible. That is the goal of every sophisticated attacker: get in, stay quiet, collect intelligence.'</w:t>
      </w:r>
    </w:p>
    <w:p>
      <w:pPr>
        <w:ind w:left="288"/>
        <w:shd w:val="clear" w:color="auto" w:fill="FFF3CD"/>
      </w:pPr>
      <w:r>
        <w:rPr>
          <w:b/>
          <w:color w:val="7B4A00"/>
          <w:sz w:val="20"/>
        </w:rPr>
        <w:t xml:space="preserve">📢 TELL YOUR STUDENTS:  </w:t>
      </w:r>
      <w:r>
        <w:rPr>
          <w:color w:val="7B4A00"/>
          <w:sz w:val="20"/>
        </w:rPr>
        <w:t>'Covering Tracks: Ask students — how did the attacker avoid detection in this incident? For each answer, flip it: what monitoring or control would have detected that specific evasion technique?'</w:t>
      </w:r>
    </w:p>
    <w:p/>
    <w:p>
      <w:r>
        <w:rPr>
          <w:b/>
          <w:color w:val="1A1A2E"/>
          <w:sz w:val="22"/>
        </w:rPr>
        <w:t>CLASS SCHEDULE</w:t>
      </w:r>
    </w:p>
    <w:tbl>
      <w:tblPr>
        <w:tblStyle w:val="TableGrid"/>
        <w:tblW w:type="auto" w:w="0"/>
        <w:tblLook w:firstColumn="1" w:firstRow="1" w:lastColumn="0" w:lastRow="0" w:noHBand="0" w:noVBand="1" w:val="04A0"/>
      </w:tblPr>
      <w:tblGrid>
        <w:gridCol w:w="3120"/>
        <w:gridCol w:w="3120"/>
        <w:gridCol w:w="3120"/>
      </w:tblGrid>
      <w:tr>
        <w:tc>
          <w:tcPr>
            <w:tcW w:type="dxa" w:w="1224"/>
            <w:shd w:val="clear" w:color="auto" w:fill="1A1A2E"/>
          </w:tcPr>
          <w:p>
            <w:r>
              <w:rPr>
                <w:b/>
                <w:color w:val="FFFFFF"/>
                <w:sz w:val="18"/>
              </w:rPr>
              <w:t>TIME</w:t>
            </w:r>
          </w:p>
        </w:tc>
        <w:tc>
          <w:tcPr>
            <w:tcW w:type="dxa" w:w="2520"/>
            <w:shd w:val="clear" w:color="auto" w:fill="1A1A2E"/>
          </w:tcPr>
          <w:p>
            <w:r>
              <w:rPr>
                <w:b/>
                <w:color w:val="FFFFFF"/>
                <w:sz w:val="18"/>
              </w:rPr>
              <w:t>ACTIVITY</w:t>
            </w:r>
          </w:p>
        </w:tc>
        <w:tc>
          <w:tcPr>
            <w:tcW w:type="dxa" w:w="5904"/>
            <w:shd w:val="clear" w:color="auto" w:fill="1A1A2E"/>
          </w:tcPr>
          <w:p>
            <w:r>
              <w:rPr>
                <w:b/>
                <w:color w:val="FFFFFF"/>
                <w:sz w:val="18"/>
              </w:rPr>
              <w:t>DETAIL / INSTRUCTIONS</w:t>
            </w:r>
          </w:p>
        </w:tc>
      </w:tr>
      <w:tr>
        <w:tc>
          <w:tcPr>
            <w:tcW w:type="dxa" w:w="1224"/>
            <w:shd w:val="clear" w:color="auto" w:fill="F8F9FA"/>
          </w:tcPr>
          <w:p>
            <w:r>
              <w:rPr>
                <w:b/>
                <w:color w:val="EE2207"/>
                <w:sz w:val="18"/>
              </w:rPr>
              <w:t>0:00–0:30</w:t>
            </w:r>
          </w:p>
        </w:tc>
        <w:tc>
          <w:tcPr>
            <w:tcW w:type="dxa" w:w="2520"/>
            <w:shd w:val="clear" w:color="auto" w:fill="F8F9FA"/>
          </w:tcPr>
          <w:p>
            <w:r>
              <w:rPr>
                <w:b/>
                <w:color w:val="1A1A2E"/>
                <w:sz w:val="18"/>
              </w:rPr>
              <w:t>Lecture: 5 Pentest Phases</w:t>
            </w:r>
          </w:p>
        </w:tc>
        <w:tc>
          <w:tcPr>
            <w:tcW w:type="dxa" w:w="5904"/>
            <w:shd w:val="clear" w:color="auto" w:fill="F8F9FA"/>
          </w:tcPr>
          <w:p>
            <w:r>
              <w:rPr>
                <w:color w:val="555555"/>
                <w:sz w:val="18"/>
              </w:rPr>
              <w:t>Teach Reconnaissance, Scanning, Gaining Access, Maintaining Access, Covering Tracks. Why thinking like an attacker makes you a better defender.</w:t>
            </w:r>
          </w:p>
        </w:tc>
      </w:tr>
      <w:tr>
        <w:tc>
          <w:tcPr>
            <w:tcW w:type="dxa" w:w="1224"/>
            <w:shd w:val="clear" w:color="auto" w:fill="FFFFFF"/>
          </w:tcPr>
          <w:p>
            <w:r>
              <w:rPr>
                <w:b/>
                <w:color w:val="EE2207"/>
                <w:sz w:val="18"/>
              </w:rPr>
              <w:t>0:30–1:10</w:t>
            </w:r>
          </w:p>
        </w:tc>
        <w:tc>
          <w:tcPr>
            <w:tcW w:type="dxa" w:w="2520"/>
            <w:shd w:val="clear" w:color="auto" w:fill="FFFFFF"/>
          </w:tcPr>
          <w:p>
            <w:r>
              <w:rPr>
                <w:b/>
                <w:color w:val="1A1A2E"/>
                <w:sz w:val="18"/>
              </w:rPr>
              <w:t>Methodology Mapping</w:t>
            </w:r>
          </w:p>
        </w:tc>
        <w:tc>
          <w:tcPr>
            <w:tcW w:type="dxa" w:w="5904"/>
            <w:shd w:val="clear" w:color="auto" w:fill="FFFFFF"/>
          </w:tcPr>
          <w:p>
            <w:r>
              <w:rPr>
                <w:color w:val="555555"/>
                <w:sz w:val="18"/>
              </w:rPr>
              <w:t>Students map the attacker's specific actions in this incident to each of the 5 phases. Include specific tools or techniques used.</w:t>
            </w:r>
          </w:p>
        </w:tc>
      </w:tr>
      <w:tr>
        <w:tc>
          <w:tcPr>
            <w:tcW w:type="dxa" w:w="1224"/>
            <w:shd w:val="clear" w:color="auto" w:fill="F8F9FA"/>
          </w:tcPr>
          <w:p>
            <w:r>
              <w:rPr>
                <w:b/>
                <w:color w:val="EE2207"/>
                <w:sz w:val="18"/>
              </w:rPr>
              <w:t>1:10–1:40</w:t>
            </w:r>
          </w:p>
        </w:tc>
        <w:tc>
          <w:tcPr>
            <w:tcW w:type="dxa" w:w="2520"/>
            <w:shd w:val="clear" w:color="auto" w:fill="F8F9FA"/>
          </w:tcPr>
          <w:p>
            <w:r>
              <w:rPr>
                <w:b/>
                <w:color w:val="1A1A2E"/>
                <w:sz w:val="18"/>
              </w:rPr>
              <w:t>Attacker vs Defender Game</w:t>
            </w:r>
          </w:p>
        </w:tc>
        <w:tc>
          <w:tcPr>
            <w:tcW w:type="dxa" w:w="5904"/>
            <w:shd w:val="clear" w:color="auto" w:fill="F8F9FA"/>
          </w:tcPr>
          <w:p>
            <w:r>
              <w:rPr>
                <w:color w:val="555555"/>
                <w:sz w:val="18"/>
              </w:rPr>
              <w:t>For each phase: students suggest what the attacker did AND what a defender could have done to detect or stop it.</w:t>
            </w:r>
          </w:p>
        </w:tc>
      </w:tr>
      <w:tr>
        <w:tc>
          <w:tcPr>
            <w:tcW w:type="dxa" w:w="1224"/>
            <w:shd w:val="clear" w:color="auto" w:fill="FFFFFF"/>
          </w:tcPr>
          <w:p>
            <w:r>
              <w:rPr>
                <w:b/>
                <w:color w:val="EE2207"/>
                <w:sz w:val="18"/>
              </w:rPr>
              <w:t>1:40–2:00</w:t>
            </w:r>
          </w:p>
        </w:tc>
        <w:tc>
          <w:tcPr>
            <w:tcW w:type="dxa" w:w="2520"/>
            <w:shd w:val="clear" w:color="auto" w:fill="FFFFFF"/>
          </w:tcPr>
          <w:p>
            <w:r>
              <w:rPr>
                <w:b/>
                <w:color w:val="1A1A2E"/>
                <w:sz w:val="18"/>
              </w:rPr>
              <w:t>Homework Briefing</w:t>
            </w:r>
          </w:p>
        </w:tc>
        <w:tc>
          <w:tcPr>
            <w:tcW w:type="dxa" w:w="5904"/>
            <w:shd w:val="clear" w:color="auto" w:fill="FFFFFF"/>
          </w:tcPr>
          <w:p>
            <w:r>
              <w:rPr>
                <w:color w:val="555555"/>
                <w:sz w:val="18"/>
              </w:rPr>
              <w:t>Assign: Tonight, outline your full Executive Summary using the template. Every section must have at least 3 bullet points before you write.</w:t>
            </w:r>
          </w:p>
        </w:tc>
      </w:tr>
    </w:tbl>
    <w:p/>
    <w:p>
      <w:r>
        <w:br w:type="page"/>
      </w:r>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1A1A2E"/>
          </w:tcPr>
          <w:p>
            <w:r>
              <w:rPr>
                <w:b/>
                <w:color w:val="AACCFF"/>
                <w:sz w:val="20"/>
              </w:rPr>
              <w:t xml:space="preserve">  PROJECT 6 · DAY 8</w:t>
            </w:r>
          </w:p>
        </w:tc>
        <w:tc>
          <w:tcPr>
            <w:tcW w:type="dxa" w:w="6336"/>
            <w:shd w:val="clear" w:color="auto" w:fill="EE2207"/>
          </w:tcPr>
          <w:p>
            <w:r>
              <w:rPr>
                <w:b/>
                <w:color w:val="FFFFFF"/>
                <w:sz w:val="22"/>
              </w:rPr>
              <w:t xml:space="preserve">  WEDNESDAY — RECOMMENDATIONS WORKSHOP — "FROM HERE ON OUT"</w:t>
            </w:r>
          </w:p>
        </w:tc>
        <w:tc>
          <w:tcPr>
            <w:tcW w:type="dxa" w:w="1008"/>
            <w:shd w:val="clear" w:color="auto" w:fill="1A1A2E"/>
          </w:tcPr>
          <w:p>
            <w:pPr>
              <w:jc w:val="right"/>
            </w:pPr>
            <w:r>
              <w:rPr>
                <w:b/>
                <w:color w:val="AAAAAA"/>
                <w:sz w:val="20"/>
              </w:rPr>
              <w:t xml:space="preserve">1–2 HRS  </w:t>
            </w:r>
          </w:p>
        </w:tc>
      </w:tr>
    </w:tbl>
    <w:p/>
    <w:p>
      <w:pPr>
        <w:ind w:left="216"/>
        <w:shd w:val="clear" w:color="auto" w:fill="E8F4FD"/>
      </w:pPr>
      <w:r>
        <w:rPr>
          <w:b/>
          <w:color w:val="1A1A2E"/>
          <w:sz w:val="20"/>
        </w:rPr>
        <w:t xml:space="preserve">🎯 OBJECTIVE:  </w:t>
      </w:r>
      <w:r>
        <w:rPr>
          <w:color w:val="555555"/>
          <w:sz w:val="20"/>
        </w:rPr>
        <w:t>Students develop and workshop 5 specific, actionable recommendations. Peer collaboration to pressure-test each recommendation.</w:t>
      </w:r>
    </w:p>
    <w:p/>
    <w:p>
      <w:r>
        <w:rPr>
          <w:b/>
          <w:color w:val="7B4A00"/>
          <w:sz w:val="22"/>
        </w:rPr>
        <w:t>📢 TEACHER TALKING POINTS</w:t>
      </w:r>
    </w:p>
    <w:p>
      <w:pPr>
        <w:ind w:left="288"/>
        <w:shd w:val="clear" w:color="auto" w:fill="FFF3CD"/>
      </w:pPr>
      <w:r>
        <w:rPr>
          <w:b/>
          <w:color w:val="7B4A00"/>
          <w:sz w:val="20"/>
        </w:rPr>
        <w:t xml:space="preserve">📢 TELL YOUR STUDENTS:  </w:t>
      </w:r>
      <w:r>
        <w:rPr>
          <w:color w:val="7B4A00"/>
          <w:sz w:val="20"/>
        </w:rPr>
        <w:t>'Vague recommendations are worth nothing. A security assessment that says improve security is not an assessment. I want to see: Implement multifactor authentication on all VPN accounts using Microsoft Authenticator or equivalent within 30 days — verified by IT audit. That is a recommendation. That is actionable.'</w:t>
      </w:r>
    </w:p>
    <w:p>
      <w:pPr>
        <w:ind w:left="288"/>
        <w:shd w:val="clear" w:color="auto" w:fill="FFF3CD"/>
      </w:pPr>
      <w:r>
        <w:rPr>
          <w:b/>
          <w:color w:val="7B4A00"/>
          <w:sz w:val="20"/>
        </w:rPr>
        <w:t xml:space="preserve">📢 TELL YOUR STUDENTS:  </w:t>
      </w:r>
      <w:r>
        <w:rPr>
          <w:color w:val="7B4A00"/>
          <w:sz w:val="20"/>
        </w:rPr>
        <w:t>Must-have recommendation for SolarWinds Supply Chain Attack: 'Software Bill of Materials (SBOM) and Zero Trust. These are now required by law for federal contractors under EO 14028.'</w:t>
      </w:r>
    </w:p>
    <w:p>
      <w:pPr>
        <w:ind w:left="288"/>
        <w:shd w:val="clear" w:color="auto" w:fill="FFF3CD"/>
      </w:pPr>
      <w:r>
        <w:rPr>
          <w:b/>
          <w:color w:val="7B4A00"/>
          <w:sz w:val="20"/>
        </w:rPr>
        <w:t xml:space="preserve">📢 TELL YOUR STUDENTS:  </w:t>
      </w:r>
      <w:r>
        <w:rPr>
          <w:color w:val="7B4A00"/>
          <w:sz w:val="20"/>
        </w:rPr>
        <w:t>'When you write your conclusion, I want the last sentence to be something a CEO would remember. One sentence that captures the entire lesson of this incident. What is the thing you want them to take away from the boardroom meeting?'</w:t>
      </w:r>
    </w:p>
    <w:p/>
    <w:p>
      <w:r>
        <w:rPr>
          <w:b/>
          <w:color w:val="1A1A2E"/>
          <w:sz w:val="22"/>
        </w:rPr>
        <w:t>CLASS SCHEDULE</w:t>
      </w:r>
    </w:p>
    <w:tbl>
      <w:tblPr>
        <w:tblStyle w:val="TableGrid"/>
        <w:tblW w:type="auto" w:w="0"/>
        <w:tblLook w:firstColumn="1" w:firstRow="1" w:lastColumn="0" w:lastRow="0" w:noHBand="0" w:noVBand="1" w:val="04A0"/>
      </w:tblPr>
      <w:tblGrid>
        <w:gridCol w:w="3120"/>
        <w:gridCol w:w="3120"/>
        <w:gridCol w:w="3120"/>
      </w:tblGrid>
      <w:tr>
        <w:tc>
          <w:tcPr>
            <w:tcW w:type="dxa" w:w="1224"/>
            <w:shd w:val="clear" w:color="auto" w:fill="1A1A2E"/>
          </w:tcPr>
          <w:p>
            <w:r>
              <w:rPr>
                <w:b/>
                <w:color w:val="FFFFFF"/>
                <w:sz w:val="18"/>
              </w:rPr>
              <w:t>TIME</w:t>
            </w:r>
          </w:p>
        </w:tc>
        <w:tc>
          <w:tcPr>
            <w:tcW w:type="dxa" w:w="2520"/>
            <w:shd w:val="clear" w:color="auto" w:fill="1A1A2E"/>
          </w:tcPr>
          <w:p>
            <w:r>
              <w:rPr>
                <w:b/>
                <w:color w:val="FFFFFF"/>
                <w:sz w:val="18"/>
              </w:rPr>
              <w:t>ACTIVITY</w:t>
            </w:r>
          </w:p>
        </w:tc>
        <w:tc>
          <w:tcPr>
            <w:tcW w:type="dxa" w:w="5904"/>
            <w:shd w:val="clear" w:color="auto" w:fill="1A1A2E"/>
          </w:tcPr>
          <w:p>
            <w:r>
              <w:rPr>
                <w:b/>
                <w:color w:val="FFFFFF"/>
                <w:sz w:val="18"/>
              </w:rPr>
              <w:t>DETAIL / INSTRUCTIONS</w:t>
            </w:r>
          </w:p>
        </w:tc>
      </w:tr>
      <w:tr>
        <w:tc>
          <w:tcPr>
            <w:tcW w:type="dxa" w:w="1224"/>
            <w:shd w:val="clear" w:color="auto" w:fill="F8F9FA"/>
          </w:tcPr>
          <w:p>
            <w:r>
              <w:rPr>
                <w:b/>
                <w:color w:val="EE2207"/>
                <w:sz w:val="18"/>
              </w:rPr>
              <w:t>0:00–0:20</w:t>
            </w:r>
          </w:p>
        </w:tc>
        <w:tc>
          <w:tcPr>
            <w:tcW w:type="dxa" w:w="2520"/>
            <w:shd w:val="clear" w:color="auto" w:fill="F8F9FA"/>
          </w:tcPr>
          <w:p>
            <w:r>
              <w:rPr>
                <w:b/>
                <w:color w:val="1A1A2E"/>
                <w:sz w:val="18"/>
              </w:rPr>
              <w:t>From Here On Out Review</w:t>
            </w:r>
          </w:p>
        </w:tc>
        <w:tc>
          <w:tcPr>
            <w:tcW w:type="dxa" w:w="5904"/>
            <w:shd w:val="clear" w:color="auto" w:fill="F8F9FA"/>
          </w:tcPr>
          <w:p>
            <w:r>
              <w:rPr>
                <w:color w:val="555555"/>
                <w:sz w:val="18"/>
              </w:rPr>
              <w:t>Go through the "From Here On Out" section together. Discuss: are these the right priorities? Would you add anything?</w:t>
            </w:r>
          </w:p>
        </w:tc>
      </w:tr>
      <w:tr>
        <w:tc>
          <w:tcPr>
            <w:tcW w:type="dxa" w:w="1224"/>
            <w:shd w:val="clear" w:color="auto" w:fill="FFFFFF"/>
          </w:tcPr>
          <w:p>
            <w:r>
              <w:rPr>
                <w:b/>
                <w:color w:val="EE2207"/>
                <w:sz w:val="18"/>
              </w:rPr>
              <w:t>0:20–1:00</w:t>
            </w:r>
          </w:p>
        </w:tc>
        <w:tc>
          <w:tcPr>
            <w:tcW w:type="dxa" w:w="2520"/>
            <w:shd w:val="clear" w:color="auto" w:fill="FFFFFF"/>
          </w:tcPr>
          <w:p>
            <w:r>
              <w:rPr>
                <w:b/>
                <w:color w:val="1A1A2E"/>
                <w:sz w:val="18"/>
              </w:rPr>
              <w:t>Recommendations Workshop</w:t>
            </w:r>
          </w:p>
        </w:tc>
        <w:tc>
          <w:tcPr>
            <w:tcW w:type="dxa" w:w="5904"/>
            <w:shd w:val="clear" w:color="auto" w:fill="FFFFFF"/>
          </w:tcPr>
          <w:p>
            <w:r>
              <w:rPr>
                <w:color w:val="555555"/>
                <w:sz w:val="18"/>
              </w:rPr>
              <w:t>Students draft their 5 recommendations with justification. Then pair up: each partner challenges one recommendation — is it specific enough? Does it address this incident?</w:t>
            </w:r>
          </w:p>
        </w:tc>
      </w:tr>
      <w:tr>
        <w:tc>
          <w:tcPr>
            <w:tcW w:type="dxa" w:w="1224"/>
            <w:shd w:val="clear" w:color="auto" w:fill="F8F9FA"/>
          </w:tcPr>
          <w:p>
            <w:r>
              <w:rPr>
                <w:b/>
                <w:color w:val="EE2207"/>
                <w:sz w:val="18"/>
              </w:rPr>
              <w:t>1:00–1:30</w:t>
            </w:r>
          </w:p>
        </w:tc>
        <w:tc>
          <w:tcPr>
            <w:tcW w:type="dxa" w:w="2520"/>
            <w:shd w:val="clear" w:color="auto" w:fill="F8F9FA"/>
          </w:tcPr>
          <w:p>
            <w:r>
              <w:rPr>
                <w:b/>
                <w:color w:val="1A1A2E"/>
                <w:sz w:val="18"/>
              </w:rPr>
              <w:t>Priority Debate</w:t>
            </w:r>
          </w:p>
        </w:tc>
        <w:tc>
          <w:tcPr>
            <w:tcW w:type="dxa" w:w="5904"/>
            <w:shd w:val="clear" w:color="auto" w:fill="F8F9FA"/>
          </w:tcPr>
          <w:p>
            <w:r>
              <w:rPr>
                <w:color w:val="555555"/>
                <w:sz w:val="18"/>
              </w:rPr>
              <w:t>Class votes on the single most important recommendation. Each student defends their #1. Group builds a consensus top 5.</w:t>
            </w:r>
          </w:p>
        </w:tc>
      </w:tr>
      <w:tr>
        <w:tc>
          <w:tcPr>
            <w:tcW w:type="dxa" w:w="1224"/>
            <w:shd w:val="clear" w:color="auto" w:fill="FFFFFF"/>
          </w:tcPr>
          <w:p>
            <w:r>
              <w:rPr>
                <w:b/>
                <w:color w:val="EE2207"/>
                <w:sz w:val="18"/>
              </w:rPr>
              <w:t>1:30–2:00</w:t>
            </w:r>
          </w:p>
        </w:tc>
        <w:tc>
          <w:tcPr>
            <w:tcW w:type="dxa" w:w="2520"/>
            <w:shd w:val="clear" w:color="auto" w:fill="FFFFFF"/>
          </w:tcPr>
          <w:p>
            <w:r>
              <w:rPr>
                <w:b/>
                <w:color w:val="1A1A2E"/>
                <w:sz w:val="18"/>
              </w:rPr>
              <w:t>Executive Summary Drafting</w:t>
            </w:r>
          </w:p>
        </w:tc>
        <w:tc>
          <w:tcPr>
            <w:tcW w:type="dxa" w:w="5904"/>
            <w:shd w:val="clear" w:color="auto" w:fill="FFFFFF"/>
          </w:tcPr>
          <w:p>
            <w:r>
              <w:rPr>
                <w:color w:val="555555"/>
                <w:sz w:val="18"/>
              </w:rPr>
              <w:t>Students begin drafting their Executive Summary sections 7 and 8 (Recommendations + Conclusion). Instructor circulates for coaching.</w:t>
            </w:r>
          </w:p>
        </w:tc>
      </w:tr>
    </w:tbl>
    <w:p/>
    <w:p>
      <w:r>
        <w:br w:type="page"/>
      </w:r>
    </w:p>
    <w:tbl>
      <w:tblPr>
        <w:tblStyle w:val="TableGrid"/>
        <w:tblW w:type="auto" w:w="0"/>
        <w:tblLook w:firstColumn="1" w:firstRow="1" w:lastColumn="0" w:lastRow="0" w:noHBand="0" w:noVBand="1" w:val="04A0"/>
      </w:tblPr>
      <w:tblGrid>
        <w:gridCol w:w="3120"/>
        <w:gridCol w:w="3120"/>
        <w:gridCol w:w="3120"/>
      </w:tblGrid>
      <w:tr>
        <w:tc>
          <w:tcPr>
            <w:tcW w:type="dxa" w:w="2304"/>
            <w:shd w:val="clear" w:color="auto" w:fill="1A1A2E"/>
          </w:tcPr>
          <w:p>
            <w:r>
              <w:rPr>
                <w:b/>
                <w:color w:val="AACCFF"/>
                <w:sz w:val="20"/>
              </w:rPr>
              <w:t xml:space="preserve">  PROJECT 6 · DAY 9</w:t>
            </w:r>
          </w:p>
        </w:tc>
        <w:tc>
          <w:tcPr>
            <w:tcW w:type="dxa" w:w="6336"/>
            <w:shd w:val="clear" w:color="auto" w:fill="EE2207"/>
          </w:tcPr>
          <w:p>
            <w:r>
              <w:rPr>
                <w:b/>
                <w:color w:val="FFFFFF"/>
                <w:sz w:val="22"/>
              </w:rPr>
              <w:t xml:space="preserve">  THURSDAY — EXECUTIVE SUMMARY PRESENTATIONS + SUBMISSION (100 PTS DUE)</w:t>
            </w:r>
          </w:p>
        </w:tc>
        <w:tc>
          <w:tcPr>
            <w:tcW w:type="dxa" w:w="1008"/>
            <w:shd w:val="clear" w:color="auto" w:fill="1A1A2E"/>
          </w:tcPr>
          <w:p>
            <w:pPr>
              <w:jc w:val="right"/>
            </w:pPr>
            <w:r>
              <w:rPr>
                <w:b/>
                <w:color w:val="AAAAAA"/>
                <w:sz w:val="20"/>
              </w:rPr>
              <w:t xml:space="preserve">1–2 HRS  </w:t>
            </w:r>
          </w:p>
        </w:tc>
      </w:tr>
    </w:tbl>
    <w:p/>
    <w:p>
      <w:pPr>
        <w:ind w:left="216"/>
        <w:shd w:val="clear" w:color="auto" w:fill="E8F4FD"/>
      </w:pPr>
      <w:r>
        <w:rPr>
          <w:b/>
          <w:color w:val="1A1A2E"/>
          <w:sz w:val="20"/>
        </w:rPr>
        <w:t xml:space="preserve">🎯 OBJECTIVE:  </w:t>
      </w:r>
      <w:r>
        <w:rPr>
          <w:color w:val="555555"/>
          <w:sz w:val="20"/>
        </w:rPr>
        <w:t>Students complete peer review, deliver professional executive summary presentations, submit, and debrief the full incident.</w:t>
      </w:r>
    </w:p>
    <w:p/>
    <w:p>
      <w:r>
        <w:rPr>
          <w:b/>
          <w:color w:val="7B4A00"/>
          <w:sz w:val="22"/>
        </w:rPr>
        <w:t>📢 TEACHER TALKING POINTS</w:t>
      </w:r>
    </w:p>
    <w:p>
      <w:pPr>
        <w:ind w:left="288"/>
        <w:shd w:val="clear" w:color="auto" w:fill="FFF3CD"/>
      </w:pPr>
      <w:r>
        <w:rPr>
          <w:b/>
          <w:color w:val="7B4A00"/>
          <w:sz w:val="20"/>
        </w:rPr>
        <w:t xml:space="preserve">📢 TELL YOUR STUDENTS:  </w:t>
      </w:r>
      <w:r>
        <w:rPr>
          <w:color w:val="7B4A00"/>
          <w:sz w:val="20"/>
        </w:rPr>
        <w:t>'Today you are the expert. You have spent two full projects analyzing this breach from every angle. There are IT professionals working in companies right now who do not know this incident as well as you do. Communicate that expertise clearly.'</w:t>
      </w:r>
    </w:p>
    <w:p>
      <w:pPr>
        <w:ind w:left="288"/>
        <w:shd w:val="clear" w:color="auto" w:fill="FFF3CD"/>
      </w:pPr>
      <w:r>
        <w:rPr>
          <w:b/>
          <w:color w:val="7B4A00"/>
          <w:sz w:val="20"/>
        </w:rPr>
        <w:t xml:space="preserve">📢 TELL YOUR STUDENTS:  </w:t>
      </w:r>
      <w:r>
        <w:rPr>
          <w:color w:val="7B4A00"/>
          <w:sz w:val="20"/>
        </w:rPr>
        <w:t>'Executive writing rule: every paragraph answers one of three questions — What happened? How bad is it? What do we do now? If a paragraph does not answer one of those three questions, rewrite it or cut it.'</w:t>
      </w:r>
    </w:p>
    <w:p>
      <w:pPr>
        <w:ind w:left="288"/>
        <w:shd w:val="clear" w:color="auto" w:fill="FFF3CD"/>
      </w:pPr>
      <w:r>
        <w:rPr>
          <w:b/>
          <w:color w:val="7B4A00"/>
          <w:sz w:val="20"/>
        </w:rPr>
        <w:t xml:space="preserve">📢 TELL YOUR STUDENTS:  </w:t>
      </w:r>
      <w:r>
        <w:rPr>
          <w:color w:val="7B4A00"/>
          <w:sz w:val="20"/>
        </w:rPr>
        <w:t>'Presentation standard: pretend the CEO has 5 minutes. They are not technical. They need to leave this room understanding: what happened, how bad it was, and what we are doing about it. Every sentence you speak should serve one of those three purposes.'</w:t>
      </w:r>
    </w:p>
    <w:p>
      <w:pPr>
        <w:ind w:left="288"/>
        <w:shd w:val="clear" w:color="auto" w:fill="FFF3CD"/>
      </w:pPr>
      <w:r>
        <w:rPr>
          <w:b/>
          <w:color w:val="7B4A00"/>
          <w:sz w:val="20"/>
        </w:rPr>
        <w:t xml:space="preserve">📢 TELL YOUR STUDENTS:  </w:t>
      </w:r>
      <w:r>
        <w:rPr>
          <w:color w:val="7B4A00"/>
          <w:sz w:val="20"/>
        </w:rPr>
        <w:t>End of incident debrief — the most important question: 'If you were the CISO of SolarWinds the day BEFORE this breach — what is the single thing you would have changed?' That answer IS your most important recommendation.</w:t>
      </w:r>
    </w:p>
    <w:p/>
    <w:p>
      <w:r>
        <w:rPr>
          <w:b/>
          <w:color w:val="1A1A2E"/>
          <w:sz w:val="22"/>
        </w:rPr>
        <w:t>CLASS SCHEDULE</w:t>
      </w:r>
    </w:p>
    <w:tbl>
      <w:tblPr>
        <w:tblStyle w:val="TableGrid"/>
        <w:tblW w:type="auto" w:w="0"/>
        <w:tblLook w:firstColumn="1" w:firstRow="1" w:lastColumn="0" w:lastRow="0" w:noHBand="0" w:noVBand="1" w:val="04A0"/>
      </w:tblPr>
      <w:tblGrid>
        <w:gridCol w:w="3120"/>
        <w:gridCol w:w="3120"/>
        <w:gridCol w:w="3120"/>
      </w:tblGrid>
      <w:tr>
        <w:tc>
          <w:tcPr>
            <w:tcW w:type="dxa" w:w="1224"/>
            <w:shd w:val="clear" w:color="auto" w:fill="1A1A2E"/>
          </w:tcPr>
          <w:p>
            <w:r>
              <w:rPr>
                <w:b/>
                <w:color w:val="FFFFFF"/>
                <w:sz w:val="18"/>
              </w:rPr>
              <w:t>TIME</w:t>
            </w:r>
          </w:p>
        </w:tc>
        <w:tc>
          <w:tcPr>
            <w:tcW w:type="dxa" w:w="2520"/>
            <w:shd w:val="clear" w:color="auto" w:fill="1A1A2E"/>
          </w:tcPr>
          <w:p>
            <w:r>
              <w:rPr>
                <w:b/>
                <w:color w:val="FFFFFF"/>
                <w:sz w:val="18"/>
              </w:rPr>
              <w:t>ACTIVITY</w:t>
            </w:r>
          </w:p>
        </w:tc>
        <w:tc>
          <w:tcPr>
            <w:tcW w:type="dxa" w:w="5904"/>
            <w:shd w:val="clear" w:color="auto" w:fill="1A1A2E"/>
          </w:tcPr>
          <w:p>
            <w:r>
              <w:rPr>
                <w:b/>
                <w:color w:val="FFFFFF"/>
                <w:sz w:val="18"/>
              </w:rPr>
              <w:t>DETAIL / INSTRUCTIONS</w:t>
            </w:r>
          </w:p>
        </w:tc>
      </w:tr>
      <w:tr>
        <w:tc>
          <w:tcPr>
            <w:tcW w:type="dxa" w:w="1224"/>
            <w:shd w:val="clear" w:color="auto" w:fill="F8F9FA"/>
          </w:tcPr>
          <w:p>
            <w:r>
              <w:rPr>
                <w:b/>
                <w:color w:val="EE2207"/>
                <w:sz w:val="18"/>
              </w:rPr>
              <w:t>0:00–0:30</w:t>
            </w:r>
          </w:p>
        </w:tc>
        <w:tc>
          <w:tcPr>
            <w:tcW w:type="dxa" w:w="2520"/>
            <w:shd w:val="clear" w:color="auto" w:fill="F8F9FA"/>
          </w:tcPr>
          <w:p>
            <w:r>
              <w:rPr>
                <w:b/>
                <w:color w:val="1A1A2E"/>
                <w:sz w:val="18"/>
              </w:rPr>
              <w:t>Writing + Peer Review</w:t>
            </w:r>
          </w:p>
        </w:tc>
        <w:tc>
          <w:tcPr>
            <w:tcW w:type="dxa" w:w="5904"/>
            <w:shd w:val="clear" w:color="auto" w:fill="F8F9FA"/>
          </w:tcPr>
          <w:p>
            <w:r>
              <w:rPr>
                <w:color w:val="555555"/>
                <w:sz w:val="18"/>
              </w:rPr>
              <w:t>Students finalize all 9 sections of the Executive Summary. Swap with a partner: (1) strongest section, (2) one section needing more specifics, (3) one fact missed.</w:t>
            </w:r>
          </w:p>
        </w:tc>
      </w:tr>
      <w:tr>
        <w:tc>
          <w:tcPr>
            <w:tcW w:type="dxa" w:w="1224"/>
            <w:shd w:val="clear" w:color="auto" w:fill="FFFFFF"/>
          </w:tcPr>
          <w:p>
            <w:r>
              <w:rPr>
                <w:b/>
                <w:color w:val="EE2207"/>
                <w:sz w:val="18"/>
              </w:rPr>
              <w:t>0:30–1:00</w:t>
            </w:r>
          </w:p>
        </w:tc>
        <w:tc>
          <w:tcPr>
            <w:tcW w:type="dxa" w:w="2520"/>
            <w:shd w:val="clear" w:color="auto" w:fill="FFFFFF"/>
          </w:tcPr>
          <w:p>
            <w:r>
              <w:rPr>
                <w:b/>
                <w:color w:val="1A1A2E"/>
                <w:sz w:val="18"/>
              </w:rPr>
              <w:t>Revision Time</w:t>
            </w:r>
          </w:p>
        </w:tc>
        <w:tc>
          <w:tcPr>
            <w:tcW w:type="dxa" w:w="5904"/>
            <w:shd w:val="clear" w:color="auto" w:fill="FFFFFF"/>
          </w:tcPr>
          <w:p>
            <w:r>
              <w:rPr>
                <w:color w:val="555555"/>
                <w:sz w:val="18"/>
              </w:rPr>
              <w:t>Students revise based on peer feedback. Replace any vague sentence with a concrete fact or specific control. Instructor circulates for final coaching.</w:t>
            </w:r>
          </w:p>
        </w:tc>
      </w:tr>
      <w:tr>
        <w:tc>
          <w:tcPr>
            <w:tcW w:type="dxa" w:w="1224"/>
            <w:shd w:val="clear" w:color="auto" w:fill="F8F9FA"/>
          </w:tcPr>
          <w:p>
            <w:r>
              <w:rPr>
                <w:b/>
                <w:color w:val="EE2207"/>
                <w:sz w:val="18"/>
              </w:rPr>
              <w:t>1:00–1:45</w:t>
            </w:r>
          </w:p>
        </w:tc>
        <w:tc>
          <w:tcPr>
            <w:tcW w:type="dxa" w:w="2520"/>
            <w:shd w:val="clear" w:color="auto" w:fill="F8F9FA"/>
          </w:tcPr>
          <w:p>
            <w:r>
              <w:rPr>
                <w:b/>
                <w:color w:val="1A1A2E"/>
                <w:sz w:val="18"/>
              </w:rPr>
              <w:t>Presentations + Submission</w:t>
            </w:r>
          </w:p>
        </w:tc>
        <w:tc>
          <w:tcPr>
            <w:tcW w:type="dxa" w:w="5904"/>
            <w:shd w:val="clear" w:color="auto" w:fill="F8F9FA"/>
          </w:tcPr>
          <w:p>
            <w:r>
              <w:rPr>
                <w:color w:val="555555"/>
                <w:sz w:val="18"/>
              </w:rPr>
              <w:t>Each student presents 3–5 minutes. Collect completed Executive Summaries (100 pts). Class gives structured feedback: one strength, one specific improvement.</w:t>
            </w:r>
          </w:p>
        </w:tc>
      </w:tr>
      <w:tr>
        <w:tc>
          <w:tcPr>
            <w:tcW w:type="dxa" w:w="1224"/>
            <w:shd w:val="clear" w:color="auto" w:fill="FFFFFF"/>
          </w:tcPr>
          <w:p>
            <w:r>
              <w:rPr>
                <w:b/>
                <w:color w:val="EE2207"/>
                <w:sz w:val="18"/>
              </w:rPr>
              <w:t>1:45–2:00</w:t>
            </w:r>
          </w:p>
        </w:tc>
        <w:tc>
          <w:tcPr>
            <w:tcW w:type="dxa" w:w="2520"/>
            <w:shd w:val="clear" w:color="auto" w:fill="FFFFFF"/>
          </w:tcPr>
          <w:p>
            <w:r>
              <w:rPr>
                <w:b/>
                <w:color w:val="1A1A2E"/>
                <w:sz w:val="18"/>
              </w:rPr>
              <w:t>Full Debrief + Next Project Preview</w:t>
            </w:r>
          </w:p>
        </w:tc>
        <w:tc>
          <w:tcPr>
            <w:tcW w:type="dxa" w:w="5904"/>
            <w:shd w:val="clear" w:color="auto" w:fill="FFFFFF"/>
          </w:tcPr>
          <w:p>
            <w:r>
              <w:rPr>
                <w:color w:val="555555"/>
                <w:sz w:val="18"/>
              </w:rPr>
              <w:t>What is the single most important lesson from this incident? What would you tell an IT team to do first thing Monday morning? Preview the next project.</w:t>
            </w:r>
          </w:p>
        </w:tc>
      </w:tr>
    </w:tbl>
    <w:p/>
    <w:p>
      <w:r>
        <w:br w:type="page"/>
      </w:r>
    </w:p>
    <w:p>
      <w:r>
        <w:rPr>
          <w:b/>
          <w:color w:val="EE2207"/>
          <w:sz w:val="34"/>
        </w:rPr>
        <w:t>NIST CSF FAILURE ANALYSIS REFERENCE</w:t>
      </w:r>
    </w:p>
    <w:tbl>
      <w:tblPr>
        <w:tblStyle w:val="TableGrid"/>
        <w:tblW w:type="auto" w:w="0"/>
        <w:tblLook w:firstColumn="1" w:firstRow="1" w:lastColumn="0" w:lastRow="0" w:noHBand="0" w:noVBand="1" w:val="04A0"/>
      </w:tblPr>
      <w:tblGrid>
        <w:gridCol w:w="3120"/>
        <w:gridCol w:w="3120"/>
        <w:gridCol w:w="3120"/>
      </w:tblGrid>
      <w:tr>
        <w:tc>
          <w:tcPr>
            <w:tcW w:type="dxa" w:w="1440"/>
            <w:shd w:val="clear" w:color="auto" w:fill="1A1A2E"/>
          </w:tcPr>
          <w:p>
            <w:r>
              <w:rPr>
                <w:b/>
                <w:color w:val="FFFFFF"/>
                <w:sz w:val="18"/>
              </w:rPr>
              <w:t>NIST FUNCTION</w:t>
            </w:r>
          </w:p>
        </w:tc>
        <w:tc>
          <w:tcPr>
            <w:tcW w:type="dxa" w:w="4032"/>
            <w:shd w:val="clear" w:color="auto" w:fill="1A1A2E"/>
          </w:tcPr>
          <w:p>
            <w:r>
              <w:rPr>
                <w:b/>
                <w:color w:val="FFFFFF"/>
                <w:sz w:val="18"/>
              </w:rPr>
              <w:t>WHAT FAILED</w:t>
            </w:r>
          </w:p>
        </w:tc>
        <w:tc>
          <w:tcPr>
            <w:tcW w:type="dxa" w:w="4176"/>
            <w:shd w:val="clear" w:color="auto" w:fill="1A1A2E"/>
          </w:tcPr>
          <w:p>
            <w:r>
              <w:rPr>
                <w:b/>
                <w:color w:val="FFFFFF"/>
                <w:sz w:val="18"/>
              </w:rPr>
              <w:t>WHAT SHOULD HAVE HAPPENED</w:t>
            </w:r>
          </w:p>
        </w:tc>
      </w:tr>
      <w:tr>
        <w:tc>
          <w:tcPr>
            <w:tcW w:type="dxa" w:w="1440"/>
            <w:shd w:val="clear" w:color="auto" w:fill="F8F9FA"/>
          </w:tcPr>
          <w:p>
            <w:r>
              <w:rPr>
                <w:b/>
                <w:color w:val="EE2207"/>
                <w:sz w:val="18"/>
              </w:rPr>
              <w:t>Identify</w:t>
            </w:r>
          </w:p>
        </w:tc>
        <w:tc>
          <w:tcPr>
            <w:tcW w:type="dxa" w:w="4032"/>
            <w:shd w:val="clear" w:color="auto" w:fill="F8F9FA"/>
          </w:tcPr>
          <w:p>
            <w:r>
              <w:rPr>
                <w:color w:val="990000"/>
                <w:sz w:val="18"/>
              </w:rPr>
              <w:t>FAILED — Organizations trusted SolarWinds without verifying supply chain integrity; no SBOM requirement</w:t>
            </w:r>
          </w:p>
        </w:tc>
        <w:tc>
          <w:tcPr>
            <w:tcW w:type="dxa" w:w="4176"/>
            <w:shd w:val="clear" w:color="auto" w:fill="F8F9FA"/>
          </w:tcPr>
          <w:p>
            <w:r>
              <w:rPr>
                <w:color w:val="007A33"/>
                <w:sz w:val="18"/>
              </w:rPr>
              <w:t>Conduct regular asset inventories, vendor risk assessments, and map all third-party connections</w:t>
            </w:r>
          </w:p>
        </w:tc>
      </w:tr>
      <w:tr>
        <w:tc>
          <w:tcPr>
            <w:tcW w:type="dxa" w:w="1440"/>
            <w:shd w:val="clear" w:color="auto" w:fill="FFFFFF"/>
          </w:tcPr>
          <w:p>
            <w:r>
              <w:rPr>
                <w:b/>
                <w:color w:val="EE2207"/>
                <w:sz w:val="18"/>
              </w:rPr>
              <w:t>Protect</w:t>
            </w:r>
          </w:p>
        </w:tc>
        <w:tc>
          <w:tcPr>
            <w:tcW w:type="dxa" w:w="4032"/>
            <w:shd w:val="clear" w:color="auto" w:fill="FFFFFF"/>
          </w:tcPr>
          <w:p>
            <w:r>
              <w:rPr>
                <w:color w:val="990000"/>
                <w:sz w:val="18"/>
              </w:rPr>
              <w:t>PARTIAL — Some had segmentation limiting damage; most did not restrict what Orion could access internally</w:t>
            </w:r>
          </w:p>
        </w:tc>
        <w:tc>
          <w:tcPr>
            <w:tcW w:type="dxa" w:w="4176"/>
            <w:shd w:val="clear" w:color="auto" w:fill="FFFFFF"/>
          </w:tcPr>
          <w:p>
            <w:r>
              <w:rPr>
                <w:color w:val="007A33"/>
                <w:sz w:val="18"/>
              </w:rPr>
              <w:t>Implement NIST SP 800-53 controls. Enforce MFA, patching SLAs, network segmentation</w:t>
            </w:r>
          </w:p>
        </w:tc>
      </w:tr>
      <w:tr>
        <w:tc>
          <w:tcPr>
            <w:tcW w:type="dxa" w:w="1440"/>
            <w:shd w:val="clear" w:color="auto" w:fill="F8F9FA"/>
          </w:tcPr>
          <w:p>
            <w:r>
              <w:rPr>
                <w:b/>
                <w:color w:val="EE2207"/>
                <w:sz w:val="18"/>
              </w:rPr>
              <w:t>Detect</w:t>
            </w:r>
          </w:p>
        </w:tc>
        <w:tc>
          <w:tcPr>
            <w:tcW w:type="dxa" w:w="4032"/>
            <w:shd w:val="clear" w:color="auto" w:fill="F8F9FA"/>
          </w:tcPr>
          <w:p>
            <w:r>
              <w:rPr>
                <w:color w:val="990000"/>
                <w:sz w:val="18"/>
              </w:rPr>
              <w:t>FAILED — Undetected for 9+ months; signature-based tools cannot detect valid signed updates</w:t>
            </w:r>
          </w:p>
        </w:tc>
        <w:tc>
          <w:tcPr>
            <w:tcW w:type="dxa" w:w="4176"/>
            <w:shd w:val="clear" w:color="auto" w:fill="F8F9FA"/>
          </w:tcPr>
          <w:p>
            <w:r>
              <w:rPr>
                <w:color w:val="007A33"/>
                <w:sz w:val="18"/>
              </w:rPr>
              <w:t>Deploy SIEM, IDS/IPS, behavioral analytics. Set up 24/7 monitoring with mandatory alert response SLAs</w:t>
            </w:r>
          </w:p>
        </w:tc>
      </w:tr>
      <w:tr>
        <w:tc>
          <w:tcPr>
            <w:tcW w:type="dxa" w:w="1440"/>
            <w:shd w:val="clear" w:color="auto" w:fill="FFFFFF"/>
          </w:tcPr>
          <w:p>
            <w:r>
              <w:rPr>
                <w:b/>
                <w:color w:val="EE2207"/>
                <w:sz w:val="18"/>
              </w:rPr>
              <w:t>Respond</w:t>
            </w:r>
          </w:p>
        </w:tc>
        <w:tc>
          <w:tcPr>
            <w:tcW w:type="dxa" w:w="4032"/>
            <w:shd w:val="clear" w:color="auto" w:fill="FFFFFF"/>
          </w:tcPr>
          <w:p>
            <w:r>
              <w:rPr>
                <w:color w:val="990000"/>
                <w:sz w:val="18"/>
              </w:rPr>
              <w:t>PARTIAL — Once FireEye disclosed, government and private sector coordinated rapid response</w:t>
            </w:r>
          </w:p>
        </w:tc>
        <w:tc>
          <w:tcPr>
            <w:tcW w:type="dxa" w:w="4176"/>
            <w:shd w:val="clear" w:color="auto" w:fill="FFFFFF"/>
          </w:tcPr>
          <w:p>
            <w:r>
              <w:rPr>
                <w:color w:val="007A33"/>
                <w:sz w:val="18"/>
              </w:rPr>
              <w:t>Develop and TEST an incident response plan. Establish clear escalation paths</w:t>
            </w:r>
          </w:p>
        </w:tc>
      </w:tr>
      <w:tr>
        <w:tc>
          <w:tcPr>
            <w:tcW w:type="dxa" w:w="1440"/>
            <w:shd w:val="clear" w:color="auto" w:fill="F8F9FA"/>
          </w:tcPr>
          <w:p>
            <w:r>
              <w:rPr>
                <w:b/>
                <w:color w:val="EE2207"/>
                <w:sz w:val="18"/>
              </w:rPr>
              <w:t>Recover</w:t>
            </w:r>
          </w:p>
        </w:tc>
        <w:tc>
          <w:tcPr>
            <w:tcW w:type="dxa" w:w="4032"/>
            <w:shd w:val="clear" w:color="auto" w:fill="F8F9FA"/>
          </w:tcPr>
          <w:p>
            <w:r>
              <w:rPr>
                <w:color w:val="990000"/>
                <w:sz w:val="18"/>
              </w:rPr>
              <w:t>ONGOING — Full recovery took months; some systems rebuilt from scratch; ED 21-01 required complete rebuild</w:t>
            </w:r>
          </w:p>
        </w:tc>
        <w:tc>
          <w:tcPr>
            <w:tcW w:type="dxa" w:w="4176"/>
            <w:shd w:val="clear" w:color="auto" w:fill="F8F9FA"/>
          </w:tcPr>
          <w:p>
            <w:r>
              <w:rPr>
                <w:color w:val="007A33"/>
                <w:sz w:val="18"/>
              </w:rPr>
              <w:t>Implement and test backup/recovery. Define RTO and RPO. Conduct tabletop exercises regularly</w:t>
            </w:r>
          </w:p>
        </w:tc>
      </w:tr>
    </w:tbl>
    <w:p/>
    <w:p>
      <w:r>
        <w:br w:type="page"/>
      </w:r>
    </w:p>
    <w:p>
      <w:r>
        <w:rPr>
          <w:b/>
          <w:color w:val="EE2207"/>
          <w:sz w:val="34"/>
        </w:rPr>
        <w:t>ATTACKER METHODOLOGY — 5 PHASES REFERENCE</w:t>
      </w:r>
    </w:p>
    <w:tbl>
      <w:tblPr>
        <w:tblStyle w:val="TableGrid"/>
        <w:tblW w:type="auto" w:w="0"/>
        <w:tblLook w:firstColumn="1" w:firstRow="1" w:lastColumn="0" w:lastRow="0" w:noHBand="0" w:noVBand="1" w:val="04A0"/>
      </w:tblPr>
      <w:tblGrid>
        <w:gridCol w:w="4680"/>
        <w:gridCol w:w="4680"/>
      </w:tblGrid>
      <w:tr>
        <w:tc>
          <w:tcPr>
            <w:tcW w:type="dxa" w:w="2160"/>
            <w:shd w:val="clear" w:color="auto" w:fill="1A1A2E"/>
          </w:tcPr>
          <w:p>
            <w:r>
              <w:rPr>
                <w:b/>
                <w:color w:val="FFFFFF"/>
              </w:rPr>
              <w:t>PHASE</w:t>
            </w:r>
          </w:p>
        </w:tc>
        <w:tc>
          <w:tcPr>
            <w:tcW w:type="dxa" w:w="7488"/>
            <w:shd w:val="clear" w:color="auto" w:fill="1A1A2E"/>
          </w:tcPr>
          <w:p>
            <w:r>
              <w:rPr>
                <w:b/>
                <w:color w:val="FFFFFF"/>
              </w:rPr>
              <w:t>WHAT THE ATTACKER DID IN THIS INCIDENT</w:t>
            </w:r>
          </w:p>
        </w:tc>
      </w:tr>
      <w:tr>
        <w:tc>
          <w:tcPr>
            <w:tcW w:type="dxa" w:w="2160"/>
            <w:shd w:val="clear" w:color="auto" w:fill="F8F9FA"/>
          </w:tcPr>
          <w:p>
            <w:r>
              <w:rPr>
                <w:b/>
                <w:color w:val="EE2207"/>
                <w:sz w:val="18"/>
              </w:rPr>
              <w:t>Reconnaissance</w:t>
            </w:r>
          </w:p>
        </w:tc>
        <w:tc>
          <w:tcPr>
            <w:tcW w:type="dxa" w:w="7488"/>
            <w:shd w:val="clear" w:color="auto" w:fill="F8F9FA"/>
          </w:tcPr>
          <w:p>
            <w:r>
              <w:rPr>
                <w:color w:val="555555"/>
                <w:sz w:val="18"/>
              </w:rPr>
              <w:t>Deeply studied SolarWinds' build process — the most sophisticated supply chain recon ever documented</w:t>
            </w:r>
          </w:p>
        </w:tc>
      </w:tr>
      <w:tr>
        <w:tc>
          <w:tcPr>
            <w:tcW w:type="dxa" w:w="2160"/>
            <w:shd w:val="clear" w:color="auto" w:fill="FFFFFF"/>
          </w:tcPr>
          <w:p>
            <w:r>
              <w:rPr>
                <w:b/>
                <w:color w:val="EE2207"/>
                <w:sz w:val="18"/>
              </w:rPr>
              <w:t>Scanning</w:t>
            </w:r>
          </w:p>
        </w:tc>
        <w:tc>
          <w:tcPr>
            <w:tcW w:type="dxa" w:w="7488"/>
            <w:shd w:val="clear" w:color="auto" w:fill="FFFFFF"/>
          </w:tcPr>
          <w:p>
            <w:r>
              <w:rPr>
                <w:color w:val="555555"/>
                <w:sz w:val="18"/>
              </w:rPr>
              <w:t>SUNBURST spent 12–14 days quietly scanning for security tools before activating</w:t>
            </w:r>
          </w:p>
        </w:tc>
      </w:tr>
      <w:tr>
        <w:tc>
          <w:tcPr>
            <w:tcW w:type="dxa" w:w="2160"/>
            <w:shd w:val="clear" w:color="auto" w:fill="F8F9FA"/>
          </w:tcPr>
          <w:p>
            <w:r>
              <w:rPr>
                <w:b/>
                <w:color w:val="EE2207"/>
                <w:sz w:val="18"/>
              </w:rPr>
              <w:t>Gaining Access</w:t>
            </w:r>
          </w:p>
        </w:tc>
        <w:tc>
          <w:tcPr>
            <w:tcW w:type="dxa" w:w="7488"/>
            <w:shd w:val="clear" w:color="auto" w:fill="F8F9FA"/>
          </w:tcPr>
          <w:p>
            <w:r>
              <w:rPr>
                <w:color w:val="555555"/>
                <w:sz w:val="18"/>
              </w:rPr>
              <w:t>Exploited victim trust in a legitimate, digitally signed software update — the ultimate trusted access</w:t>
            </w:r>
          </w:p>
        </w:tc>
      </w:tr>
      <w:tr>
        <w:tc>
          <w:tcPr>
            <w:tcW w:type="dxa" w:w="2160"/>
            <w:shd w:val="clear" w:color="auto" w:fill="FFFFFF"/>
          </w:tcPr>
          <w:p>
            <w:r>
              <w:rPr>
                <w:b/>
                <w:color w:val="EE2207"/>
                <w:sz w:val="18"/>
              </w:rPr>
              <w:t>Maintaining Access</w:t>
            </w:r>
          </w:p>
        </w:tc>
        <w:tc>
          <w:tcPr>
            <w:tcW w:type="dxa" w:w="7488"/>
            <w:shd w:val="clear" w:color="auto" w:fill="FFFFFF"/>
          </w:tcPr>
          <w:p>
            <w:r>
              <w:rPr>
                <w:color w:val="555555"/>
                <w:sz w:val="18"/>
              </w:rPr>
              <w:t>Deployed TEARDROP and Cobalt Strike; used legitimate cloud tools and admin accounts to blend in</w:t>
            </w:r>
          </w:p>
        </w:tc>
      </w:tr>
      <w:tr>
        <w:tc>
          <w:tcPr>
            <w:tcW w:type="dxa" w:w="2160"/>
            <w:shd w:val="clear" w:color="auto" w:fill="F8F9FA"/>
          </w:tcPr>
          <w:p>
            <w:r>
              <w:rPr>
                <w:b/>
                <w:color w:val="EE2207"/>
                <w:sz w:val="18"/>
              </w:rPr>
              <w:t>Covering Tracks</w:t>
            </w:r>
          </w:p>
        </w:tc>
        <w:tc>
          <w:tcPr>
            <w:tcW w:type="dxa" w:w="7488"/>
            <w:shd w:val="clear" w:color="auto" w:fill="F8F9FA"/>
          </w:tcPr>
          <w:p>
            <w:r>
              <w:rPr>
                <w:color w:val="555555"/>
                <w:sz w:val="18"/>
              </w:rPr>
              <w:t>Mimicked legitimate Orion traffic; used DNS for C2; stayed dormant for weeks to evade sandboxes</w:t>
            </w:r>
          </w:p>
        </w:tc>
      </w:tr>
    </w:tbl>
    <w:p/>
    <w:p>
      <w:r>
        <w:br w:type="page"/>
      </w:r>
    </w:p>
    <w:p>
      <w:r>
        <w:rPr>
          <w:b/>
          <w:color w:val="EE2207"/>
          <w:sz w:val="34"/>
        </w:rPr>
        <w:t>"FROM HERE ON OUT" — RECOMMENDATIONS REFERENCE</w:t>
      </w:r>
    </w:p>
    <w:p>
      <w:pPr>
        <w:ind w:left="216"/>
        <w:shd w:val="clear" w:color="auto" w:fill="FFF3CD"/>
      </w:pPr>
      <w:r>
        <w:rPr>
          <w:b/>
          <w:color w:val="7B4A00"/>
          <w:sz w:val="20"/>
        </w:rPr>
        <w:t xml:space="preserve">📌 NOTE:  </w:t>
      </w:r>
      <w:r>
        <w:rPr>
          <w:color w:val="7B4A00"/>
          <w:sz w:val="20"/>
        </w:rPr>
        <w:t>These are the controls that, if in place, would have prevented or significantly reduced this breach.</w:t>
      </w:r>
    </w:p>
    <w:p/>
    <w:p>
      <w:pPr>
        <w:pStyle w:val="ListBullet"/>
      </w:pPr>
      <w:r>
        <w:rPr>
          <w:color w:val="555555"/>
          <w:sz w:val="20"/>
        </w:rPr>
        <w:t>MANDATE: Software Bill of Materials (SBOM) — every piece of software must declare all components it contains</w:t>
      </w:r>
    </w:p>
    <w:p>
      <w:pPr>
        <w:pStyle w:val="ListBullet"/>
      </w:pPr>
      <w:r>
        <w:rPr>
          <w:color w:val="555555"/>
          <w:sz w:val="20"/>
        </w:rPr>
        <w:t>MANDATE: Zero Trust Architecture — even trusted software from known vendors must have limited, monitored access</w:t>
      </w:r>
    </w:p>
    <w:p>
      <w:pPr>
        <w:pStyle w:val="ListBullet"/>
      </w:pPr>
      <w:r>
        <w:rPr>
          <w:color w:val="555555"/>
          <w:sz w:val="20"/>
        </w:rPr>
        <w:t>MANDATE: Behavioral monitoring — signature-based tools failed here; detect anomalous behavior, not known-bad signatures</w:t>
      </w:r>
    </w:p>
    <w:p>
      <w:pPr>
        <w:pStyle w:val="ListBullet"/>
      </w:pPr>
      <w:r>
        <w:rPr>
          <w:color w:val="555555"/>
          <w:sz w:val="20"/>
        </w:rPr>
        <w:t>IMPLEMENT: Threat hunting program — proactively search for threats rather than waiting for alerts</w:t>
      </w:r>
    </w:p>
    <w:p>
      <w:pPr>
        <w:pStyle w:val="ListBullet"/>
      </w:pPr>
      <w:r>
        <w:rPr>
          <w:color w:val="555555"/>
          <w:sz w:val="20"/>
        </w:rPr>
        <w:t>IMPLEMENT: DNS anomaly monitoring — SUNBURST used DNS for C2; unusual DNS patterns must trigger investigation</w:t>
      </w:r>
    </w:p>
    <w:p>
      <w:pPr>
        <w:pStyle w:val="ListBullet"/>
      </w:pPr>
      <w:r>
        <w:rPr>
          <w:color w:val="555555"/>
          <w:sz w:val="20"/>
        </w:rPr>
        <w:t>IMPLEMENT: Third-party software access controls — monitoring tools should have limited network access even when they need visibility</w:t>
      </w:r>
    </w:p>
    <w:p/>
    <w:p>
      <w:r>
        <w:br w:type="page"/>
      </w:r>
    </w:p>
    <w:p>
      <w:r>
        <w:rPr>
          <w:b/>
          <w:color w:val="1A1A2E"/>
          <w:sz w:val="26"/>
        </w:rPr>
        <w:t>REFERENCES &amp; RESOURCES</w:t>
      </w:r>
    </w:p>
    <w:p>
      <w:pPr>
        <w:pStyle w:val="ListBullet"/>
      </w:pPr>
      <w:r>
        <w:rPr>
          <w:color w:val="555555"/>
          <w:sz w:val="20"/>
        </w:rPr>
        <w:t>FireEye Blog: "Highly Evasive Attacker Leverages SolarWinds Supply Chain" (December 13, 2020) — mandiant.com</w:t>
      </w:r>
    </w:p>
    <w:p>
      <w:pPr>
        <w:pStyle w:val="ListBullet"/>
      </w:pPr>
      <w:r>
        <w:rPr>
          <w:color w:val="555555"/>
          <w:sz w:val="20"/>
        </w:rPr>
        <w:t>CISA Emergency Directive 21-01 — cisa.gov/emergency-directive-21-01</w:t>
      </w:r>
    </w:p>
    <w:p>
      <w:pPr>
        <w:pStyle w:val="ListBullet"/>
      </w:pPr>
      <w:r>
        <w:rPr>
          <w:color w:val="555555"/>
          <w:sz w:val="20"/>
        </w:rPr>
        <w:t>nvd.nist.gov/vuln/detail/CVE-2020-10148 — full technical details</w:t>
      </w:r>
    </w:p>
    <w:p>
      <w:pPr>
        <w:pStyle w:val="ListBullet"/>
      </w:pPr>
      <w:r>
        <w:rPr>
          <w:color w:val="555555"/>
          <w:sz w:val="20"/>
        </w:rPr>
        <w:t>U.S. Senate Intelligence Committee: SolarWinds Hearing (February 23, 2021)</w:t>
      </w:r>
    </w:p>
    <w:p>
      <w:pPr>
        <w:pStyle w:val="ListBullet"/>
      </w:pPr>
      <w:r>
        <w:rPr>
          <w:color w:val="555555"/>
          <w:sz w:val="20"/>
        </w:rPr>
        <w:t>Executive Order 14028 on Improving the Nation's Cybersecurity — whitehouse.gov</w:t>
      </w:r>
    </w:p>
    <w:p>
      <w:pPr>
        <w:pStyle w:val="ListBullet"/>
      </w:pPr>
      <w:r>
        <w:rPr>
          <w:color w:val="555555"/>
          <w:sz w:val="20"/>
        </w:rPr>
        <w:t>MITRE ATT&amp;CK: attack.mitre.org — search T1195, T1071, T1027</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