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1A15A" w14:textId="70A67F3A" w:rsidR="008A6DDB" w:rsidRDefault="008A6DDB" w:rsidP="008A6DDB">
      <w:pPr>
        <w:ind w:left="2160" w:firstLine="720"/>
      </w:pPr>
      <w:r>
        <w:t xml:space="preserve">Colby King Module 12 assignment </w:t>
      </w:r>
    </w:p>
    <w:p w14:paraId="7F4B81B7" w14:textId="7964CD80" w:rsidR="008A6DDB" w:rsidRDefault="008A6DDB" w:rsidP="008A6DDB">
      <w:pPr>
        <w:ind w:firstLine="720"/>
      </w:pPr>
      <w:r>
        <w:t>Compliance is a critical challenge in regulated industries, especially when organizations adopt DevOps practices. Chapter 23 of The DevOps Handbook highlights two case studies that show how compliance and reliability can be achieved without slowing innovation</w:t>
      </w:r>
      <w:r w:rsidR="00E006CB">
        <w:t>,</w:t>
      </w:r>
      <w:r w:rsidR="00E006CB" w:rsidRPr="00E006CB">
        <w:t>"Providing Compliance in Regulated Environments" and the case study "Relying on Production Telemetry for ATM Systems"</w:t>
      </w:r>
      <w:r>
        <w:t>. These examples demonstrate practical lessons that balance regulation, monitoring, and continuous improvement.</w:t>
      </w:r>
    </w:p>
    <w:p w14:paraId="19B3122A" w14:textId="46F27340" w:rsidR="008A6DDB" w:rsidRDefault="008A6DDB" w:rsidP="008A6DDB">
      <w:pPr>
        <w:ind w:firstLine="720"/>
      </w:pPr>
      <w:r>
        <w:t>The first case study focuses on how organizations in highly regulated industries, such as finance and healthcare, manage compliance while adopting DevOps. The authors emphasize that compliance should not be treated as a separate, burdensome process but instead integrated into daily workflows. By embedding controls directly into pipelines, teams can automate evidence collection and reduce the risk of human error. This approach allows organizations to meet regulatory requirements while still delivering software quickly. A key lesson learned is that compliance becomes more effective when it is continuous and automated rather than reactive. Instead of waiting for audits, teams can demonstrate compliance at any time, which builds trust with regulators and customers (Kim, Humble, Debois, Willis, &amp; Allspaw, 2016).</w:t>
      </w:r>
    </w:p>
    <w:p w14:paraId="60FF7EE6" w14:textId="5E3C30D2" w:rsidR="008A6DDB" w:rsidRDefault="008A6DDB" w:rsidP="008A6DDB">
      <w:pPr>
        <w:ind w:firstLine="720"/>
      </w:pPr>
      <w:r>
        <w:t>The second case study examines how a financial institution used production telemetry to ensure reliability in its ATM systems. Telemetry provided real</w:t>
      </w:r>
      <w:r>
        <w:rPr>
          <w:rFonts w:ascii="Cambria Math" w:hAnsi="Cambria Math" w:cs="Cambria Math"/>
        </w:rPr>
        <w:t xml:space="preserve"> </w:t>
      </w:r>
      <w:r>
        <w:t>time visibility into system performance, allowing teams to detect issues before they impacted customers. The authors highlight that monitoring is not just about collecting data but about creating actionable insights. By analyzing telemetry, the organization could identify patterns, anticipate failures, and respond quickly to incidents. This proactive approach reduced downtime and improved customer confidence. The lesson here is that telemetry is essential for both compliance and reliability, as it provides evidence of system health and operational integrity in regulated environments (Kim et al, 2016).</w:t>
      </w:r>
    </w:p>
    <w:p w14:paraId="4BD87087" w14:textId="5A1856A8" w:rsidR="008A6DDB" w:rsidRDefault="008A6DDB" w:rsidP="008A6DDB">
      <w:pPr>
        <w:ind w:firstLine="720"/>
      </w:pPr>
      <w:r>
        <w:t>This case studies show that compliance and reliability are not barriers to DevOps but can be strengthened by its practices. Automating compliance checks and embedding them into pipelines reduces manual effort and ensures consistency. Telemetry, on the other hand, provides the transparency needed to prove compliance and maintain trust. Both examples highlight the importance of shifting from reactive to proactive approaches whether in audits or system monitoring. The overarching lesson is that compliance and reliability thrive when they are treated as part of everyday operations rather than external obligations. Organizations that embrace this mindset can innovate faster while still meeting strict regulatory demands (Kim et al., 2016).</w:t>
      </w:r>
    </w:p>
    <w:p w14:paraId="4961C329" w14:textId="77777777" w:rsidR="008A6DDB" w:rsidRDefault="008A6DDB" w:rsidP="008A6DDB"/>
    <w:p w14:paraId="083D78D6" w14:textId="158354B9" w:rsidR="008A6DDB" w:rsidRDefault="008A6DDB" w:rsidP="008A6DDB">
      <w:pPr>
        <w:ind w:firstLine="720"/>
      </w:pPr>
      <w:r>
        <w:t>In summary, the case studies from Chapter 23 illustrate how DevOps can successfully operate in regulated environments and how compliance is most effective when automated and integrated into workflows, reducing the burden of audits and ensuring continuous readiness. Telemetry provides the visibility needed to maintain reliability and prove compliance in real time. These lessons show that regulation and innovation do not have to conflict but ultimately, the key takeaway is that compliance and reliability are achievable without sacrificing speed or agility when DevOps principles are applied thoughtfully.</w:t>
      </w:r>
    </w:p>
    <w:p w14:paraId="32DFA135" w14:textId="77777777" w:rsidR="008A6DDB" w:rsidRDefault="008A6DDB" w:rsidP="008A6DDB"/>
    <w:p w14:paraId="3FB1F770" w14:textId="64FDE452" w:rsidR="008A6DDB" w:rsidRDefault="008A6DDB" w:rsidP="008A6DDB">
      <w:r>
        <w:t xml:space="preserve">References: </w:t>
      </w:r>
    </w:p>
    <w:p w14:paraId="1364F7EF" w14:textId="492586D2" w:rsidR="008A6DDB" w:rsidRDefault="008A6DDB" w:rsidP="008A6DDB">
      <w:r>
        <w:t>Kim, G., Humble, J., Debois, P., Willis, J., &amp; Allspaw, J. (2016). The DevOps Handbook: How to Create World-Class Agility, Reliability, &amp; Security in Technology Organizations (2nd ed.). IT Revolution Press.</w:t>
      </w:r>
    </w:p>
    <w:sectPr w:rsidR="008A6D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DDB"/>
    <w:rsid w:val="00265778"/>
    <w:rsid w:val="00635724"/>
    <w:rsid w:val="008A6DDB"/>
    <w:rsid w:val="00E00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05F4B"/>
  <w15:chartTrackingRefBased/>
  <w15:docId w15:val="{75E73A28-F6A9-425D-9257-DE2CA3C70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D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6D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D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D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D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D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D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D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D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D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6D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D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D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D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DDB"/>
    <w:rPr>
      <w:rFonts w:eastAsiaTheme="majorEastAsia" w:cstheme="majorBidi"/>
      <w:color w:val="272727" w:themeColor="text1" w:themeTint="D8"/>
    </w:rPr>
  </w:style>
  <w:style w:type="paragraph" w:styleId="Title">
    <w:name w:val="Title"/>
    <w:basedOn w:val="Normal"/>
    <w:next w:val="Normal"/>
    <w:link w:val="TitleChar"/>
    <w:uiPriority w:val="10"/>
    <w:qFormat/>
    <w:rsid w:val="008A6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D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DDB"/>
    <w:pPr>
      <w:spacing w:before="160"/>
      <w:jc w:val="center"/>
    </w:pPr>
    <w:rPr>
      <w:i/>
      <w:iCs/>
      <w:color w:val="404040" w:themeColor="text1" w:themeTint="BF"/>
    </w:rPr>
  </w:style>
  <w:style w:type="character" w:customStyle="1" w:styleId="QuoteChar">
    <w:name w:val="Quote Char"/>
    <w:basedOn w:val="DefaultParagraphFont"/>
    <w:link w:val="Quote"/>
    <w:uiPriority w:val="29"/>
    <w:rsid w:val="008A6DDB"/>
    <w:rPr>
      <w:i/>
      <w:iCs/>
      <w:color w:val="404040" w:themeColor="text1" w:themeTint="BF"/>
    </w:rPr>
  </w:style>
  <w:style w:type="paragraph" w:styleId="ListParagraph">
    <w:name w:val="List Paragraph"/>
    <w:basedOn w:val="Normal"/>
    <w:uiPriority w:val="34"/>
    <w:qFormat/>
    <w:rsid w:val="008A6DDB"/>
    <w:pPr>
      <w:ind w:left="720"/>
      <w:contextualSpacing/>
    </w:pPr>
  </w:style>
  <w:style w:type="character" w:styleId="IntenseEmphasis">
    <w:name w:val="Intense Emphasis"/>
    <w:basedOn w:val="DefaultParagraphFont"/>
    <w:uiPriority w:val="21"/>
    <w:qFormat/>
    <w:rsid w:val="008A6DDB"/>
    <w:rPr>
      <w:i/>
      <w:iCs/>
      <w:color w:val="0F4761" w:themeColor="accent1" w:themeShade="BF"/>
    </w:rPr>
  </w:style>
  <w:style w:type="paragraph" w:styleId="IntenseQuote">
    <w:name w:val="Intense Quote"/>
    <w:basedOn w:val="Normal"/>
    <w:next w:val="Normal"/>
    <w:link w:val="IntenseQuoteChar"/>
    <w:uiPriority w:val="30"/>
    <w:qFormat/>
    <w:rsid w:val="008A6D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DDB"/>
    <w:rPr>
      <w:i/>
      <w:iCs/>
      <w:color w:val="0F4761" w:themeColor="accent1" w:themeShade="BF"/>
    </w:rPr>
  </w:style>
  <w:style w:type="character" w:styleId="IntenseReference">
    <w:name w:val="Intense Reference"/>
    <w:basedOn w:val="DefaultParagraphFont"/>
    <w:uiPriority w:val="32"/>
    <w:qFormat/>
    <w:rsid w:val="008A6D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548</Words>
  <Characters>3128</Characters>
  <Application>Microsoft Office Word</Application>
  <DocSecurity>0</DocSecurity>
  <Lines>26</Lines>
  <Paragraphs>7</Paragraphs>
  <ScaleCrop>false</ScaleCrop>
  <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colby king</dc:creator>
  <cp:keywords/>
  <dc:description/>
  <cp:lastModifiedBy>colby king</cp:lastModifiedBy>
  <cp:revision>2</cp:revision>
  <dcterms:created xsi:type="dcterms:W3CDTF">2025-12-24T03:53:00Z</dcterms:created>
  <dcterms:modified xsi:type="dcterms:W3CDTF">2025-12-24T04:01:00Z</dcterms:modified>
</cp:coreProperties>
</file>