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C2D3" w14:textId="3761D48E" w:rsidR="00FE4E55" w:rsidRDefault="00FE4E55" w:rsidP="00FE4E55">
      <w:r w:rsidRPr="00FE4E55">
        <w:rPr>
          <w:b/>
          <w:bCs/>
        </w:rPr>
        <w:t>The Dangers of Change Approval Processes</w:t>
      </w:r>
    </w:p>
    <w:p w14:paraId="3508AF51" w14:textId="7D67A6F3" w:rsidR="00FE4E55" w:rsidRDefault="00FE4E55" w:rsidP="00FE4E55">
      <w:r>
        <w:t xml:space="preserve">Change approval processes tend to be traditional Change Advisory Boards, designed to mitigate risk by requiring formal approval before changes are deployed. This sounds safe in theory, but in practice, it brings with it the perception of a slow release, creating frustration for the very teams involved (Yates, 2018) states that CABs seldom add reliability but are unnecessarily bureaucratic. The time you waste due to such a delay invariably translates into missed opportunities and thus minimizes innovation in organizations that thrive on change within a </w:t>
      </w:r>
      <w:proofErr w:type="gramStart"/>
      <w:r>
        <w:t>fast paced</w:t>
      </w:r>
      <w:proofErr w:type="gramEnd"/>
      <w:r>
        <w:t xml:space="preserve"> competitive space. </w:t>
      </w:r>
    </w:p>
    <w:p w14:paraId="456FE160" w14:textId="720D5658" w:rsidR="00FE4E55" w:rsidRDefault="00FE4E55" w:rsidP="00FE4E55">
      <w:r>
        <w:t>Another hazard is the false sense of security these processes engender. When a change is sanctioned by the board, the leadership will most likely believe that risk has decreased, but studies suggest otherwise. The team behind DevOps Research and Assessment (DORA), for example, discovered that external approvals do not actually improve results; rather, it is practices such as automated testing and peer review that trump external approval in available evidence (Forsgren, Humble, &amp; Kim, 2018). Such a situation implies that CABs shield and obscure weaknesses, given that these weaknesses show up late during development instead of early, building resilience is about building safety into processes, not last-minute approvals.</w:t>
      </w:r>
    </w:p>
    <w:p w14:paraId="7E7ED567" w14:textId="785CE49C" w:rsidR="00FE4E55" w:rsidRDefault="004A6440" w:rsidP="00FE4E55">
      <w:r>
        <w:t>Lastly, i</w:t>
      </w:r>
      <w:r w:rsidR="00FE4E55">
        <w:t xml:space="preserve">ncrease in morale and collaboration are typically damaged by altering the approval processes. When developers feel delays in executing their work are constantly put forth, such questions from outsiders only tend to frustrate trust and motivation. Poor communication and resistance to change are common reasons why traditional change management fails (Harvard DCE, 2022). In the modern DevOps setting, favorable to speedy execution and teamwork, they generate burnouts and disengagement. Moreover, CABs take away power from teams rather than empowering them, further undermining the reliability such teams strive to achieve. </w:t>
      </w:r>
    </w:p>
    <w:p w14:paraId="32F25DF2" w14:textId="62CDDB68" w:rsidR="003008F4" w:rsidRDefault="00FE4E55" w:rsidP="00FE4E55">
      <w:r>
        <w:t xml:space="preserve">In sum, approval processes for change were designed with the goal of reducing risk, yet their implementation often introduces new dangers in terms of slow delivery, false confidence, and low morale. Research shows that automation, peer review, and continuous testing provide much better ways of ensuring safe and reliable systems. For the beginner, the lesson is </w:t>
      </w:r>
      <w:proofErr w:type="gramStart"/>
      <w:r>
        <w:t>fairly easy</w:t>
      </w:r>
      <w:proofErr w:type="gramEnd"/>
      <w:r>
        <w:t>: companies should abandon full-scale approval boards in favor of inculcating resilience in their working practices. This will allow them to deliver quickly, safely, and reliably, without getting stuck in the traditional change management bottleneck.</w:t>
      </w:r>
    </w:p>
    <w:p w14:paraId="05F20C2C" w14:textId="77777777" w:rsidR="00FE4E55" w:rsidRPr="00FE4E55" w:rsidRDefault="00FE4E55" w:rsidP="00FE4E55">
      <w:pPr>
        <w:rPr>
          <w:b/>
          <w:bCs/>
        </w:rPr>
      </w:pPr>
      <w:r w:rsidRPr="00FE4E55">
        <w:rPr>
          <w:b/>
          <w:bCs/>
        </w:rPr>
        <w:t>References</w:t>
      </w:r>
    </w:p>
    <w:p w14:paraId="31C9B7CC" w14:textId="77777777" w:rsidR="00FE4E55" w:rsidRPr="00FE4E55" w:rsidRDefault="00FE4E55" w:rsidP="00FE4E55">
      <w:r w:rsidRPr="00FE4E55">
        <w:lastRenderedPageBreak/>
        <w:t xml:space="preserve">Forsgren, N., Humble, J., &amp; Kim, G. (2018). </w:t>
      </w:r>
      <w:r w:rsidRPr="00FE4E55">
        <w:rPr>
          <w:i/>
          <w:iCs/>
        </w:rPr>
        <w:t>Accelerate: The science of lean software and DevOps</w:t>
      </w:r>
      <w:r w:rsidRPr="00FE4E55">
        <w:t>. IT Revolution Press.</w:t>
      </w:r>
    </w:p>
    <w:p w14:paraId="229CCF59" w14:textId="77777777" w:rsidR="00FE4E55" w:rsidRPr="00FE4E55" w:rsidRDefault="00FE4E55" w:rsidP="00FE4E55">
      <w:r w:rsidRPr="00FE4E55">
        <w:t xml:space="preserve">Harvard DCE. (2022, November 18). </w:t>
      </w:r>
      <w:r w:rsidRPr="00FE4E55">
        <w:rPr>
          <w:i/>
          <w:iCs/>
        </w:rPr>
        <w:t>7 reasons why change management strategies fail and how to avoid them</w:t>
      </w:r>
      <w:r w:rsidRPr="00FE4E55">
        <w:t xml:space="preserve">. Retrieved December 12, 2025, from </w:t>
      </w:r>
      <w:hyperlink r:id="rId5" w:history="1">
        <w:r w:rsidRPr="00FE4E55">
          <w:rPr>
            <w:rStyle w:val="Hyperlink"/>
          </w:rPr>
          <w:t>https://professional.dce.harvard.edu/blog/7-reasons-why-change-management-strategies-fail-and-how-to-avoid-them/</w:t>
        </w:r>
      </w:hyperlink>
    </w:p>
    <w:p w14:paraId="0FCFB2C6" w14:textId="7E7DBD07" w:rsidR="00FE4E55" w:rsidRPr="000007CC" w:rsidRDefault="00FE4E55" w:rsidP="00FE4E55">
      <w:r w:rsidRPr="00FE4E55">
        <w:t xml:space="preserve">Yates, A. (2018). </w:t>
      </w:r>
      <w:r w:rsidRPr="00FE4E55">
        <w:rPr>
          <w:i/>
          <w:iCs/>
        </w:rPr>
        <w:t>Change advisory boards don’t work</w:t>
      </w:r>
      <w:r w:rsidRPr="00FE4E55">
        <w:t xml:space="preserve">. Octopus Blog. Retrieved December 12, 2025, from </w:t>
      </w:r>
      <w:hyperlink r:id="rId6" w:history="1">
        <w:r w:rsidRPr="00FE4E55">
          <w:rPr>
            <w:rStyle w:val="Hyperlink"/>
          </w:rPr>
          <w:t>https://octopus.com/blog/change-advisory-boards-dont-work</w:t>
        </w:r>
      </w:hyperlink>
    </w:p>
    <w:sectPr w:rsidR="00FE4E55" w:rsidRPr="00000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02C03"/>
    <w:multiLevelType w:val="multilevel"/>
    <w:tmpl w:val="578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67662C"/>
    <w:multiLevelType w:val="multilevel"/>
    <w:tmpl w:val="F24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7083584">
    <w:abstractNumId w:val="1"/>
  </w:num>
  <w:num w:numId="2" w16cid:durableId="6966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52"/>
    <w:rsid w:val="000007CC"/>
    <w:rsid w:val="001D7E32"/>
    <w:rsid w:val="002B2406"/>
    <w:rsid w:val="003008F4"/>
    <w:rsid w:val="00454A52"/>
    <w:rsid w:val="00492B5C"/>
    <w:rsid w:val="004A6440"/>
    <w:rsid w:val="00526DA8"/>
    <w:rsid w:val="00757B50"/>
    <w:rsid w:val="00E5108C"/>
    <w:rsid w:val="00FE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0585"/>
  <w15:chartTrackingRefBased/>
  <w15:docId w15:val="{DAFB7851-69B7-419B-8235-56787D0A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52"/>
    <w:rPr>
      <w:rFonts w:eastAsiaTheme="majorEastAsia" w:cstheme="majorBidi"/>
      <w:color w:val="272727" w:themeColor="text1" w:themeTint="D8"/>
    </w:rPr>
  </w:style>
  <w:style w:type="paragraph" w:styleId="Title">
    <w:name w:val="Title"/>
    <w:basedOn w:val="Normal"/>
    <w:next w:val="Normal"/>
    <w:link w:val="TitleChar"/>
    <w:uiPriority w:val="10"/>
    <w:qFormat/>
    <w:rsid w:val="00454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52"/>
    <w:pPr>
      <w:spacing w:before="160"/>
      <w:jc w:val="center"/>
    </w:pPr>
    <w:rPr>
      <w:i/>
      <w:iCs/>
      <w:color w:val="404040" w:themeColor="text1" w:themeTint="BF"/>
    </w:rPr>
  </w:style>
  <w:style w:type="character" w:customStyle="1" w:styleId="QuoteChar">
    <w:name w:val="Quote Char"/>
    <w:basedOn w:val="DefaultParagraphFont"/>
    <w:link w:val="Quote"/>
    <w:uiPriority w:val="29"/>
    <w:rsid w:val="00454A52"/>
    <w:rPr>
      <w:i/>
      <w:iCs/>
      <w:color w:val="404040" w:themeColor="text1" w:themeTint="BF"/>
    </w:rPr>
  </w:style>
  <w:style w:type="paragraph" w:styleId="ListParagraph">
    <w:name w:val="List Paragraph"/>
    <w:basedOn w:val="Normal"/>
    <w:uiPriority w:val="34"/>
    <w:qFormat/>
    <w:rsid w:val="00454A52"/>
    <w:pPr>
      <w:ind w:left="720"/>
      <w:contextualSpacing/>
    </w:pPr>
  </w:style>
  <w:style w:type="character" w:styleId="IntenseEmphasis">
    <w:name w:val="Intense Emphasis"/>
    <w:basedOn w:val="DefaultParagraphFont"/>
    <w:uiPriority w:val="21"/>
    <w:qFormat/>
    <w:rsid w:val="00454A52"/>
    <w:rPr>
      <w:i/>
      <w:iCs/>
      <w:color w:val="0F4761" w:themeColor="accent1" w:themeShade="BF"/>
    </w:rPr>
  </w:style>
  <w:style w:type="paragraph" w:styleId="IntenseQuote">
    <w:name w:val="Intense Quote"/>
    <w:basedOn w:val="Normal"/>
    <w:next w:val="Normal"/>
    <w:link w:val="IntenseQuoteChar"/>
    <w:uiPriority w:val="30"/>
    <w:qFormat/>
    <w:rsid w:val="0045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A52"/>
    <w:rPr>
      <w:i/>
      <w:iCs/>
      <w:color w:val="0F4761" w:themeColor="accent1" w:themeShade="BF"/>
    </w:rPr>
  </w:style>
  <w:style w:type="character" w:styleId="IntenseReference">
    <w:name w:val="Intense Reference"/>
    <w:basedOn w:val="DefaultParagraphFont"/>
    <w:uiPriority w:val="32"/>
    <w:qFormat/>
    <w:rsid w:val="00454A52"/>
    <w:rPr>
      <w:b/>
      <w:bCs/>
      <w:smallCaps/>
      <w:color w:val="0F4761" w:themeColor="accent1" w:themeShade="BF"/>
      <w:spacing w:val="5"/>
    </w:rPr>
  </w:style>
  <w:style w:type="character" w:styleId="Hyperlink">
    <w:name w:val="Hyperlink"/>
    <w:basedOn w:val="DefaultParagraphFont"/>
    <w:uiPriority w:val="99"/>
    <w:unhideWhenUsed/>
    <w:rsid w:val="00454A52"/>
    <w:rPr>
      <w:color w:val="467886" w:themeColor="hyperlink"/>
      <w:u w:val="single"/>
    </w:rPr>
  </w:style>
  <w:style w:type="character" w:styleId="UnresolvedMention">
    <w:name w:val="Unresolved Mention"/>
    <w:basedOn w:val="DefaultParagraphFont"/>
    <w:uiPriority w:val="99"/>
    <w:semiHidden/>
    <w:unhideWhenUsed/>
    <w:rsid w:val="00454A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topus.com/blog/change-advisory-boards-dont-work" TargetMode="External"/><Relationship Id="rId5" Type="http://schemas.openxmlformats.org/officeDocument/2006/relationships/hyperlink" Target="https://professional.dce.harvard.edu/blog/7-reasons-why-change-management-strategies-fail-and-how-to-avoid-th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2</cp:revision>
  <dcterms:created xsi:type="dcterms:W3CDTF">2025-12-13T02:08:00Z</dcterms:created>
  <dcterms:modified xsi:type="dcterms:W3CDTF">2025-12-13T02:08:00Z</dcterms:modified>
</cp:coreProperties>
</file>