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color w:val="1a703a"/>
          <w:rtl w:val="0"/>
        </w:rPr>
        <w:t>Experiment Report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>A1/A2 实验预注册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>审批门消融与 Agent Harness 可替换性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w14:paraId="0000000D">
      <w:pPr>
        <w:rPr>
          <w:color w:val="002715"/>
        </w:rPr>
      </w:pPr>
      <w:r>
        <w:rPr>
          <w:rtl w:val="0"/>
        </w:rPr>
      </w:r>
    </w:p>
    <w:p w14:paraId="0000000E">
      <w:pPr>
        <w:rPr>
          <w:color w:val="002715"/>
        </w:rPr>
      </w:pPr>
      <w:r>
        <w:rPr>
          <w:rtl w:val="0"/>
        </w:rPr>
      </w:r>
    </w:p>
    <w:p w14:paraId="0000000F">
      <w:pPr>
        <w:rPr>
          <w:color w:val="002715"/>
        </w:rPr>
      </w:pPr>
      <w:r>
        <w:rPr>
          <w:rtl w:val="0"/>
        </w:rPr>
      </w:r>
    </w:p>
    <w:p w14:paraId="00000010">
      <w:pPr>
        <w:rPr>
          <w:color w:val="002715"/>
        </w:rPr>
      </w:pPr>
      <w:r>
        <w:rPr>
          <w:rtl w:val="0"/>
        </w:rPr>
      </w:r>
    </w:p>
    <w:p w14:paraId="00000011">
      <w:pPr>
        <w:rPr>
          <w:color w:val="002715"/>
        </w:rPr>
      </w:pPr>
      <w:r>
        <w:rPr>
          <w:rtl w:val="0"/>
        </w:rPr>
      </w:r>
    </w:p>
    <w:p w14:paraId="00000012">
      <w:pPr>
        <w:rPr>
          <w:color w:val="002715"/>
        </w:rPr>
      </w:pPr>
      <w:r>
        <w:rPr>
          <w:rtl w:val="0"/>
        </w:rPr>
      </w:r>
    </w:p>
    <w:p w14:paraId="00000013">
      <w:pPr>
        <w:rPr>
          <w:color w:val="002715"/>
        </w:rPr>
      </w:pPr>
      <w:r>
        <w:rPr>
          <w:rtl w:val="0"/>
        </w:rPr>
      </w:r>
    </w:p>
    <w:p w14:paraId="00000014">
      <w:pPr>
        <w:rPr>
          <w:color w:val="002715"/>
        </w:rPr>
      </w:pPr>
      <w:r>
        <w:rPr>
          <w:rtl w:val="0"/>
        </w:rPr>
      </w:r>
    </w:p>
    <w:p w14:paraId="00000015">
      <w:pPr>
        <w:rPr>
          <w:color w:val="002715"/>
        </w:rPr>
      </w:pPr>
      <w:r>
        <w:rPr>
          <w:rtl w:val="0"/>
        </w:rPr>
      </w:r>
    </w:p>
    <w:p w14:paraId="00000016">
      <w:pPr>
        <w:rPr>
          <w:color w:val="002715"/>
        </w:rPr>
      </w:pPr>
      <w:r>
        <w:rPr>
          <w:rtl w:val="0"/>
        </w:rPr>
      </w:r>
    </w:p>
    <w:p w14:paraId="00000017">
      <w:pPr>
        <w:rPr>
          <w:color w:val="434343"/>
        </w:rPr>
      </w:pPr>
      <w:r>
        <w:rPr>
          <w:rtl w:val="0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color w:val="000000"/>
          <w:rtl w:val="0"/>
        </w:rPr>
        <w:t>AgentWorkShop 实验方案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color w:val="000000"/>
          <w:rtl w:val="0"/>
        </w:rPr>
        <w:t>2026年10月30日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w14:paraId="0000001B">
      <w:pPr>
        <w:pStyle w:val="Heading1"/>
        <w:rPr/>
      </w:pPr>
      <w:r>
        <w:rPr>
          <w:rtl w:val="0"/>
        </w:rPr>
        <w:t xml:space="preserve">Document Control</w:t>
      </w:r>
    </w:p>
    <w:p w14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vAlign w:val="center"/>
          </w:tcPr>
          <w:p w14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Pre-registration 0.1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1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</w:p>
        </w:tc>
        <w:tc>
          <w:tcPr>
            <w:vAlign w:val="center"/>
          </w:tcPr>
          <w:p w14:paraId="0000002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AgentWorkShop experiment plan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Reviewers</w:t>
            </w:r>
          </w:p>
        </w:tc>
        <w:tc>
          <w:tcPr>
            <w:vAlign w:val="center"/>
          </w:tcPr>
          <w:p>
            <w:r>
              <w:t>Protocol review completed; runner/safety review pending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Prepared</w:t>
            </w:r>
          </w:p>
        </w:tc>
        <w:tc>
          <w:tcPr>
            <w:vAlign w:val="center"/>
          </w:tcPr>
          <w:p w14:paraId="0000002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2026-10-30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Reporting Window</w:t>
            </w:r>
          </w:p>
        </w:tc>
        <w:tc>
          <w:tcPr>
            <w:vAlign w:val="center"/>
          </w:tcPr>
          <w:p>
            <w:r>
              <w:t>Not scheduled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2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vAlign w:val="center"/>
          </w:tcPr>
          <w:p w14:paraId="0000002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Pre-registration draft; NOT-RUN</w:t>
            </w:r>
          </w:p>
        </w:tc>
      </w:tr>
    </w:tbl>
    <w:p w14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2A">
      <w:pPr>
        <w:pStyle w:val="Heading1"/>
        <w:rPr/>
      </w:pPr>
      <w:r>
        <w:rPr>
          <w:rtl w:val="0"/>
        </w:rPr>
        <w:t xml:space="preserve">Purpose</w:t>
      </w:r>
    </w:p>
    <w:p w14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本文件预注册两项隔离模拟实验：A1 比较审批门启用与仅审批门关闭；A2 用 OMP 与 OpenCode 两种真实 Harness，分别尝试本机 Qwen3.5 64k 与 USTC DeepSeek Flash。评估对象是 AgentWorkShop 的模拟器集成与治理路径。</w:t>
      </w:r>
    </w:p>
    <w:p w14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本方案供实验执行者、论文作者和独立复核者使用。当前仅定义研究问题、执行协议、指标与证据要求；实验尚未运行，不能将假设或预期方向写成结果。</w:t>
      </w:r>
    </w:p>
    <w:p w14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2E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Business Context</w:t>
      </w:r>
    </w:p>
    <w:p w14:paraId="0000002F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系统将不同 Agent Harness 连接到配置化工业场景，并经平台工具获取数据、提交受约束写入。需要分别验证审批门是否阻止拒绝或待决请求到达设备，以及更换 Harness/模型组合后是否仍能执行同一任务契约。</w:t>
      </w:r>
    </w:p>
    <w:p w14:paraId="0000003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审批消融只改变审批门；上下文复核、授权、范围/步长、共享分发、设备回读和审计保持启用。所有写入只到一次性本地 PLC 模拟器。A2 固定审批开启，单独比较 Harness 与模型组合；不把模型差异冒称 Harness 因果效应。</w:t>
      </w:r>
    </w:p>
    <w:p w14:paraId="0000003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 Summary</w:t>
      </w:r>
    </w:p>
    <w:p w14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shd w:fill="f3f3f3" w:val="clear"/>
            <w:vAlign w:val="center"/>
          </w:tcPr>
          <w:p w14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Details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Name</w:t>
            </w:r>
          </w:p>
        </w:tc>
        <w:tc>
          <w:tcPr>
            <w:vAlign w:val="center"/>
          </w:tcPr>
          <w:p w14:paraId="0000003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Approval Gate Ablation and Harness Replaceability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Key</w:t>
            </w:r>
          </w:p>
        </w:tc>
        <w:tc>
          <w:tcPr>
            <w:vAlign w:val="center"/>
          </w:tcPr>
          <w:p w14:paraId="0000003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A1-A2-GOV-HARNESS-2026-10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Owner Team</w:t>
            </w:r>
          </w:p>
        </w:tc>
        <w:tc>
          <w:tcPr>
            <w:vAlign w:val="center"/>
          </w:tcPr>
          <w:p w14:paraId="0000003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AgentWorkShop / paper evaluation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Business Owner</w:t>
            </w:r>
          </w:p>
        </w:tc>
        <w:tc>
          <w:tcPr>
            <w:vAlign w:val="center"/>
          </w:tcPr>
          <w:p w14:paraId="0000003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Manuscript authors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Product Surface</w:t>
            </w:r>
          </w:p>
        </w:tc>
        <w:tc>
          <w:tcPr>
            <w:vAlign w:val="center"/>
          </w:tcPr>
          <w:p w14:paraId="0000003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AgentWorkShop with isolated PLC simulator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3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Primary Objective</w:t>
            </w:r>
          </w:p>
        </w:tc>
        <w:tc>
          <w:tcPr>
            <w:vAlign w:val="center"/>
          </w:tcPr>
          <w:p w14:paraId="0000004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Measure approval interception and same-contract execution across real harness/model configurations.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Control (Variant A)</w:t>
            </w:r>
          </w:p>
        </w:tc>
        <w:tc>
          <w:tcPr>
            <w:vAlign w:val="center"/>
          </w:tcPr>
          <w:p w14:paraId="0000004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A1: OMP + local Qwen 3.5 64k with manual approval enabled. A2: OMP/OpenCode × local Qwen/USTC DeepSeek; approval remains enabled.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Treatment (Variant B)</w:t>
            </w:r>
          </w:p>
        </w:tc>
        <w:tc>
          <w:tcPr>
            <w:vAlign w:val="center"/>
          </w:tcPr>
          <w:p w14:paraId="0000004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A1: same OMP + local Qwen stack, with only the approval gate disabled in simulator-only bench mode.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Allocation</w:t>
            </w:r>
          </w:p>
        </w:tc>
        <w:tc>
          <w:tcPr>
            <w:vAlign w:val="center"/>
          </w:tcPr>
          <w:p w14:paraId="0000004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A1 paired randomized order; A2 randomized order across four eligible cells.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Unit of Randomization</w:t>
            </w:r>
          </w:p>
        </w:tc>
        <w:tc>
          <w:tcPr>
            <w:vAlign w:val="center"/>
          </w:tcPr>
          <w:p w14:paraId="0000004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Fresh simulator/AW reset episode; matched block for A1.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vAlign w:val="center"/>
          </w:tcPr>
          <w:p w14:paraId="0000004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One configured injection-simulator task contract; real Harness adapters only.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Exclusions</w:t>
            </w:r>
          </w:p>
        </w:tc>
        <w:tc>
          <w:tcPr>
            <w:vAlign w:val="center"/>
          </w:tcPr>
          <w:p w14:paraId="0000004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Physical devices, non-loopback targets, shared instances, failed qualification cells and incomplete audit; all exclusions retained.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vAlign w:val="center"/>
          </w:tcPr>
          <w:p w14:paraId="0000004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 scheduled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4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End Date</w:t>
            </w:r>
          </w:p>
        </w:tc>
        <w:tc>
          <w:tcPr>
            <w:vAlign w:val="center"/>
          </w:tcPr>
          <w:p w14:paraId="0000005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 scheduled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Planned Runtime</w:t>
            </w:r>
          </w:p>
        </w:tc>
        <w:tc>
          <w:tcPr>
            <w:vAlign w:val="center"/>
          </w:tcPr>
          <w:p w14:paraId="0000005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Pilot and confirmatory duration to be set after runner qualification and power calculation.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5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Actual Runtime</w:t>
            </w:r>
          </w:p>
        </w:tc>
        <w:tc>
          <w:tcPr>
            <w:vAlign w:val="center"/>
          </w:tcPr>
          <w:p w14:paraId="0000005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 run</w:t>
            </w:r>
          </w:p>
        </w:tc>
      </w:tr>
    </w:tbl>
    <w:p w14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56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Design Notes</w:t>
      </w:r>
    </w:p>
    <w:p w14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A1 固定为 OMP + 本机 Qwen3.5 64k，以独立复位的配对 block 随机比较 manual 审批 ON/OFF。A2 固定审批 ON，比较 OMP/OpenCode × Qwen/USTC DeepSeek 的四个 cell。所有 cell 使用同一 injection 场景快照、任务输入、工具 schema、绑定和限制。</w:t>
      </w:r>
    </w:p>
    <w:p w14:paraId="00000058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每次 episode 使用独立 AW_HOME、数据库与 simulator clone。试验顺序随机化。仅 loopback、本地模拟器或许可 mock driver 合格；物理 PLC、共享实例、端点身份不明、模型空响应、工具 schema 不一致或关键事件源缺失均停止或标为 NOT-QUALIFIED。</w:t>
      </w:r>
    </w:p>
    <w:p w14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A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Hypothesis</w:t>
      </w:r>
    </w:p>
    <w:p w14:paraId="0000005B">
      <w:pPr>
        <w:keepLines/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若审批门启用，则合法但拒绝或仍待决的请求不应到达设备驱动；关闭审批门后，此类请求可能越过审批阶段，但仍受其他治理限制。若两个真实 Harness 均适配同一任务契约，则四个 Harness×模型 cell 应能分别给出可核查的查询与工具调用证据；不预设哪一 Harness 更优。</w:t>
      </w:r>
    </w:p>
    <w:p w14:paraId="0000005C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5D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Success Criteria</w:t>
      </w:r>
    </w:p>
    <w:p w14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审批ON下拒绝/待决合法写入驱动到达率目标为0；两臂的越界、超步长与过期上下文驱动到达率目标为0；关键审计完整率目标为100%。其余指标报告分子/分母与区间，不以单次运行宣布胜出。</w:t>
      </w:r>
    </w:p>
    <w:tbl>
      <w:tblPr>
        <w:tblStyle w:val="Table3"/>
        <w:tblW w:w="935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5F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w14:paraId="00000060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Target/Rule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1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Primary Metric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未批准驱动到达率；ON目标为0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3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1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越界/超步长驱动到达；目标为0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5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2</w:t>
            </w:r>
          </w:p>
        </w:tc>
        <w:tc>
          <w:tcPr>
            <w:vAlign w:val="center"/>
          </w:tcPr>
          <w:p w14:paraId="00000066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过期上下文驱动到达；目标为0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7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3</w:t>
            </w:r>
          </w:p>
        </w:tc>
        <w:tc>
          <w:tcPr>
            <w:vAlign w:val="center"/>
          </w:tcPr>
          <w:p w14:paraId="00000068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关键事件完整率；目标为100%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69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Rule</w:t>
            </w:r>
          </w:p>
        </w:tc>
        <w:tc>
          <w:tcPr>
            <w:vAlign w:val="center"/>
          </w:tcPr>
          <w:p w14:paraId="0000006A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任一隔离或治理硬门失败即停止；不进入生产</w:t>
            </w:r>
          </w:p>
        </w:tc>
      </w:tr>
    </w:tbl>
    <w:p w14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6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Pre-Launch Validation</w:t>
      </w:r>
    </w:p>
    <w:p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A1 核对 ON/OFF 仅差审批门；其他配置、权限、工具、输入、候选值、场景和代码版本相同。</w:t>
      </w:r>
      <w:r>
        <w:rPr>
          <w:rtl w:val="0"/>
        </w:rPr>
      </w:r>
    </w:p>
    <w:p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随机化单位为独立 reset episode；A1 在配对 block 内随机先后顺序，A2 随机化四个 cell。保存随机种子和分配表。</w:t>
      </w:r>
      <w:r>
        <w:rPr>
          <w:rtl w:val="0"/>
        </w:rPr>
      </w:r>
    </w:p>
    <w:p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在不写入 smoke run 中验证 actor/task/tool/call ID、审批、dispatch、driver、读回、DAQ 和 monotonic/UTC 时间戳可关联。</w:t>
      </w:r>
      <w:r>
        <w:rPr>
          <w:rtl w:val="0"/>
        </w:rPr>
      </w:r>
    </w:p>
    <w:p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零分母记 N/A；端点不隔离、空响应、事件不配对、缺失设备读回或样本过期均保留原始记录并按预注册规则判定，禁止静默剔除。</w:t>
      </w:r>
      <w:r>
        <w:rPr>
          <w:rtl w:val="0"/>
        </w:rPr>
      </w:r>
    </w:p>
    <w:p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当前未执行。执行器与事件统一接口尚待实现，须先完成 A1/A2 pilot 和独立审查。</w:t>
      </w:r>
      <w:r>
        <w:rPr>
          <w:rtl w:val="0"/>
        </w:rPr>
      </w:r>
    </w:p>
    <w:p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73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Sample and Exposure Summary</w:t>
      </w:r>
    </w:p>
    <w:p w14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>
        <w:t>尚未运行，样本数、暴露量和运行时长均无实测值。资格 pilot 与确认性分析分离。正式运行前必须在 preregistration.json 中锁定 A1/A2 的主要终点、MDE、允许失败率、alpha、power、多重比较规则、每格样本数、随机种子、功效代码哈希及最大重复预算；缺任一字段即禁止启动确认性运行。若 pilot 用于估计基线率/方差，pilot 不进入确认性分析。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Metric</w:t>
            </w:r>
          </w:p>
        </w:tc>
        <w:tc>
          <w:tcPr>
            <w:shd w:fill="f3f3f3" w:val="clear"/>
            <w:vAlign w:val="center"/>
          </w:tcPr>
          <w:p w14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Approval ON</w:t>
            </w:r>
          </w:p>
        </w:tc>
        <w:tc>
          <w:tcPr>
            <w:shd w:fill="f3f3f3" w:val="clear"/>
            <w:vAlign w:val="center"/>
          </w:tcPr>
          <w:p w14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Approval OFF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>
            <w:r>
              <w:t>Legal candidate write / readback (paired ON fixture approved)</w:t>
            </w:r>
          </w:p>
        </w:tc>
        <w:tc>
          <w:tcPr>
            <w:vAlign w:val="center"/>
          </w:tcPr>
          <w:p w14:paraId="0000007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7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Rejected/pending write reaches driver</w:t>
            </w:r>
          </w:p>
        </w:tc>
        <w:tc>
          <w:tcPr>
            <w:vAlign w:val="center"/>
          </w:tcPr>
          <w:p w14:paraId="0000007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7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7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Query + full-chain episodes</w:t>
            </w:r>
          </w:p>
        </w:tc>
        <w:tc>
          <w:tcPr>
            <w:vAlign w:val="center"/>
          </w:tcPr>
          <w:p w14:paraId="0000007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8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Cell qualification / run count</w:t>
            </w:r>
          </w:p>
        </w:tc>
        <w:tc>
          <w:tcPr>
            <w:vAlign w:val="center"/>
          </w:tcPr>
          <w:p w14:paraId="0000008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8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Sample Ratio Check</w:t>
            </w:r>
          </w:p>
        </w:tc>
        <w:tc>
          <w:tcPr>
            <w:vAlign w:val="center"/>
          </w:tcPr>
          <w:p w14:paraId="0000008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NOT-RUN</w:t>
            </w:r>
          </w:p>
        </w:tc>
        <w:tc>
          <w:tcPr>
            <w:vAlign w:val="center"/>
          </w:tcPr>
          <w:p w14:paraId="0000008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NOT-RUN</w:t>
            </w:r>
          </w:p>
        </w:tc>
      </w:tr>
    </w:tbl>
    <w:p w14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8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Primary Outcome</w:t>
      </w:r>
    </w:p>
    <w:p w14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8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Measure</w:t>
            </w:r>
          </w:p>
        </w:tc>
        <w:tc>
          <w:tcPr>
            <w:shd w:fill="f3f3f3" w:val="clear"/>
            <w:vAlign w:val="center"/>
          </w:tcPr>
          <w:p w14:paraId="0000008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Approval ON</w:t>
            </w:r>
          </w:p>
        </w:tc>
        <w:tc>
          <w:tcPr>
            <w:shd w:fill="f3f3f3" w:val="clear"/>
            <w:vAlign w:val="center"/>
          </w:tcPr>
          <w:p w14:paraId="0000008C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Approval OFF</w:t>
            </w:r>
          </w:p>
        </w:tc>
        <w:tc>
          <w:tcPr>
            <w:shd w:fill="f3f3f3" w:val="clear"/>
            <w:vAlign w:val="center"/>
          </w:tcPr>
          <w:p w14:paraId="0000008D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Delta</w:t>
            </w:r>
          </w:p>
        </w:tc>
        <w:tc>
          <w:tcPr>
            <w:shd w:fill="f3f3f3" w:val="clear"/>
            <w:vAlign w:val="center"/>
          </w:tcPr>
          <w:p w14:paraId="0000008E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95% CI / decision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8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Approval interception / complete chain</w:t>
            </w:r>
          </w:p>
        </w:tc>
        <w:tc>
          <w:tcPr>
            <w:vAlign w:val="center"/>
          </w:tcPr>
          <w:p w14:paraId="0000009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9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9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95% Confidence Interval</w:t>
            </w:r>
          </w:p>
        </w:tc>
        <w:tc>
          <w:tcPr>
            <w:vAlign w:val="center"/>
          </w:tcPr>
          <w:p w14:paraId="0000009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Two-Sided p-value</w:t>
            </w:r>
          </w:p>
        </w:tc>
        <w:tc>
          <w:tcPr>
            <w:vAlign w:val="center"/>
          </w:tcPr>
          <w:p w14:paraId="0000009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9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Outcome Narrative</w:t>
            </w:r>
          </w:p>
        </w:tc>
        <w:tc>
          <w:tcPr>
            <w:vAlign w:val="center"/>
          </w:tcPr>
          <w:p w14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A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A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无观测结果；不得推断。</w:t>
            </w:r>
          </w:p>
        </w:tc>
        <w:tc>
          <w:tcPr>
            <w:vAlign w:val="center"/>
          </w:tcPr>
          <w:p w14:paraId="000000A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</w:tr>
    </w:tbl>
    <w:p w14:paraId="000000A3">
      <w:pPr>
        <w:spacing w:after="240" w:before="240" w:lineRule="auto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尚无主要终点结果。正式报告须分别给出 A1 未批准驱动到达率、A2 查询/工具/完整链指标及其分母、95% 区间；本方案不填入预期数字。</w:t>
      </w:r>
    </w:p>
    <w:p w14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A5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Guardrail Metrics</w:t>
      </w:r>
    </w:p>
    <w:p w14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0"/>
          <w:trHeight w:val="431.99999999999994" w:hRule="atLeast"/>
          <w:tblHeader w:val="0"/>
          <w:tblHeader/>
        </w:trPr>
        <w:tc>
          <w:tcPr>
            <w:shd w:fill="f3f3f3" w:val="clear"/>
            <w:vAlign w:val="center"/>
          </w:tcPr>
          <w:p w14:paraId="000000A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Guardrail Metric</w:t>
            </w:r>
          </w:p>
        </w:tc>
        <w:tc>
          <w:tcPr>
            <w:shd w:fill="f3f3f3" w:val="clear"/>
            <w:vAlign w:val="center"/>
          </w:tcPr>
          <w:p w14:paraId="000000A8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Approval ON</w:t>
            </w:r>
          </w:p>
        </w:tc>
        <w:tc>
          <w:tcPr>
            <w:shd w:fill="f3f3f3" w:val="clear"/>
            <w:vAlign w:val="center"/>
          </w:tcPr>
          <w:p w14:paraId="000000A9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Approval OFF</w:t>
            </w:r>
          </w:p>
        </w:tc>
        <w:tc>
          <w:tcPr>
            <w:shd w:fill="f3f3f3" w:val="clear"/>
            <w:vAlign w:val="center"/>
          </w:tcPr>
          <w:p w14:paraId="000000A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Delta</w:t>
            </w:r>
          </w:p>
        </w:tc>
        <w:tc>
          <w:tcPr>
            <w:shd w:fill="f3f3f3" w:val="clear"/>
            <w:vAlign w:val="center"/>
          </w:tcPr>
          <w:p w14:paraId="000000A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>Status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越界/超步长驱动到达</w:t>
            </w:r>
          </w:p>
        </w:tc>
        <w:tc>
          <w:tcPr>
            <w:vAlign w:val="center"/>
          </w:tcPr>
          <w:p w14:paraId="000000A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A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A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B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过期上下文驱动到达</w:t>
            </w:r>
          </w:p>
        </w:tc>
        <w:tc>
          <w:tcPr>
            <w:vAlign w:val="center"/>
          </w:tcPr>
          <w:p w14:paraId="000000B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B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B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B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审批 ON 拒绝/待决请求到达</w:t>
            </w:r>
          </w:p>
        </w:tc>
        <w:tc>
          <w:tcPr>
            <w:vAlign w:val="center"/>
          </w:tcPr>
          <w:p w14:paraId="000000B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B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B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B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w14:paraId="000000B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审计链完整率</w:t>
            </w:r>
          </w:p>
        </w:tc>
        <w:tc>
          <w:tcPr>
            <w:vAlign w:val="center"/>
          </w:tcPr>
          <w:p w14:paraId="000000B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B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B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B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</w:t>
            </w:r>
          </w:p>
        </w:tc>
      </w:tr>
    </w:tbl>
    <w:p w14:paraId="000000C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尚无 guardrail 结果。任何越权、审批 ON 下绕过、范围/步长旁路、过期上下文写入、设备读回不匹配或审计缺口都触发停止并保留现场。</w:t>
      </w:r>
    </w:p>
    <w:p w14:paraId="000000C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Segment Results</w:t>
      </w:r>
    </w:p>
    <w:p w14:paraId="000000C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A2 预先分层为四个 Harness×模型 cell；只有四格均通过资格门且样本量足够，才估计 Harness/模型主效应与交互。单个 cell 的 pilot 只用于资格检查。</w:t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C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Segment</w:t>
            </w:r>
          </w:p>
        </w:tc>
        <w:tc>
          <w:tcPr>
            <w:shd w:fill="f3f3f3" w:val="clear"/>
            <w:vAlign w:val="center"/>
          </w:tcPr>
          <w:p w14:paraId="000000C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Control Value</w:t>
            </w:r>
          </w:p>
        </w:tc>
        <w:tc>
          <w:tcPr>
            <w:shd w:fill="f3f3f3" w:val="clear"/>
            <w:vAlign w:val="center"/>
          </w:tcPr>
          <w:p w14:paraId="000000C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Treatment Value</w:t>
            </w:r>
          </w:p>
        </w:tc>
        <w:tc>
          <w:tcPr>
            <w:shd w:fill="f3f3f3" w:val="clear"/>
            <w:vAlign w:val="center"/>
          </w:tcPr>
          <w:p w14:paraId="000000C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Absolute Delta</w:t>
            </w:r>
          </w:p>
        </w:tc>
        <w:tc>
          <w:tcPr>
            <w:shd w:fill="f3f3f3" w:val="clear"/>
            <w:vAlign w:val="center"/>
          </w:tcPr>
          <w:p w14:paraId="000000C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OMP + Qwen local</w:t>
            </w:r>
          </w:p>
        </w:tc>
        <w:tc>
          <w:tcPr>
            <w:vAlign w:val="center"/>
          </w:tcPr>
          <w:p w14:paraId="000000C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C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C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C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待执行；资格和审计通过后分析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C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OMP + USTC DeepSeek</w:t>
            </w:r>
          </w:p>
        </w:tc>
        <w:tc>
          <w:tcPr>
            <w:vAlign w:val="center"/>
          </w:tcPr>
          <w:p w14:paraId="000000C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C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D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待执行；资格和审计通过后分析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OpenCode + Qwen local</w:t>
            </w:r>
          </w:p>
        </w:tc>
        <w:tc>
          <w:tcPr>
            <w:vAlign w:val="center"/>
          </w:tcPr>
          <w:p w14:paraId="000000D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D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待执行；资格和审计通过后分析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OpenCode + USTC DeepSeek</w:t>
            </w:r>
          </w:p>
        </w:tc>
        <w:tc>
          <w:tcPr>
            <w:vAlign w:val="center"/>
          </w:tcPr>
          <w:p w14:paraId="000000D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D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待执行；资格和审计通过后分析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>A1 OMP + Qwen approval ON/OFF</w:t>
            </w:r>
          </w:p>
        </w:tc>
        <w:tc>
          <w:tcPr>
            <w:vAlign w:val="center"/>
          </w:tcPr>
          <w:p w14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未执行</w:t>
            </w:r>
          </w:p>
        </w:tc>
        <w:tc>
          <w:tcPr>
            <w:vAlign w:val="center"/>
          </w:tcPr>
          <w:p w14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未计算</w:t>
            </w:r>
          </w:p>
        </w:tc>
        <w:tc>
          <w:tcPr>
            <w:vAlign w:val="center"/>
          </w:tcPr>
          <w:p w14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待执行；资格和审计通过后分析</w:t>
            </w:r>
          </w:p>
        </w:tc>
      </w:tr>
    </w:tbl>
    <w:p w14:paraId="000000E1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0E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未运行；不得填入推测的 cell 差异。若只剩 OMP+Qwen 与 OpenCode+DeepSeek 两个组合，则只报告组合可行性，不归因于 Harness 或模型。</w:t>
      </w:r>
    </w:p>
    <w:p w14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4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Data Quality and Limitations</w:t>
      </w:r>
    </w:p>
    <w:p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需记录模型服务负载、网络/API 故障、模拟器异常、后台服务重启、Harness 版本变化及审批 fixture 延迟。</w:t>
      </w:r>
      <w:r>
        <w:rPr>
          <w:rtl w:val="0"/>
        </w:rPr>
      </w:r>
    </w:p>
    <w:p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目标输入、任务提示、模型配置、场景和样本资格在正式运行中冻结；任何变更生成新实验版本，不与旧版本合并。</w:t>
      </w:r>
      <w:r>
        <w:rPr>
          <w:rtl w:val="0"/>
        </w:rPr>
      </w:r>
    </w:p>
    <w:p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当前新 runner 尚未实现。事件源缺失、截断、哈希不一致或无法统一时间戳时，相应 cell 不具备跨 Harness 对比资格。</w:t>
      </w:r>
      <w:r>
        <w:rPr>
          <w:rtl w:val="0"/>
        </w:rPr>
      </w:r>
    </w:p>
    <w:p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所有结果限定于指定软件版本、模型服务、单一 injection 模拟场景及实验时间窗；不是实体工厂或物理 PLC 验证。</w:t>
      </w:r>
      <w:r>
        <w:rPr>
          <w:rtl w:val="0"/>
        </w:rPr>
      </w:r>
    </w:p>
    <w:p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审批 OFF 是高风险 bench-only 条件，仅允许 loopback 模拟器/mock driver；不得部署到生产或物理设备。脚本化审批不测量人工审批质量。</w:t>
      </w:r>
      <w:r>
        <w:rPr>
          <w:rtl w:val="0"/>
        </w:rPr>
      </w:r>
    </w:p>
    <w:p w14:paraId="000000EA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当前没有可报告的实验结论。即使实验通过，也只支持所测配置下的工具链/治理路径；不支持真实工况收益、控制策略优越性、人工审查质量或广泛跨场景推广。</w:t>
      </w:r>
    </w:p>
    <w:p w14:paraId="000000E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0E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Interpretation</w:t>
      </w:r>
    </w:p>
    <w:p w14:paraId="000000ED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目前只能说明预注册的因果对比方式，不能判断假设是否成立。审批 ON/OFF 的效应仅在 OMP+Qwen 条件下估计；A2 在审批 ON 条件下考察不同 Harness/模型组合。</w:t>
      </w:r>
    </w:p>
    <w:p w14:paraId="000000E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>建议先实现独立 runner 与统一审计，再完成资格 pilot。正式数据通过独立复核前，不更新论文实验结果，不扩大生产部署结论。</w:t>
      </w:r>
    </w:p>
    <w:p w14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0F0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Decision Log</w:t>
      </w:r>
    </w:p>
    <w:p w14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w14:paraId="000000F2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f3f3f3" w:val="clear"/>
            <w:vAlign w:val="center"/>
          </w:tcPr>
          <w:p w14:paraId="000000F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Decision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Final Decision</w:t>
            </w:r>
          </w:p>
        </w:tc>
        <w:tc>
          <w:tcPr>
            <w:vAlign w:val="center"/>
          </w:tcPr>
          <w:p w14:paraId="000000F5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NOT-RUN. Protocol only; no experimental conclusion.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Date</w:t>
            </w:r>
          </w:p>
        </w:tc>
        <w:tc>
          <w:tcPr>
            <w:vAlign w:val="center"/>
          </w:tcPr>
          <w:p w14:paraId="000000F7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Not applicable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Approvers</w:t>
            </w:r>
          </w:p>
        </w:tc>
        <w:tc>
          <w:tcPr>
            <w:vAlign w:val="center"/>
          </w:tcPr>
          <w:p w14:paraId="000000F9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Pending independent review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Rollout Type</w:t>
            </w:r>
          </w:p>
        </w:tc>
        <w:tc>
          <w:tcPr>
            <w:vAlign w:val="center"/>
          </w:tcPr>
          <w:p w14:paraId="000000FB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No production rollout; simulator-only experiments.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Rollback Trigger</w:t>
            </w:r>
          </w:p>
        </w:tc>
        <w:tc>
          <w:tcPr>
            <w:vAlign w:val="center"/>
          </w:tcPr>
          <w:p w14:paraId="000000FD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Any non-loopback target, guard violation, approval bypass in ON, unauthorized write, readback mismatch or critical audit gap.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14:paraId="000000F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Follow Up</w:t>
            </w:r>
          </w:p>
        </w:tc>
        <w:tc>
          <w:tcPr>
            <w:vAlign w:val="center"/>
          </w:tcPr>
          <w:p w14:paraId="000000FF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>Implement and review runner; complete pilots; freeze MDE/sample size; execute and independently reconcile confirmatory evidence.</w:t>
            </w:r>
          </w:p>
        </w:tc>
      </w:tr>
    </w:tbl>
    <w:p w14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w14:paraId="0000010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Post Test Actions</w:t>
      </w:r>
    </w:p>
    <w:p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不涉及 rollout。先实现与审查 runner，完成 pilot，再锁定确认性样本数并运行。</w:t>
      </w:r>
      <w:r>
        <w:rPr>
          <w:rtl w:val="0"/>
        </w:rPr>
      </w:r>
    </w:p>
    <w:p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不适用生产上线。每个 episode 均监控 loopback 身份、guard、审批状态、设备读回和事件源完整性。</w:t>
      </w:r>
      <w:r>
        <w:rPr>
          <w:rtl w:val="0"/>
        </w:rPr>
      </w:r>
    </w:p>
    <w:p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先重复 A1/A2 确认性运行；若要主张审批效应适用于其他 Harness/模型，应另做完整交叉实验；若要主张工艺收益，应增加匹配控制策略与多场景重复。</w:t>
      </w:r>
      <w:r>
        <w:rPr>
          <w:rtl w:val="0"/>
        </w:rPr>
      </w:r>
    </w:p>
    <w:p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可在后续研究中加入第二个已资格化工业场景及同 Harness/模型的配置迁移成本测量。</w:t>
      </w:r>
      <w:r>
        <w:rPr>
          <w:rtl w:val="0"/>
        </w:rPr>
      </w:r>
    </w:p>
    <w:p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保留 preregistration、配置快照、脱敏事件、readback、DAQ、对账报告与 SHA256SUMS；runtime 数据默认仅本机受控保存。</w:t>
      </w:r>
      <w:r>
        <w:rPr>
          <w:rtl w:val="0"/>
        </w:rPr>
      </w:r>
    </w:p>
    <w:p w14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w14:paraId="0000010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A: Metric Definitions</w:t>
      </w:r>
    </w:p>
    <w:p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502" w:right="0" w:hanging="360"/>
        <w:jc w:val="both"/>
        <w:rPr/>
      </w:pPr>
      <w:r>
        <w:t>未批准驱动到达率：每个配对 block 由预注册 fixture 指定 ON 臂为“拒绝”或“待决”，OFF 臂没有审批状态；其未批准标签仅继承配对 ON fixture。分母为两臂均启动的合格配对刺激数，分子分别为 ON/OFF 臂实际到达 driver 的请求数。审批拦截率另报 ON 臂在 driver 前终止数/同一配对刺激数。</w:t>
      </w:r>
    </w:p>
    <w:p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t>合法请求误拦率：ON fixture 预标“批准”的合法配对请求未完成写入/读回数 ÷ 两臂均启动的配对数；OFF 仅继承此反事实标签。</w:t>
      </w:r>
    </w:p>
    <w:p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查询成功率：含完整字段、单位、时间戳且满足 freshness 的 DAQ 查询数 ÷ 合格查询数。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有效工具调用率：schema、actor allowlist 与资源绑定均有效的调用数 ÷ 全部配对工具调用数。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完整写入链比例：请求至后续 DAQ 观测证据齐全的 episode 数 ÷ 含合格写请求的 episode 数。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>
        <w:rPr>
          <w:rtl w:val="0"/>
        </w:rPr>
      </w:r>
    </w:p>
    <w:p w14:paraId="0000010E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w14:paraId="0000010F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B: Analyst Notes</w:t>
      </w:r>
    </w:p>
    <w:p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t>A1 配对二元终点用 exact McNemar 与 exact 95% CI。A2 主要终点建议为完整写入链比例；预先锁定因子与交互的最小效应，按最终二因子模型、固定种子模拟功效并冻结每 cell 样本数和分析代码哈希。样本不足或 cell 未资格化时只作逐 cell 描述，不作主效应/交互结论。时延报告运行级 p50/p95 与 bootstrap 95% CI。Pilot 与确认性数据分离。</w:t>
      </w:r>
    </w:p>
    <w:p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任何非 loopback、错误设备身份、guard 破坏、绕过检查、回读不符或关键审计缺失立即停止；偏离协议需单独登记，不覆盖原始数据。</w:t>
      </w:r>
      <w:r>
        <w:rPr>
          <w:rtl w:val="0"/>
        </w:rPr>
      </w:r>
    </w:p>
    <w:p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尚未执行。最终由独立复核者从 raw events、审批、账本、设备读回和 DAQ 重新对账并校验哈希。</w:t>
      </w:r>
      <w:r>
        <w:rPr>
          <w:rtl w:val="0"/>
        </w:rPr>
      </w:r>
    </w:p>
    <w:p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t>P12 仅支持 OMP；e1-lite/AW_BENCH_MODE 会改变多项控制，不能用于审批单点消融。上下文守卫与跨 Harness 审计须先通过独立审查。</w:t>
      </w:r>
    </w:p>
    <w:p w14:paraId="00000114">
      <w:pPr>
        <w:rPr>
          <w:rFonts w:ascii="Georgia" w:cs="Georgia" w:eastAsia="Georgia" w:hAnsi="Georgia"/>
        </w:rPr>
      </w:pPr>
      <w:r>
        <w:rPr>
          <w:rtl w:val="0"/>
        </w:rPr>
      </w:r>
    </w:p>
    <w:sectPr>
      <w:headerReference r:id="rId8" w:type="default"/>
      <w:footerReference r:id="rId9" w:type="default"/>
      <w:headerReference w:type="first" r:id="rId6"/>
      <w:headerReference w:type="even" r:id="rId10"/>
      <w:footerReference w:type="first" r:id="rId11"/>
      <w:footerReference w:type="even" r:id="rId12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A1/A2 Experiment Plan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6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A1/A2 Approval Gate Ablation and Harness Replaceability Pre-registration</dc:title>
  <cp:lastModifiedBy>python-docx</cp:lastModifiedBy>
  <cp:revision>1</cp:revision>
  <dcterms:modified xsi:type="dcterms:W3CDTF">2026-10-30T04:33:02Z</dcterms:modified>
  <dc:subject>Simulator-only experiment plan; no results have been collected</dc:subject>
  <dc:creator>AgentWorkShop experiment plan</dc:creator>
</cp:coreProperties>
</file>