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Content-governed ingest, placement and lifecycle keep KB state consistent</w:t>
      </w:r>
    </w:p>
    <w:p>
      <w:pPr>
        <w:pStyle w:val="ListBullet"/>
      </w:pPr>
      <w:r>
        <w:t>Ten questions, three interfaces: every answer names its gold document</w:t>
      </w:r>
    </w:p>
    <w:p>
      <w:pPr>
        <w:pStyle w:val="ListBullet"/>
      </w:pPr>
      <w:r>
        <w:t>Provenance is at ceiling; keyword and marker counts are substrate-bound</w:t>
      </w:r>
    </w:p>
    <w:p>
      <w:pPr>
        <w:pStyle w:val="ListBullet"/>
      </w:pPr>
      <w:r>
        <w:t>Verifier scores that pass a filter are not thereby safe as rankers</w:t>
      </w:r>
    </w:p>
    <w:p>
      <w:pPr>
        <w:pStyle w:val="ListBullet"/>
      </w:pPr>
      <w:r>
        <w:t>Catalog pagination repaired a reproduced transport failure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