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Content-governed ingest, placement and lifecycle keep KB state consistent</w:t>
      </w:r>
    </w:p>
    <w:p>
      <w:pPr>
        <w:pStyle w:val="ListBullet"/>
      </w:pPr>
      <w:r>
        <w:t>Ten questions, three interfaces: every answer names its gold document</w:t>
      </w:r>
    </w:p>
    <w:p>
      <w:pPr>
        <w:pStyle w:val="ListBullet"/>
      </w:pPr>
      <w:r>
        <w:t>Strict keyword coverage 9/10 and alias-aware 10/10; markers 9/7/2</w:t>
      </w:r>
    </w:p>
    <w:p>
      <w:pPr>
        <w:pStyle w:val="ListBullet"/>
      </w:pPr>
      <w:r>
        <w:t>Verifier scores that pass a filter are not thereby safe as rankers</w:t>
      </w:r>
    </w:p>
    <w:p>
      <w:pPr>
        <w:pStyle w:val="ListBullet"/>
      </w:pPr>
      <w:r>
        <w:t>Catalog pagination repaired a reproduced transport failure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