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Content-informed acquisition connects KB state with answer evidence</w:t>
      </w:r>
    </w:p>
    <w:p>
      <w:pPr>
        <w:pStyle w:val="ListBullet"/>
      </w:pPr>
      <w:r>
        <w:t>Judge-score reranking loses Hit@5; preserving fusion order restores it</w:t>
      </w:r>
    </w:p>
    <w:p>
      <w:pPr>
        <w:pStyle w:val="ListBullet"/>
      </w:pPr>
      <w:r>
        <w:t>Gold-ID coverage, keyword coverage and citation markers are separated</w:t>
      </w:r>
    </w:p>
    <w:p>
      <w:pPr>
        <w:pStyle w:val="ListBullet"/>
      </w:pPr>
      <w:r>
        <w:t>Same-domain score inflation limits verifier calibration and ranking</w:t>
      </w:r>
    </w:p>
    <w:p>
      <w:pPr>
        <w:pStyle w:val="ListBullet"/>
      </w:pPr>
      <w:r>
        <w:t>Catalog pagination repaired a reproduced transport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