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3A8C2" w14:textId="73513F2F" w:rsidR="00A70480" w:rsidRDefault="00064FD3" w:rsidP="00064FD3">
      <w:pPr>
        <w:pStyle w:val="Heading1"/>
      </w:pPr>
      <w:r w:rsidRPr="00064FD3">
        <w:t>Branch Education</w:t>
      </w:r>
    </w:p>
    <w:p w14:paraId="11BC6A95" w14:textId="77777777" w:rsidR="008804E3" w:rsidRDefault="008804E3" w:rsidP="008804E3">
      <w:pPr>
        <w:pStyle w:val="Heading2"/>
      </w:pPr>
      <w:r w:rsidRPr="00190ABB">
        <w:t>Definition</w:t>
      </w:r>
    </w:p>
    <w:p w14:paraId="701932BD" w14:textId="6236D0CD" w:rsidR="008804E3" w:rsidRPr="008804E3" w:rsidRDefault="008804E3" w:rsidP="008804E3">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0E53C7CD" w14:textId="72A50BC1" w:rsidR="00064FD3" w:rsidRPr="00064FD3" w:rsidRDefault="008804E3" w:rsidP="00064FD3">
      <w:r>
        <w:rPr>
          <w:noProof/>
        </w:rPr>
        <w:drawing>
          <wp:inline distT="0" distB="0" distL="0" distR="0" wp14:anchorId="40C0EB64" wp14:editId="51E3148A">
            <wp:extent cx="5943600" cy="1183640"/>
            <wp:effectExtent l="0" t="0" r="0" b="0"/>
            <wp:docPr id="169855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56091" name=""/>
                    <pic:cNvPicPr/>
                  </pic:nvPicPr>
                  <pic:blipFill>
                    <a:blip r:embed="rId5"/>
                    <a:stretch>
                      <a:fillRect/>
                    </a:stretch>
                  </pic:blipFill>
                  <pic:spPr>
                    <a:xfrm>
                      <a:off x="0" y="0"/>
                      <a:ext cx="5943600" cy="1183640"/>
                    </a:xfrm>
                    <a:prstGeom prst="rect">
                      <a:avLst/>
                    </a:prstGeom>
                  </pic:spPr>
                </pic:pic>
              </a:graphicData>
            </a:graphic>
          </wp:inline>
        </w:drawing>
      </w:r>
    </w:p>
    <w:p w14:paraId="5238452B" w14:textId="77777777" w:rsidR="00064FD3" w:rsidRPr="00064FD3" w:rsidRDefault="00064FD3" w:rsidP="00064FD3">
      <w:pPr>
        <w:rPr>
          <w:rFonts w:ascii="Roboto Mono" w:hAnsi="Roboto Mono"/>
        </w:rPr>
      </w:pPr>
      <w:r w:rsidRPr="00064FD3">
        <w:rPr>
          <w:rFonts w:ascii="Roboto Mono" w:hAnsi="Roboto Mono"/>
          <w:b/>
          <w:bCs/>
        </w:rPr>
        <w:t>Branch Education</w:t>
      </w:r>
      <w:r w:rsidRPr="00064FD3">
        <w:rPr>
          <w:rFonts w:ascii="Roboto Mono" w:hAnsi="Roboto Mono"/>
        </w:rPr>
        <w:t xml:space="preserve"> is an educational initiative that aims to demystify complex engineering and science concepts by breaking them down into understandable components. Through detailed visualizations and accurate models, the platform explores the inner workings of various technologies, from smartphones to climate systems, fostering a deeper understanding of the world around us.</w:t>
      </w:r>
    </w:p>
    <w:p w14:paraId="53C25770" w14:textId="77777777" w:rsidR="00064FD3" w:rsidRPr="00064FD3" w:rsidRDefault="00064FD3" w:rsidP="00064FD3">
      <w:r w:rsidRPr="00064FD3">
        <w:pict w14:anchorId="5B4B8061">
          <v:rect id="_x0000_i1056" style="width:0;height:1.5pt" o:hralign="center" o:hrstd="t" o:hr="t" fillcolor="#a0a0a0" stroked="f"/>
        </w:pict>
      </w:r>
    </w:p>
    <w:p w14:paraId="61A15534" w14:textId="4C4556AF" w:rsidR="00064FD3" w:rsidRDefault="00064FD3" w:rsidP="008804E3">
      <w:pPr>
        <w:pStyle w:val="Heading2"/>
      </w:pPr>
      <w:r w:rsidRPr="00064FD3">
        <w:t>Key Highlights</w:t>
      </w:r>
    </w:p>
    <w:p w14:paraId="3EDEE937" w14:textId="259B002A" w:rsidR="008804E3" w:rsidRPr="008804E3" w:rsidRDefault="008804E3" w:rsidP="008804E3">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054E8CDA" w14:textId="77777777" w:rsidR="00064FD3" w:rsidRPr="00064FD3" w:rsidRDefault="00064FD3" w:rsidP="00064FD3">
      <w:pPr>
        <w:numPr>
          <w:ilvl w:val="0"/>
          <w:numId w:val="1"/>
        </w:numPr>
        <w:rPr>
          <w:rFonts w:ascii="Roboto Mono" w:hAnsi="Roboto Mono"/>
        </w:rPr>
      </w:pPr>
      <w:r w:rsidRPr="00064FD3">
        <w:rPr>
          <w:rFonts w:ascii="Roboto Mono" w:hAnsi="Roboto Mono"/>
          <w:b/>
          <w:bCs/>
        </w:rPr>
        <w:t>Content Focus</w:t>
      </w:r>
      <w:r w:rsidRPr="00064FD3">
        <w:rPr>
          <w:rFonts w:ascii="Roboto Mono" w:hAnsi="Roboto Mono"/>
        </w:rPr>
        <w:t>: In-depth explanations of engineering and science topics, utilizing 3D models and visualized physics.</w:t>
      </w:r>
    </w:p>
    <w:p w14:paraId="317E3C52" w14:textId="77777777" w:rsidR="00064FD3" w:rsidRPr="00064FD3" w:rsidRDefault="00064FD3" w:rsidP="00064FD3">
      <w:pPr>
        <w:numPr>
          <w:ilvl w:val="0"/>
          <w:numId w:val="1"/>
        </w:numPr>
        <w:rPr>
          <w:rFonts w:ascii="Roboto Mono" w:hAnsi="Roboto Mono"/>
        </w:rPr>
      </w:pPr>
      <w:r w:rsidRPr="00064FD3">
        <w:rPr>
          <w:rFonts w:ascii="Roboto Mono" w:hAnsi="Roboto Mono"/>
          <w:b/>
          <w:bCs/>
        </w:rPr>
        <w:t>Educational Approach</w:t>
      </w:r>
      <w:r w:rsidRPr="00064FD3">
        <w:rPr>
          <w:rFonts w:ascii="Roboto Mono" w:hAnsi="Roboto Mono"/>
        </w:rPr>
        <w:t>: Adopts a "branched" structure, exploring subcomponents of broader systems to provide comprehensive insights.</w:t>
      </w:r>
    </w:p>
    <w:p w14:paraId="52DCE74F" w14:textId="77777777" w:rsidR="00064FD3" w:rsidRPr="00064FD3" w:rsidRDefault="00064FD3" w:rsidP="00064FD3">
      <w:pPr>
        <w:numPr>
          <w:ilvl w:val="0"/>
          <w:numId w:val="1"/>
        </w:numPr>
        <w:rPr>
          <w:rFonts w:ascii="Roboto Mono" w:hAnsi="Roboto Mono"/>
        </w:rPr>
      </w:pPr>
      <w:r w:rsidRPr="00064FD3">
        <w:rPr>
          <w:rFonts w:ascii="Roboto Mono" w:hAnsi="Roboto Mono"/>
          <w:b/>
          <w:bCs/>
        </w:rPr>
        <w:t>Global Reach</w:t>
      </w:r>
      <w:r w:rsidRPr="00064FD3">
        <w:rPr>
          <w:rFonts w:ascii="Roboto Mono" w:hAnsi="Roboto Mono"/>
        </w:rPr>
        <w:t>: Videos are translated into multiple languages, including Russian, Arabic, Hindi, and Chinese, to cater to a diverse audience.</w:t>
      </w:r>
    </w:p>
    <w:p w14:paraId="7FA2B383" w14:textId="77777777" w:rsidR="00064FD3" w:rsidRPr="00064FD3" w:rsidRDefault="00064FD3" w:rsidP="00064FD3">
      <w:pPr>
        <w:numPr>
          <w:ilvl w:val="0"/>
          <w:numId w:val="1"/>
        </w:numPr>
        <w:rPr>
          <w:rFonts w:ascii="Roboto Mono" w:hAnsi="Roboto Mono"/>
        </w:rPr>
      </w:pPr>
      <w:r w:rsidRPr="00064FD3">
        <w:rPr>
          <w:rFonts w:ascii="Roboto Mono" w:hAnsi="Roboto Mono"/>
          <w:b/>
          <w:bCs/>
        </w:rPr>
        <w:lastRenderedPageBreak/>
        <w:t>Platform</w:t>
      </w:r>
      <w:r w:rsidRPr="00064FD3">
        <w:rPr>
          <w:rFonts w:ascii="Roboto Mono" w:hAnsi="Roboto Mono"/>
        </w:rPr>
        <w:t xml:space="preserve">: Primarily available on </w:t>
      </w:r>
      <w:hyperlink r:id="rId6" w:history="1">
        <w:proofErr w:type="spellStart"/>
        <w:r w:rsidRPr="00064FD3">
          <w:rPr>
            <w:rStyle w:val="Hyperlink"/>
            <w:rFonts w:ascii="Roboto Mono" w:hAnsi="Roboto Mono"/>
          </w:rPr>
          <w:t>branch.education</w:t>
        </w:r>
        <w:proofErr w:type="spellEnd"/>
      </w:hyperlink>
      <w:r w:rsidRPr="00064FD3">
        <w:rPr>
          <w:rFonts w:ascii="Roboto Mono" w:hAnsi="Roboto Mono"/>
        </w:rPr>
        <w:t>, offering a user-friendly interface for learners.(</w:t>
      </w:r>
      <w:hyperlink r:id="rId7" w:tooltip="Branch Education" w:history="1">
        <w:r w:rsidRPr="00064FD3">
          <w:rPr>
            <w:rStyle w:val="Hyperlink"/>
            <w:rFonts w:ascii="Roboto Mono" w:hAnsi="Roboto Mono"/>
          </w:rPr>
          <w:t>Branch Education</w:t>
        </w:r>
      </w:hyperlink>
      <w:r w:rsidRPr="00064FD3">
        <w:rPr>
          <w:rFonts w:ascii="Roboto Mono" w:hAnsi="Roboto Mono"/>
        </w:rPr>
        <w:t xml:space="preserve">, </w:t>
      </w:r>
      <w:hyperlink r:id="rId8" w:tooltip="Top Engineering Videos – Branch Education - Born to Engineer" w:history="1">
        <w:r w:rsidRPr="00064FD3">
          <w:rPr>
            <w:rStyle w:val="Hyperlink"/>
            <w:rFonts w:ascii="Roboto Mono" w:hAnsi="Roboto Mono"/>
          </w:rPr>
          <w:t>Born to Engineer</w:t>
        </w:r>
      </w:hyperlink>
      <w:r w:rsidRPr="00064FD3">
        <w:rPr>
          <w:rFonts w:ascii="Roboto Mono" w:hAnsi="Roboto Mono"/>
        </w:rPr>
        <w:t xml:space="preserve">, </w:t>
      </w:r>
      <w:hyperlink r:id="rId9" w:tooltip="branch.education/the-pla..." w:history="1">
        <w:r w:rsidRPr="00064FD3">
          <w:rPr>
            <w:rStyle w:val="Hyperlink"/>
            <w:rFonts w:ascii="Roboto Mono" w:hAnsi="Roboto Mono"/>
          </w:rPr>
          <w:t>Branch Education</w:t>
        </w:r>
      </w:hyperlink>
      <w:r w:rsidRPr="00064FD3">
        <w:rPr>
          <w:rFonts w:ascii="Roboto Mono" w:hAnsi="Roboto Mono"/>
        </w:rPr>
        <w:t>)</w:t>
      </w:r>
    </w:p>
    <w:p w14:paraId="1FCDA56C" w14:textId="77777777" w:rsidR="00064FD3" w:rsidRPr="00064FD3" w:rsidRDefault="00064FD3" w:rsidP="00064FD3">
      <w:r w:rsidRPr="00064FD3">
        <w:pict w14:anchorId="7A88E2ED">
          <v:rect id="_x0000_i1057" style="width:0;height:1.5pt" o:hralign="center" o:hrstd="t" o:hr="t" fillcolor="#a0a0a0" stroked="f"/>
        </w:pict>
      </w:r>
    </w:p>
    <w:p w14:paraId="2F4FEB64" w14:textId="45DE86E3" w:rsidR="00064FD3" w:rsidRDefault="00064FD3" w:rsidP="008804E3">
      <w:pPr>
        <w:pStyle w:val="Heading2"/>
      </w:pPr>
      <w:r w:rsidRPr="00064FD3">
        <w:t>Summary Table</w:t>
      </w:r>
    </w:p>
    <w:p w14:paraId="423AA6CF" w14:textId="77777777" w:rsidR="008804E3" w:rsidRPr="008804E3" w:rsidRDefault="008804E3" w:rsidP="008804E3">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40F64179" w14:textId="78A81BE3" w:rsidR="008804E3" w:rsidRPr="008804E3" w:rsidRDefault="008804E3" w:rsidP="008804E3">
      <w:r>
        <w:rPr>
          <w:noProof/>
        </w:rPr>
        <w:drawing>
          <wp:inline distT="0" distB="0" distL="0" distR="0" wp14:anchorId="6442D4DD" wp14:editId="614911AE">
            <wp:extent cx="5943600" cy="2654935"/>
            <wp:effectExtent l="0" t="0" r="0" b="0"/>
            <wp:docPr id="17132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42702" name=""/>
                    <pic:cNvPicPr/>
                  </pic:nvPicPr>
                  <pic:blipFill>
                    <a:blip r:embed="rId10"/>
                    <a:stretch>
                      <a:fillRect/>
                    </a:stretch>
                  </pic:blipFill>
                  <pic:spPr>
                    <a:xfrm>
                      <a:off x="0" y="0"/>
                      <a:ext cx="5943600" cy="26549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7109"/>
      </w:tblGrid>
      <w:tr w:rsidR="00064FD3" w:rsidRPr="00064FD3" w14:paraId="39578E3B" w14:textId="77777777">
        <w:trPr>
          <w:tblHeader/>
          <w:tblCellSpacing w:w="15" w:type="dxa"/>
        </w:trPr>
        <w:tc>
          <w:tcPr>
            <w:tcW w:w="0" w:type="auto"/>
            <w:vAlign w:val="center"/>
            <w:hideMark/>
          </w:tcPr>
          <w:p w14:paraId="280615ED" w14:textId="77777777" w:rsidR="00064FD3" w:rsidRPr="00064FD3" w:rsidRDefault="00064FD3" w:rsidP="00064FD3">
            <w:pPr>
              <w:rPr>
                <w:rFonts w:ascii="Roboto Mono" w:hAnsi="Roboto Mono"/>
                <w:b/>
                <w:bCs/>
              </w:rPr>
            </w:pPr>
            <w:r w:rsidRPr="00064FD3">
              <w:rPr>
                <w:rFonts w:ascii="Roboto Mono" w:hAnsi="Roboto Mono"/>
                <w:b/>
                <w:bCs/>
              </w:rPr>
              <w:t>Aspect</w:t>
            </w:r>
          </w:p>
        </w:tc>
        <w:tc>
          <w:tcPr>
            <w:tcW w:w="0" w:type="auto"/>
            <w:vAlign w:val="center"/>
            <w:hideMark/>
          </w:tcPr>
          <w:p w14:paraId="0C83DA3A" w14:textId="77777777" w:rsidR="00064FD3" w:rsidRPr="00064FD3" w:rsidRDefault="00064FD3" w:rsidP="00064FD3">
            <w:pPr>
              <w:rPr>
                <w:rFonts w:ascii="Roboto Mono" w:hAnsi="Roboto Mono"/>
                <w:b/>
                <w:bCs/>
              </w:rPr>
            </w:pPr>
            <w:r w:rsidRPr="00064FD3">
              <w:rPr>
                <w:rFonts w:ascii="Roboto Mono" w:hAnsi="Roboto Mono"/>
                <w:b/>
                <w:bCs/>
              </w:rPr>
              <w:t>Details</w:t>
            </w:r>
          </w:p>
        </w:tc>
      </w:tr>
      <w:tr w:rsidR="00064FD3" w:rsidRPr="00064FD3" w14:paraId="19CDC5FB" w14:textId="77777777">
        <w:trPr>
          <w:tblCellSpacing w:w="15" w:type="dxa"/>
        </w:trPr>
        <w:tc>
          <w:tcPr>
            <w:tcW w:w="0" w:type="auto"/>
            <w:vAlign w:val="center"/>
            <w:hideMark/>
          </w:tcPr>
          <w:p w14:paraId="6EF838E2" w14:textId="77777777" w:rsidR="00064FD3" w:rsidRPr="00064FD3" w:rsidRDefault="00064FD3" w:rsidP="00064FD3">
            <w:pPr>
              <w:rPr>
                <w:rFonts w:ascii="Roboto Mono" w:hAnsi="Roboto Mono"/>
              </w:rPr>
            </w:pPr>
            <w:r w:rsidRPr="00064FD3">
              <w:rPr>
                <w:rFonts w:ascii="Roboto Mono" w:hAnsi="Roboto Mono"/>
                <w:b/>
                <w:bCs/>
              </w:rPr>
              <w:t>Name</w:t>
            </w:r>
          </w:p>
        </w:tc>
        <w:tc>
          <w:tcPr>
            <w:tcW w:w="0" w:type="auto"/>
            <w:vAlign w:val="center"/>
            <w:hideMark/>
          </w:tcPr>
          <w:p w14:paraId="43AB32EF" w14:textId="77777777" w:rsidR="00064FD3" w:rsidRPr="00064FD3" w:rsidRDefault="00064FD3" w:rsidP="00064FD3">
            <w:pPr>
              <w:rPr>
                <w:rFonts w:ascii="Roboto Mono" w:hAnsi="Roboto Mono"/>
              </w:rPr>
            </w:pPr>
            <w:r w:rsidRPr="00064FD3">
              <w:rPr>
                <w:rFonts w:ascii="Roboto Mono" w:hAnsi="Roboto Mono"/>
              </w:rPr>
              <w:t>Branch Education</w:t>
            </w:r>
          </w:p>
        </w:tc>
      </w:tr>
      <w:tr w:rsidR="00064FD3" w:rsidRPr="00064FD3" w14:paraId="5F07CB2D" w14:textId="77777777">
        <w:trPr>
          <w:tblCellSpacing w:w="15" w:type="dxa"/>
        </w:trPr>
        <w:tc>
          <w:tcPr>
            <w:tcW w:w="0" w:type="auto"/>
            <w:vAlign w:val="center"/>
            <w:hideMark/>
          </w:tcPr>
          <w:p w14:paraId="0630E8C8" w14:textId="77777777" w:rsidR="00064FD3" w:rsidRPr="00064FD3" w:rsidRDefault="00064FD3" w:rsidP="00064FD3">
            <w:pPr>
              <w:rPr>
                <w:rFonts w:ascii="Roboto Mono" w:hAnsi="Roboto Mono"/>
              </w:rPr>
            </w:pPr>
            <w:r w:rsidRPr="00064FD3">
              <w:rPr>
                <w:rFonts w:ascii="Roboto Mono" w:hAnsi="Roboto Mono"/>
                <w:b/>
                <w:bCs/>
              </w:rPr>
              <w:t>Founder</w:t>
            </w:r>
          </w:p>
        </w:tc>
        <w:tc>
          <w:tcPr>
            <w:tcW w:w="0" w:type="auto"/>
            <w:vAlign w:val="center"/>
            <w:hideMark/>
          </w:tcPr>
          <w:p w14:paraId="1D5EF5C8" w14:textId="77777777" w:rsidR="00064FD3" w:rsidRPr="00064FD3" w:rsidRDefault="00064FD3" w:rsidP="00064FD3">
            <w:pPr>
              <w:rPr>
                <w:rFonts w:ascii="Roboto Mono" w:hAnsi="Roboto Mono"/>
              </w:rPr>
            </w:pPr>
            <w:r w:rsidRPr="00064FD3">
              <w:rPr>
                <w:rFonts w:ascii="Roboto Mono" w:hAnsi="Roboto Mono"/>
              </w:rPr>
              <w:t>Teddy Tablante</w:t>
            </w:r>
          </w:p>
        </w:tc>
      </w:tr>
      <w:tr w:rsidR="00064FD3" w:rsidRPr="00064FD3" w14:paraId="2625CE93" w14:textId="77777777">
        <w:trPr>
          <w:tblCellSpacing w:w="15" w:type="dxa"/>
        </w:trPr>
        <w:tc>
          <w:tcPr>
            <w:tcW w:w="0" w:type="auto"/>
            <w:vAlign w:val="center"/>
            <w:hideMark/>
          </w:tcPr>
          <w:p w14:paraId="490A6F2A" w14:textId="77777777" w:rsidR="00064FD3" w:rsidRPr="00064FD3" w:rsidRDefault="00064FD3" w:rsidP="00064FD3">
            <w:pPr>
              <w:rPr>
                <w:rFonts w:ascii="Roboto Mono" w:hAnsi="Roboto Mono"/>
              </w:rPr>
            </w:pPr>
            <w:r w:rsidRPr="00064FD3">
              <w:rPr>
                <w:rFonts w:ascii="Roboto Mono" w:hAnsi="Roboto Mono"/>
                <w:b/>
                <w:bCs/>
              </w:rPr>
              <w:t>Content Focus</w:t>
            </w:r>
          </w:p>
        </w:tc>
        <w:tc>
          <w:tcPr>
            <w:tcW w:w="0" w:type="auto"/>
            <w:vAlign w:val="center"/>
            <w:hideMark/>
          </w:tcPr>
          <w:p w14:paraId="305774BA" w14:textId="77777777" w:rsidR="00064FD3" w:rsidRPr="00064FD3" w:rsidRDefault="00064FD3" w:rsidP="00064FD3">
            <w:pPr>
              <w:rPr>
                <w:rFonts w:ascii="Roboto Mono" w:hAnsi="Roboto Mono"/>
              </w:rPr>
            </w:pPr>
            <w:r w:rsidRPr="00064FD3">
              <w:rPr>
                <w:rFonts w:ascii="Roboto Mono" w:hAnsi="Roboto Mono"/>
              </w:rPr>
              <w:t>Engineering and science concepts illuminated with accurate models and visualized physics</w:t>
            </w:r>
          </w:p>
        </w:tc>
      </w:tr>
      <w:tr w:rsidR="00064FD3" w:rsidRPr="00064FD3" w14:paraId="06698E82" w14:textId="77777777">
        <w:trPr>
          <w:tblCellSpacing w:w="15" w:type="dxa"/>
        </w:trPr>
        <w:tc>
          <w:tcPr>
            <w:tcW w:w="0" w:type="auto"/>
            <w:vAlign w:val="center"/>
            <w:hideMark/>
          </w:tcPr>
          <w:p w14:paraId="1372B06D" w14:textId="77777777" w:rsidR="00064FD3" w:rsidRPr="00064FD3" w:rsidRDefault="00064FD3" w:rsidP="00064FD3">
            <w:pPr>
              <w:rPr>
                <w:rFonts w:ascii="Roboto Mono" w:hAnsi="Roboto Mono"/>
              </w:rPr>
            </w:pPr>
            <w:r w:rsidRPr="00064FD3">
              <w:rPr>
                <w:rFonts w:ascii="Roboto Mono" w:hAnsi="Roboto Mono"/>
                <w:b/>
                <w:bCs/>
              </w:rPr>
              <w:t>Educational Approach</w:t>
            </w:r>
          </w:p>
        </w:tc>
        <w:tc>
          <w:tcPr>
            <w:tcW w:w="0" w:type="auto"/>
            <w:vAlign w:val="center"/>
            <w:hideMark/>
          </w:tcPr>
          <w:p w14:paraId="31E702F7" w14:textId="77777777" w:rsidR="00064FD3" w:rsidRPr="00064FD3" w:rsidRDefault="00064FD3" w:rsidP="00064FD3">
            <w:pPr>
              <w:rPr>
                <w:rFonts w:ascii="Roboto Mono" w:hAnsi="Roboto Mono"/>
              </w:rPr>
            </w:pPr>
            <w:r w:rsidRPr="00064FD3">
              <w:rPr>
                <w:rFonts w:ascii="Roboto Mono" w:hAnsi="Roboto Mono"/>
              </w:rPr>
              <w:t>"Branched" structure exploring subcomponents of broader systems</w:t>
            </w:r>
          </w:p>
        </w:tc>
      </w:tr>
      <w:tr w:rsidR="00064FD3" w:rsidRPr="00064FD3" w14:paraId="2AEB58EB" w14:textId="77777777">
        <w:trPr>
          <w:tblCellSpacing w:w="15" w:type="dxa"/>
        </w:trPr>
        <w:tc>
          <w:tcPr>
            <w:tcW w:w="0" w:type="auto"/>
            <w:vAlign w:val="center"/>
            <w:hideMark/>
          </w:tcPr>
          <w:p w14:paraId="1A8CBD5D" w14:textId="77777777" w:rsidR="00064FD3" w:rsidRPr="00064FD3" w:rsidRDefault="00064FD3" w:rsidP="00064FD3">
            <w:pPr>
              <w:rPr>
                <w:rFonts w:ascii="Roboto Mono" w:hAnsi="Roboto Mono"/>
              </w:rPr>
            </w:pPr>
            <w:r w:rsidRPr="00064FD3">
              <w:rPr>
                <w:rFonts w:ascii="Roboto Mono" w:hAnsi="Roboto Mono"/>
                <w:b/>
                <w:bCs/>
              </w:rPr>
              <w:t>Languages Offered</w:t>
            </w:r>
          </w:p>
        </w:tc>
        <w:tc>
          <w:tcPr>
            <w:tcW w:w="0" w:type="auto"/>
            <w:vAlign w:val="center"/>
            <w:hideMark/>
          </w:tcPr>
          <w:p w14:paraId="24494BBD" w14:textId="77777777" w:rsidR="00064FD3" w:rsidRPr="00064FD3" w:rsidRDefault="00064FD3" w:rsidP="00064FD3">
            <w:pPr>
              <w:rPr>
                <w:rFonts w:ascii="Roboto Mono" w:hAnsi="Roboto Mono"/>
              </w:rPr>
            </w:pPr>
            <w:r w:rsidRPr="00064FD3">
              <w:rPr>
                <w:rFonts w:ascii="Roboto Mono" w:hAnsi="Roboto Mono"/>
              </w:rPr>
              <w:t>Russian, Arabic, Hindi, Chinese</w:t>
            </w:r>
          </w:p>
        </w:tc>
      </w:tr>
      <w:tr w:rsidR="00064FD3" w:rsidRPr="00064FD3" w14:paraId="0154A2D1" w14:textId="77777777">
        <w:trPr>
          <w:tblCellSpacing w:w="15" w:type="dxa"/>
        </w:trPr>
        <w:tc>
          <w:tcPr>
            <w:tcW w:w="0" w:type="auto"/>
            <w:vAlign w:val="center"/>
            <w:hideMark/>
          </w:tcPr>
          <w:p w14:paraId="21BEFF3F" w14:textId="77777777" w:rsidR="00064FD3" w:rsidRPr="00064FD3" w:rsidRDefault="00064FD3" w:rsidP="00064FD3">
            <w:pPr>
              <w:rPr>
                <w:rFonts w:ascii="Roboto Mono" w:hAnsi="Roboto Mono"/>
              </w:rPr>
            </w:pPr>
            <w:r w:rsidRPr="00064FD3">
              <w:rPr>
                <w:rFonts w:ascii="Roboto Mono" w:hAnsi="Roboto Mono"/>
                <w:b/>
                <w:bCs/>
              </w:rPr>
              <w:lastRenderedPageBreak/>
              <w:t>Primary Platform</w:t>
            </w:r>
          </w:p>
        </w:tc>
        <w:tc>
          <w:tcPr>
            <w:tcW w:w="0" w:type="auto"/>
            <w:vAlign w:val="center"/>
            <w:hideMark/>
          </w:tcPr>
          <w:p w14:paraId="3752DF7D" w14:textId="77777777" w:rsidR="00064FD3" w:rsidRPr="00064FD3" w:rsidRDefault="00064FD3" w:rsidP="00064FD3">
            <w:pPr>
              <w:rPr>
                <w:rFonts w:ascii="Roboto Mono" w:hAnsi="Roboto Mono"/>
              </w:rPr>
            </w:pPr>
            <w:hyperlink r:id="rId11" w:history="1">
              <w:proofErr w:type="spellStart"/>
              <w:proofErr w:type="gramStart"/>
              <w:r w:rsidRPr="00064FD3">
                <w:rPr>
                  <w:rStyle w:val="Hyperlink"/>
                  <w:rFonts w:ascii="Roboto Mono" w:hAnsi="Roboto Mono"/>
                </w:rPr>
                <w:t>branch.education</w:t>
              </w:r>
              <w:proofErr w:type="spellEnd"/>
              <w:proofErr w:type="gramEnd"/>
            </w:hyperlink>
          </w:p>
        </w:tc>
      </w:tr>
    </w:tbl>
    <w:p w14:paraId="26F6EEB0" w14:textId="77777777" w:rsidR="00064FD3" w:rsidRPr="00064FD3" w:rsidRDefault="00064FD3" w:rsidP="00064FD3">
      <w:r w:rsidRPr="00064FD3">
        <w:pict w14:anchorId="70768832">
          <v:rect id="_x0000_i1058" style="width:0;height:1.5pt" o:hralign="center" o:hrstd="t" o:hr="t" fillcolor="#a0a0a0" stroked="f"/>
        </w:pict>
      </w:r>
    </w:p>
    <w:p w14:paraId="6A2FA9B5" w14:textId="77777777" w:rsidR="00064FD3" w:rsidRPr="00064FD3" w:rsidRDefault="00064FD3" w:rsidP="00064FD3">
      <w:pPr>
        <w:rPr>
          <w:rFonts w:ascii="Roboto Mono" w:hAnsi="Roboto Mono"/>
        </w:rPr>
      </w:pPr>
      <w:r w:rsidRPr="00064FD3">
        <w:rPr>
          <w:rFonts w:ascii="Roboto Mono" w:hAnsi="Roboto Mono"/>
        </w:rPr>
        <w:t>Branch Education stands out for its commitment to making complex topics accessible and engaging, encouraging viewers to explore and understand the intricacies of the world through a structured and visual approach.</w:t>
      </w:r>
    </w:p>
    <w:p w14:paraId="15965D2F" w14:textId="77777777" w:rsidR="00064FD3" w:rsidRPr="00064FD3" w:rsidRDefault="00064FD3" w:rsidP="00064FD3"/>
    <w:sectPr w:rsidR="00064FD3" w:rsidRPr="0006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5492"/>
    <w:multiLevelType w:val="multilevel"/>
    <w:tmpl w:val="463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7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C6"/>
    <w:rsid w:val="00064FD3"/>
    <w:rsid w:val="00274B5B"/>
    <w:rsid w:val="002D1F4F"/>
    <w:rsid w:val="00711B4D"/>
    <w:rsid w:val="008804E3"/>
    <w:rsid w:val="008952B3"/>
    <w:rsid w:val="008D76C6"/>
    <w:rsid w:val="00A70480"/>
    <w:rsid w:val="00CA5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F3F9"/>
  <w15:chartTrackingRefBased/>
  <w15:docId w15:val="{C2D677DF-AC0C-412F-8883-63E64083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E3"/>
  </w:style>
  <w:style w:type="paragraph" w:styleId="Heading1">
    <w:name w:val="heading 1"/>
    <w:basedOn w:val="Normal"/>
    <w:next w:val="Normal"/>
    <w:link w:val="Heading1Char"/>
    <w:uiPriority w:val="9"/>
    <w:qFormat/>
    <w:rsid w:val="008D7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7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7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C6"/>
    <w:rPr>
      <w:rFonts w:eastAsiaTheme="majorEastAsia" w:cstheme="majorBidi"/>
      <w:color w:val="272727" w:themeColor="text1" w:themeTint="D8"/>
    </w:rPr>
  </w:style>
  <w:style w:type="paragraph" w:styleId="Title">
    <w:name w:val="Title"/>
    <w:basedOn w:val="Normal"/>
    <w:next w:val="Normal"/>
    <w:link w:val="TitleChar"/>
    <w:uiPriority w:val="10"/>
    <w:qFormat/>
    <w:rsid w:val="008D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C6"/>
    <w:pPr>
      <w:spacing w:before="160"/>
      <w:jc w:val="center"/>
    </w:pPr>
    <w:rPr>
      <w:i/>
      <w:iCs/>
      <w:color w:val="404040" w:themeColor="text1" w:themeTint="BF"/>
    </w:rPr>
  </w:style>
  <w:style w:type="character" w:customStyle="1" w:styleId="QuoteChar">
    <w:name w:val="Quote Char"/>
    <w:basedOn w:val="DefaultParagraphFont"/>
    <w:link w:val="Quote"/>
    <w:uiPriority w:val="29"/>
    <w:rsid w:val="008D76C6"/>
    <w:rPr>
      <w:i/>
      <w:iCs/>
      <w:color w:val="404040" w:themeColor="text1" w:themeTint="BF"/>
    </w:rPr>
  </w:style>
  <w:style w:type="paragraph" w:styleId="ListParagraph">
    <w:name w:val="List Paragraph"/>
    <w:basedOn w:val="Normal"/>
    <w:uiPriority w:val="34"/>
    <w:qFormat/>
    <w:rsid w:val="008D76C6"/>
    <w:pPr>
      <w:ind w:left="720"/>
      <w:contextualSpacing/>
    </w:pPr>
  </w:style>
  <w:style w:type="character" w:styleId="IntenseEmphasis">
    <w:name w:val="Intense Emphasis"/>
    <w:basedOn w:val="DefaultParagraphFont"/>
    <w:uiPriority w:val="21"/>
    <w:qFormat/>
    <w:rsid w:val="008D76C6"/>
    <w:rPr>
      <w:i/>
      <w:iCs/>
      <w:color w:val="2F5496" w:themeColor="accent1" w:themeShade="BF"/>
    </w:rPr>
  </w:style>
  <w:style w:type="paragraph" w:styleId="IntenseQuote">
    <w:name w:val="Intense Quote"/>
    <w:basedOn w:val="Normal"/>
    <w:next w:val="Normal"/>
    <w:link w:val="IntenseQuoteChar"/>
    <w:uiPriority w:val="30"/>
    <w:qFormat/>
    <w:rsid w:val="008D7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6C6"/>
    <w:rPr>
      <w:i/>
      <w:iCs/>
      <w:color w:val="2F5496" w:themeColor="accent1" w:themeShade="BF"/>
    </w:rPr>
  </w:style>
  <w:style w:type="character" w:styleId="IntenseReference">
    <w:name w:val="Intense Reference"/>
    <w:basedOn w:val="DefaultParagraphFont"/>
    <w:uiPriority w:val="32"/>
    <w:qFormat/>
    <w:rsid w:val="008D76C6"/>
    <w:rPr>
      <w:b/>
      <w:bCs/>
      <w:smallCaps/>
      <w:color w:val="2F5496" w:themeColor="accent1" w:themeShade="BF"/>
      <w:spacing w:val="5"/>
    </w:rPr>
  </w:style>
  <w:style w:type="character" w:styleId="Hyperlink">
    <w:name w:val="Hyperlink"/>
    <w:basedOn w:val="DefaultParagraphFont"/>
    <w:uiPriority w:val="99"/>
    <w:unhideWhenUsed/>
    <w:rsid w:val="00064FD3"/>
    <w:rPr>
      <w:color w:val="0563C1" w:themeColor="hyperlink"/>
      <w:u w:val="single"/>
    </w:rPr>
  </w:style>
  <w:style w:type="character" w:styleId="UnresolvedMention">
    <w:name w:val="Unresolved Mention"/>
    <w:basedOn w:val="DefaultParagraphFont"/>
    <w:uiPriority w:val="99"/>
    <w:semiHidden/>
    <w:unhideWhenUsed/>
    <w:rsid w:val="00064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rntoengineer.com/top-engineering-videos-branch-education?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nch.education/?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nch.education/" TargetMode="External"/><Relationship Id="rId11" Type="http://schemas.openxmlformats.org/officeDocument/2006/relationships/hyperlink" Target="https://branch.education/"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ranch.education/the-pla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7</cp:revision>
  <dcterms:created xsi:type="dcterms:W3CDTF">2025-08-27T09:55:00Z</dcterms:created>
  <dcterms:modified xsi:type="dcterms:W3CDTF">2025-08-27T10:00:00Z</dcterms:modified>
</cp:coreProperties>
</file>