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0F229" w14:textId="5EACE24C" w:rsidR="00A70480" w:rsidRDefault="00427EE1" w:rsidP="00427EE1">
      <w:pPr>
        <w:pStyle w:val="Heading1"/>
      </w:pPr>
      <w:r w:rsidRPr="00427EE1">
        <w:t>Gaming Gambler</w:t>
      </w:r>
    </w:p>
    <w:p w14:paraId="34AD836E" w14:textId="7328FEAA" w:rsidR="00427EE1" w:rsidRDefault="00427EE1" w:rsidP="00427EE1">
      <w:pPr>
        <w:pStyle w:val="Heading2"/>
      </w:pPr>
      <w:bookmarkStart w:id="0" w:name="_Hlk207184382"/>
      <w:r w:rsidRPr="00427EE1">
        <w:t>Definition</w:t>
      </w:r>
    </w:p>
    <w:p w14:paraId="7EBC1715" w14:textId="6429DDE1" w:rsidR="00427EE1" w:rsidRDefault="00427EE1" w:rsidP="00427EE1">
      <w:pPr>
        <w:spacing w:before="240" w:after="240"/>
        <w:rPr>
          <w:b/>
          <w:sz w:val="14"/>
          <w:szCs w:val="14"/>
          <w:shd w:val="clear" w:color="auto" w:fill="B7B7B7"/>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[8/27/2025]</w:t>
      </w:r>
    </w:p>
    <w:bookmarkEnd w:id="0"/>
    <w:p w14:paraId="311E0F5C" w14:textId="1C6963B6" w:rsidR="00C27CBC" w:rsidRDefault="00C27CBC" w:rsidP="00C27CBC">
      <w:r>
        <w:rPr>
          <w:noProof/>
        </w:rPr>
        <w:drawing>
          <wp:inline distT="0" distB="0" distL="0" distR="0" wp14:anchorId="1222F371" wp14:editId="4C13B6AB">
            <wp:extent cx="5943600" cy="1031875"/>
            <wp:effectExtent l="0" t="0" r="0" b="0"/>
            <wp:docPr id="171538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83999" name=""/>
                    <pic:cNvPicPr/>
                  </pic:nvPicPr>
                  <pic:blipFill>
                    <a:blip r:embed="rId5"/>
                    <a:stretch>
                      <a:fillRect/>
                    </a:stretch>
                  </pic:blipFill>
                  <pic:spPr>
                    <a:xfrm>
                      <a:off x="0" y="0"/>
                      <a:ext cx="5943600" cy="1031875"/>
                    </a:xfrm>
                    <a:prstGeom prst="rect">
                      <a:avLst/>
                    </a:prstGeom>
                  </pic:spPr>
                </pic:pic>
              </a:graphicData>
            </a:graphic>
          </wp:inline>
        </w:drawing>
      </w:r>
    </w:p>
    <w:p w14:paraId="2BFA0EB5" w14:textId="25470881" w:rsidR="00C27CBC" w:rsidRPr="00C27CBC" w:rsidRDefault="00C27CBC" w:rsidP="00C27CBC">
      <w:pPr>
        <w:rPr>
          <w:rFonts w:ascii="Roboto Mono" w:hAnsi="Roboto Mono"/>
        </w:rPr>
      </w:pPr>
      <w:r w:rsidRPr="00C27CBC">
        <w:rPr>
          <w:rFonts w:ascii="Roboto Mono" w:hAnsi="Roboto Mono"/>
        </w:rPr>
        <w:t xml:space="preserve">The </w:t>
      </w:r>
      <w:r w:rsidRPr="00C27CBC">
        <w:rPr>
          <w:rFonts w:ascii="Roboto Mono" w:hAnsi="Roboto Mono"/>
          <w:b/>
          <w:bCs/>
        </w:rPr>
        <w:t>Gaming Gambler</w:t>
      </w:r>
      <w:r w:rsidRPr="00C27CBC">
        <w:rPr>
          <w:rFonts w:ascii="Roboto Mono" w:hAnsi="Roboto Mono"/>
        </w:rPr>
        <w:t xml:space="preserve"> is a YouTube channel that delves into the world of casino gaming, focusing on strategies, tips, and insights to help viewers navigate various casino games effectively. The channel provides content aimed at both novice and experienced gamblers, offering a blend of entertainment and educational material.</w:t>
      </w:r>
    </w:p>
    <w:p w14:paraId="3312FCF0" w14:textId="77777777" w:rsidR="00C27CBC" w:rsidRPr="00C27CBC" w:rsidRDefault="00C27CBC" w:rsidP="00C27CBC">
      <w:r w:rsidRPr="00C27CBC">
        <w:pict w14:anchorId="541EFBB7">
          <v:rect id="_x0000_i1163" style="width:0;height:1.5pt" o:hralign="center" o:hrstd="t" o:hr="t" fillcolor="#a0a0a0" stroked="f"/>
        </w:pict>
      </w:r>
    </w:p>
    <w:p w14:paraId="7A7E4C17" w14:textId="250B4B2D" w:rsidR="00C27CBC" w:rsidRDefault="00C27CBC" w:rsidP="00C27CBC">
      <w:pPr>
        <w:pStyle w:val="Heading2"/>
      </w:pPr>
      <w:r w:rsidRPr="00C27CBC">
        <w:t>Key Highlights</w:t>
      </w:r>
    </w:p>
    <w:p w14:paraId="4C0A7077" w14:textId="55D2815E" w:rsidR="00C27CBC" w:rsidRPr="00C27CBC" w:rsidRDefault="00C27CBC" w:rsidP="00C27CBC">
      <w:pPr>
        <w:spacing w:before="240" w:after="240"/>
        <w:rPr>
          <w:b/>
          <w:sz w:val="14"/>
          <w:szCs w:val="14"/>
          <w:shd w:val="clear" w:color="auto" w:fill="B7B7B7"/>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[8/27/2025]</w:t>
      </w:r>
    </w:p>
    <w:p w14:paraId="5A3A0471" w14:textId="77777777" w:rsidR="00C27CBC" w:rsidRPr="00C27CBC" w:rsidRDefault="00C27CBC" w:rsidP="00C27CBC">
      <w:pPr>
        <w:numPr>
          <w:ilvl w:val="0"/>
          <w:numId w:val="4"/>
        </w:numPr>
        <w:rPr>
          <w:rFonts w:ascii="Roboto Mono" w:hAnsi="Roboto Mono"/>
        </w:rPr>
      </w:pPr>
      <w:r w:rsidRPr="00C27CBC">
        <w:rPr>
          <w:rFonts w:ascii="Roboto Mono" w:hAnsi="Roboto Mono"/>
          <w:b/>
          <w:bCs/>
        </w:rPr>
        <w:t>Content Focus</w:t>
      </w:r>
      <w:r w:rsidRPr="00C27CBC">
        <w:rPr>
          <w:rFonts w:ascii="Roboto Mono" w:hAnsi="Roboto Mono"/>
        </w:rPr>
        <w:t>: The channel covers a range of casino games, including slots, blackjack, and roulette, providing viewers with strategies and tips to enhance their gaming experience.</w:t>
      </w:r>
    </w:p>
    <w:p w14:paraId="7EC94714" w14:textId="77777777" w:rsidR="00C27CBC" w:rsidRPr="00C27CBC" w:rsidRDefault="00C27CBC" w:rsidP="00C27CBC">
      <w:pPr>
        <w:numPr>
          <w:ilvl w:val="0"/>
          <w:numId w:val="4"/>
        </w:numPr>
        <w:rPr>
          <w:rFonts w:ascii="Roboto Mono" w:hAnsi="Roboto Mono"/>
        </w:rPr>
      </w:pPr>
      <w:r w:rsidRPr="00C27CBC">
        <w:rPr>
          <w:rFonts w:ascii="Roboto Mono" w:hAnsi="Roboto Mono"/>
          <w:b/>
          <w:bCs/>
        </w:rPr>
        <w:t>Educational Approach</w:t>
      </w:r>
      <w:r w:rsidRPr="00C27CBC">
        <w:rPr>
          <w:rFonts w:ascii="Roboto Mono" w:hAnsi="Roboto Mono"/>
        </w:rPr>
        <w:t>: Content is designed to educate viewers on the nuances of casino gaming, helping them understand the odds, strategies, and best practices to improve their chances of success.</w:t>
      </w:r>
    </w:p>
    <w:p w14:paraId="0AB8B6EA" w14:textId="77777777" w:rsidR="00C27CBC" w:rsidRPr="00C27CBC" w:rsidRDefault="00C27CBC" w:rsidP="00C27CBC">
      <w:pPr>
        <w:numPr>
          <w:ilvl w:val="0"/>
          <w:numId w:val="4"/>
        </w:numPr>
        <w:rPr>
          <w:rFonts w:ascii="Roboto Mono" w:hAnsi="Roboto Mono"/>
        </w:rPr>
      </w:pPr>
      <w:r w:rsidRPr="00C27CBC">
        <w:rPr>
          <w:rFonts w:ascii="Roboto Mono" w:hAnsi="Roboto Mono"/>
          <w:b/>
          <w:bCs/>
        </w:rPr>
        <w:t>Entertainment Value</w:t>
      </w:r>
      <w:r w:rsidRPr="00C27CBC">
        <w:rPr>
          <w:rFonts w:ascii="Roboto Mono" w:hAnsi="Roboto Mono"/>
        </w:rPr>
        <w:t>: While educational, the channel also aims to entertain, featuring engaging content that keeps viewers interested and coming back for more.</w:t>
      </w:r>
    </w:p>
    <w:p w14:paraId="6B4DF12B" w14:textId="77777777" w:rsidR="00C27CBC" w:rsidRPr="00C27CBC" w:rsidRDefault="00C27CBC" w:rsidP="00C27CBC">
      <w:pPr>
        <w:numPr>
          <w:ilvl w:val="0"/>
          <w:numId w:val="4"/>
        </w:numPr>
        <w:rPr>
          <w:rFonts w:ascii="Roboto Mono" w:hAnsi="Roboto Mono"/>
        </w:rPr>
      </w:pPr>
      <w:r w:rsidRPr="00C27CBC">
        <w:rPr>
          <w:rFonts w:ascii="Roboto Mono" w:hAnsi="Roboto Mono"/>
          <w:b/>
          <w:bCs/>
        </w:rPr>
        <w:lastRenderedPageBreak/>
        <w:t>Community Engagement</w:t>
      </w:r>
      <w:r w:rsidRPr="00C27CBC">
        <w:rPr>
          <w:rFonts w:ascii="Roboto Mono" w:hAnsi="Roboto Mono"/>
        </w:rPr>
        <w:t>: The Gaming Gambler fosters a community of like-minded individuals interested in casino gaming, encouraging discussions and sharing of experiences among viewers.(</w:t>
      </w:r>
      <w:hyperlink r:id="rId6" w:tooltip="Vegas Matt" w:history="1">
        <w:r w:rsidRPr="00C27CBC">
          <w:rPr>
            <w:rStyle w:val="Hyperlink"/>
            <w:rFonts w:ascii="Roboto Mono" w:hAnsi="Roboto Mono"/>
          </w:rPr>
          <w:t>en.wikipedia.org</w:t>
        </w:r>
      </w:hyperlink>
      <w:r w:rsidRPr="00C27CBC">
        <w:rPr>
          <w:rFonts w:ascii="Roboto Mono" w:hAnsi="Roboto Mono"/>
        </w:rPr>
        <w:t>)</w:t>
      </w:r>
    </w:p>
    <w:p w14:paraId="2829E75F" w14:textId="77777777" w:rsidR="00C27CBC" w:rsidRPr="00C27CBC" w:rsidRDefault="00C27CBC" w:rsidP="00C27CBC">
      <w:r w:rsidRPr="00C27CBC">
        <w:pict w14:anchorId="43AB6E5A">
          <v:rect id="_x0000_i1164" style="width:0;height:1.5pt" o:hralign="center" o:hrstd="t" o:hr="t" fillcolor="#a0a0a0" stroked="f"/>
        </w:pict>
      </w:r>
    </w:p>
    <w:p w14:paraId="6A9DFEF3" w14:textId="4FABBEE0" w:rsidR="00C27CBC" w:rsidRDefault="00C27CBC" w:rsidP="00C27CBC">
      <w:pPr>
        <w:pStyle w:val="Heading2"/>
      </w:pPr>
      <w:r w:rsidRPr="00C27CBC">
        <w:t>Summary Table</w:t>
      </w:r>
    </w:p>
    <w:p w14:paraId="59AC7BB1" w14:textId="77777777" w:rsidR="00C27CBC" w:rsidRDefault="00C27CBC" w:rsidP="00C27CBC">
      <w:pPr>
        <w:spacing w:before="240" w:after="240"/>
        <w:rPr>
          <w:b/>
          <w:sz w:val="14"/>
          <w:szCs w:val="14"/>
          <w:shd w:val="clear" w:color="auto" w:fill="B7B7B7"/>
        </w:rPr>
      </w:pPr>
      <w:bookmarkStart w:id="1" w:name="_Hlk207184375"/>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[8/27/2025]</w:t>
      </w:r>
    </w:p>
    <w:bookmarkEnd w:id="1"/>
    <w:p w14:paraId="7D44F65E" w14:textId="565AF364" w:rsidR="00C27CBC" w:rsidRPr="00C27CBC" w:rsidRDefault="00C27CBC" w:rsidP="00C27CBC">
      <w:r>
        <w:rPr>
          <w:noProof/>
        </w:rPr>
        <w:drawing>
          <wp:inline distT="0" distB="0" distL="0" distR="0" wp14:anchorId="7A381526" wp14:editId="5E476038">
            <wp:extent cx="5943600" cy="2439670"/>
            <wp:effectExtent l="0" t="0" r="0" b="0"/>
            <wp:docPr id="41986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62596" name=""/>
                    <pic:cNvPicPr/>
                  </pic:nvPicPr>
                  <pic:blipFill>
                    <a:blip r:embed="rId7"/>
                    <a:stretch>
                      <a:fillRect/>
                    </a:stretch>
                  </pic:blipFill>
                  <pic:spPr>
                    <a:xfrm>
                      <a:off x="0" y="0"/>
                      <a:ext cx="5943600" cy="243967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6883"/>
      </w:tblGrid>
      <w:tr w:rsidR="00C27CBC" w:rsidRPr="00C27CBC" w14:paraId="47F58BDF" w14:textId="77777777">
        <w:trPr>
          <w:tblHeader/>
          <w:tblCellSpacing w:w="15" w:type="dxa"/>
        </w:trPr>
        <w:tc>
          <w:tcPr>
            <w:tcW w:w="0" w:type="auto"/>
            <w:vAlign w:val="center"/>
            <w:hideMark/>
          </w:tcPr>
          <w:p w14:paraId="4A4AAF81" w14:textId="77777777" w:rsidR="00C27CBC" w:rsidRPr="00C27CBC" w:rsidRDefault="00C27CBC" w:rsidP="00C27CBC">
            <w:pPr>
              <w:rPr>
                <w:rFonts w:ascii="Roboto Mono" w:hAnsi="Roboto Mono"/>
                <w:b/>
                <w:bCs/>
              </w:rPr>
            </w:pPr>
            <w:r w:rsidRPr="00C27CBC">
              <w:rPr>
                <w:rFonts w:ascii="Roboto Mono" w:hAnsi="Roboto Mono"/>
                <w:b/>
                <w:bCs/>
              </w:rPr>
              <w:t>Feature</w:t>
            </w:r>
          </w:p>
        </w:tc>
        <w:tc>
          <w:tcPr>
            <w:tcW w:w="0" w:type="auto"/>
            <w:vAlign w:val="center"/>
            <w:hideMark/>
          </w:tcPr>
          <w:p w14:paraId="2E3BD20A" w14:textId="77777777" w:rsidR="00C27CBC" w:rsidRPr="00C27CBC" w:rsidRDefault="00C27CBC" w:rsidP="00C27CBC">
            <w:pPr>
              <w:rPr>
                <w:rFonts w:ascii="Roboto Mono" w:hAnsi="Roboto Mono"/>
                <w:b/>
                <w:bCs/>
              </w:rPr>
            </w:pPr>
            <w:r w:rsidRPr="00C27CBC">
              <w:rPr>
                <w:rFonts w:ascii="Roboto Mono" w:hAnsi="Roboto Mono"/>
                <w:b/>
                <w:bCs/>
              </w:rPr>
              <w:t>Details</w:t>
            </w:r>
          </w:p>
        </w:tc>
      </w:tr>
      <w:tr w:rsidR="00C27CBC" w:rsidRPr="00C27CBC" w14:paraId="7F844517" w14:textId="77777777">
        <w:trPr>
          <w:tblCellSpacing w:w="15" w:type="dxa"/>
        </w:trPr>
        <w:tc>
          <w:tcPr>
            <w:tcW w:w="0" w:type="auto"/>
            <w:vAlign w:val="center"/>
            <w:hideMark/>
          </w:tcPr>
          <w:p w14:paraId="3203B35E" w14:textId="77777777" w:rsidR="00C27CBC" w:rsidRPr="00C27CBC" w:rsidRDefault="00C27CBC" w:rsidP="00C27CBC">
            <w:pPr>
              <w:rPr>
                <w:rFonts w:ascii="Roboto Mono" w:hAnsi="Roboto Mono"/>
              </w:rPr>
            </w:pPr>
            <w:r w:rsidRPr="00C27CBC">
              <w:rPr>
                <w:rFonts w:ascii="Roboto Mono" w:hAnsi="Roboto Mono"/>
                <w:b/>
                <w:bCs/>
              </w:rPr>
              <w:t>Channel Name</w:t>
            </w:r>
          </w:p>
        </w:tc>
        <w:tc>
          <w:tcPr>
            <w:tcW w:w="0" w:type="auto"/>
            <w:vAlign w:val="center"/>
            <w:hideMark/>
          </w:tcPr>
          <w:p w14:paraId="5304F051" w14:textId="77777777" w:rsidR="00C27CBC" w:rsidRPr="00C27CBC" w:rsidRDefault="00C27CBC" w:rsidP="00C27CBC">
            <w:pPr>
              <w:rPr>
                <w:rFonts w:ascii="Roboto Mono" w:hAnsi="Roboto Mono"/>
              </w:rPr>
            </w:pPr>
            <w:r w:rsidRPr="00C27CBC">
              <w:rPr>
                <w:rFonts w:ascii="Roboto Mono" w:hAnsi="Roboto Mono"/>
              </w:rPr>
              <w:t>Gaming Gambler</w:t>
            </w:r>
          </w:p>
        </w:tc>
      </w:tr>
      <w:tr w:rsidR="00C27CBC" w:rsidRPr="00C27CBC" w14:paraId="2EF6DE69" w14:textId="77777777">
        <w:trPr>
          <w:tblCellSpacing w:w="15" w:type="dxa"/>
        </w:trPr>
        <w:tc>
          <w:tcPr>
            <w:tcW w:w="0" w:type="auto"/>
            <w:vAlign w:val="center"/>
            <w:hideMark/>
          </w:tcPr>
          <w:p w14:paraId="105B7241" w14:textId="77777777" w:rsidR="00C27CBC" w:rsidRPr="00C27CBC" w:rsidRDefault="00C27CBC" w:rsidP="00C27CBC">
            <w:pPr>
              <w:rPr>
                <w:rFonts w:ascii="Roboto Mono" w:hAnsi="Roboto Mono"/>
              </w:rPr>
            </w:pPr>
            <w:r w:rsidRPr="00C27CBC">
              <w:rPr>
                <w:rFonts w:ascii="Roboto Mono" w:hAnsi="Roboto Mono"/>
                <w:b/>
                <w:bCs/>
              </w:rPr>
              <w:t>Content Type</w:t>
            </w:r>
          </w:p>
        </w:tc>
        <w:tc>
          <w:tcPr>
            <w:tcW w:w="0" w:type="auto"/>
            <w:vAlign w:val="center"/>
            <w:hideMark/>
          </w:tcPr>
          <w:p w14:paraId="1F3AD47F" w14:textId="77777777" w:rsidR="00C27CBC" w:rsidRPr="00C27CBC" w:rsidRDefault="00C27CBC" w:rsidP="00C27CBC">
            <w:pPr>
              <w:rPr>
                <w:rFonts w:ascii="Roboto Mono" w:hAnsi="Roboto Mono"/>
              </w:rPr>
            </w:pPr>
            <w:r w:rsidRPr="00C27CBC">
              <w:rPr>
                <w:rFonts w:ascii="Roboto Mono" w:hAnsi="Roboto Mono"/>
              </w:rPr>
              <w:t>Casino game strategies, tips, and entertainment</w:t>
            </w:r>
          </w:p>
        </w:tc>
      </w:tr>
      <w:tr w:rsidR="00C27CBC" w:rsidRPr="00C27CBC" w14:paraId="1C9D6502" w14:textId="77777777">
        <w:trPr>
          <w:tblCellSpacing w:w="15" w:type="dxa"/>
        </w:trPr>
        <w:tc>
          <w:tcPr>
            <w:tcW w:w="0" w:type="auto"/>
            <w:vAlign w:val="center"/>
            <w:hideMark/>
          </w:tcPr>
          <w:p w14:paraId="4FBF268E" w14:textId="77777777" w:rsidR="00C27CBC" w:rsidRPr="00C27CBC" w:rsidRDefault="00C27CBC" w:rsidP="00C27CBC">
            <w:pPr>
              <w:rPr>
                <w:rFonts w:ascii="Roboto Mono" w:hAnsi="Roboto Mono"/>
              </w:rPr>
            </w:pPr>
            <w:r w:rsidRPr="00C27CBC">
              <w:rPr>
                <w:rFonts w:ascii="Roboto Mono" w:hAnsi="Roboto Mono"/>
                <w:b/>
                <w:bCs/>
              </w:rPr>
              <w:t>Target Audience</w:t>
            </w:r>
          </w:p>
        </w:tc>
        <w:tc>
          <w:tcPr>
            <w:tcW w:w="0" w:type="auto"/>
            <w:vAlign w:val="center"/>
            <w:hideMark/>
          </w:tcPr>
          <w:p w14:paraId="7336E934" w14:textId="77777777" w:rsidR="00C27CBC" w:rsidRPr="00C27CBC" w:rsidRDefault="00C27CBC" w:rsidP="00C27CBC">
            <w:pPr>
              <w:rPr>
                <w:rFonts w:ascii="Roboto Mono" w:hAnsi="Roboto Mono"/>
              </w:rPr>
            </w:pPr>
            <w:r w:rsidRPr="00C27CBC">
              <w:rPr>
                <w:rFonts w:ascii="Roboto Mono" w:hAnsi="Roboto Mono"/>
              </w:rPr>
              <w:t>Novice and experienced gamblers</w:t>
            </w:r>
          </w:p>
        </w:tc>
      </w:tr>
      <w:tr w:rsidR="00C27CBC" w:rsidRPr="00C27CBC" w14:paraId="6EC337F3" w14:textId="77777777">
        <w:trPr>
          <w:tblCellSpacing w:w="15" w:type="dxa"/>
        </w:trPr>
        <w:tc>
          <w:tcPr>
            <w:tcW w:w="0" w:type="auto"/>
            <w:vAlign w:val="center"/>
            <w:hideMark/>
          </w:tcPr>
          <w:p w14:paraId="5D38AD9B" w14:textId="77777777" w:rsidR="00C27CBC" w:rsidRPr="00C27CBC" w:rsidRDefault="00C27CBC" w:rsidP="00C27CBC">
            <w:pPr>
              <w:rPr>
                <w:rFonts w:ascii="Roboto Mono" w:hAnsi="Roboto Mono"/>
              </w:rPr>
            </w:pPr>
            <w:r w:rsidRPr="00C27CBC">
              <w:rPr>
                <w:rFonts w:ascii="Roboto Mono" w:hAnsi="Roboto Mono"/>
                <w:b/>
                <w:bCs/>
              </w:rPr>
              <w:t>Primary Focus</w:t>
            </w:r>
          </w:p>
        </w:tc>
        <w:tc>
          <w:tcPr>
            <w:tcW w:w="0" w:type="auto"/>
            <w:vAlign w:val="center"/>
            <w:hideMark/>
          </w:tcPr>
          <w:p w14:paraId="6268EFC5" w14:textId="77777777" w:rsidR="00C27CBC" w:rsidRPr="00C27CBC" w:rsidRDefault="00C27CBC" w:rsidP="00C27CBC">
            <w:pPr>
              <w:rPr>
                <w:rFonts w:ascii="Roboto Mono" w:hAnsi="Roboto Mono"/>
              </w:rPr>
            </w:pPr>
            <w:r w:rsidRPr="00C27CBC">
              <w:rPr>
                <w:rFonts w:ascii="Roboto Mono" w:hAnsi="Roboto Mono"/>
              </w:rPr>
              <w:t>Educating viewers on casino gaming strategies and odds</w:t>
            </w:r>
          </w:p>
        </w:tc>
      </w:tr>
      <w:tr w:rsidR="00C27CBC" w:rsidRPr="00C27CBC" w14:paraId="5F25A6A2" w14:textId="77777777">
        <w:trPr>
          <w:tblCellSpacing w:w="15" w:type="dxa"/>
        </w:trPr>
        <w:tc>
          <w:tcPr>
            <w:tcW w:w="0" w:type="auto"/>
            <w:vAlign w:val="center"/>
            <w:hideMark/>
          </w:tcPr>
          <w:p w14:paraId="524647E2" w14:textId="77777777" w:rsidR="00C27CBC" w:rsidRPr="00C27CBC" w:rsidRDefault="00C27CBC" w:rsidP="00C27CBC">
            <w:pPr>
              <w:rPr>
                <w:rFonts w:ascii="Roboto Mono" w:hAnsi="Roboto Mono"/>
              </w:rPr>
            </w:pPr>
            <w:r w:rsidRPr="00C27CBC">
              <w:rPr>
                <w:rFonts w:ascii="Roboto Mono" w:hAnsi="Roboto Mono"/>
                <w:b/>
                <w:bCs/>
              </w:rPr>
              <w:t>Engagement Style</w:t>
            </w:r>
          </w:p>
        </w:tc>
        <w:tc>
          <w:tcPr>
            <w:tcW w:w="0" w:type="auto"/>
            <w:vAlign w:val="center"/>
            <w:hideMark/>
          </w:tcPr>
          <w:p w14:paraId="6D408470" w14:textId="77777777" w:rsidR="00C27CBC" w:rsidRPr="00C27CBC" w:rsidRDefault="00C27CBC" w:rsidP="00C27CBC">
            <w:pPr>
              <w:rPr>
                <w:rFonts w:ascii="Roboto Mono" w:hAnsi="Roboto Mono"/>
              </w:rPr>
            </w:pPr>
            <w:r w:rsidRPr="00C27CBC">
              <w:rPr>
                <w:rFonts w:ascii="Roboto Mono" w:hAnsi="Roboto Mono"/>
              </w:rPr>
              <w:t>Interactive, fostering community discussions and viewer participation</w:t>
            </w:r>
          </w:p>
        </w:tc>
      </w:tr>
      <w:tr w:rsidR="00C27CBC" w:rsidRPr="00C27CBC" w14:paraId="166BD39E" w14:textId="77777777">
        <w:trPr>
          <w:tblCellSpacing w:w="15" w:type="dxa"/>
        </w:trPr>
        <w:tc>
          <w:tcPr>
            <w:tcW w:w="0" w:type="auto"/>
            <w:vAlign w:val="center"/>
            <w:hideMark/>
          </w:tcPr>
          <w:p w14:paraId="42768F0F" w14:textId="77777777" w:rsidR="00C27CBC" w:rsidRPr="00C27CBC" w:rsidRDefault="00C27CBC" w:rsidP="00C27CBC">
            <w:pPr>
              <w:rPr>
                <w:rFonts w:ascii="Roboto Mono" w:hAnsi="Roboto Mono"/>
              </w:rPr>
            </w:pPr>
            <w:r w:rsidRPr="00C27CBC">
              <w:rPr>
                <w:rFonts w:ascii="Roboto Mono" w:hAnsi="Roboto Mono"/>
                <w:b/>
                <w:bCs/>
              </w:rPr>
              <w:t>Entertainment Level</w:t>
            </w:r>
          </w:p>
        </w:tc>
        <w:tc>
          <w:tcPr>
            <w:tcW w:w="0" w:type="auto"/>
            <w:vAlign w:val="center"/>
            <w:hideMark/>
          </w:tcPr>
          <w:p w14:paraId="595B161A" w14:textId="77777777" w:rsidR="00C27CBC" w:rsidRPr="00C27CBC" w:rsidRDefault="00C27CBC" w:rsidP="00C27CBC">
            <w:pPr>
              <w:rPr>
                <w:rFonts w:ascii="Roboto Mono" w:hAnsi="Roboto Mono"/>
              </w:rPr>
            </w:pPr>
            <w:r w:rsidRPr="00C27CBC">
              <w:rPr>
                <w:rFonts w:ascii="Roboto Mono" w:hAnsi="Roboto Mono"/>
              </w:rPr>
              <w:t>High, combining education with engaging content</w:t>
            </w:r>
          </w:p>
        </w:tc>
      </w:tr>
    </w:tbl>
    <w:p w14:paraId="41A204A7" w14:textId="77777777" w:rsidR="00C27CBC" w:rsidRPr="00C27CBC" w:rsidRDefault="00C27CBC" w:rsidP="00C27CBC">
      <w:r w:rsidRPr="00C27CBC">
        <w:lastRenderedPageBreak/>
        <w:pict w14:anchorId="22B5487E">
          <v:rect id="_x0000_i1165" style="width:0;height:1.5pt" o:hralign="center" o:hrstd="t" o:hr="t" fillcolor="#a0a0a0" stroked="f"/>
        </w:pict>
      </w:r>
    </w:p>
    <w:p w14:paraId="7FC23B36" w14:textId="77777777" w:rsidR="00C27CBC" w:rsidRPr="00C27CBC" w:rsidRDefault="00C27CBC" w:rsidP="00C27CBC"/>
    <w:sectPr w:rsidR="00C27CBC" w:rsidRPr="00C2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740C5"/>
    <w:multiLevelType w:val="multilevel"/>
    <w:tmpl w:val="3298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46184"/>
    <w:multiLevelType w:val="multilevel"/>
    <w:tmpl w:val="AF70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70554"/>
    <w:multiLevelType w:val="multilevel"/>
    <w:tmpl w:val="193A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B6476"/>
    <w:multiLevelType w:val="multilevel"/>
    <w:tmpl w:val="A22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248211">
    <w:abstractNumId w:val="2"/>
  </w:num>
  <w:num w:numId="2" w16cid:durableId="1516378329">
    <w:abstractNumId w:val="0"/>
  </w:num>
  <w:num w:numId="3" w16cid:durableId="1605066678">
    <w:abstractNumId w:val="1"/>
  </w:num>
  <w:num w:numId="4" w16cid:durableId="387074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1A"/>
    <w:rsid w:val="002D1F4F"/>
    <w:rsid w:val="00351697"/>
    <w:rsid w:val="003A3BBF"/>
    <w:rsid w:val="00427EE1"/>
    <w:rsid w:val="00560C1A"/>
    <w:rsid w:val="00635BC7"/>
    <w:rsid w:val="00711B4D"/>
    <w:rsid w:val="008952B3"/>
    <w:rsid w:val="00A70480"/>
    <w:rsid w:val="00C27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B448"/>
  <w15:chartTrackingRefBased/>
  <w15:docId w15:val="{0942256B-C815-430A-9FD3-9C93430C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CBC"/>
  </w:style>
  <w:style w:type="paragraph" w:styleId="Heading1">
    <w:name w:val="heading 1"/>
    <w:basedOn w:val="Normal"/>
    <w:next w:val="Normal"/>
    <w:link w:val="Heading1Char"/>
    <w:uiPriority w:val="9"/>
    <w:qFormat/>
    <w:rsid w:val="00560C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0C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C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C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C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0C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C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C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C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C1A"/>
    <w:rPr>
      <w:rFonts w:eastAsiaTheme="majorEastAsia" w:cstheme="majorBidi"/>
      <w:color w:val="272727" w:themeColor="text1" w:themeTint="D8"/>
    </w:rPr>
  </w:style>
  <w:style w:type="paragraph" w:styleId="Title">
    <w:name w:val="Title"/>
    <w:basedOn w:val="Normal"/>
    <w:next w:val="Normal"/>
    <w:link w:val="TitleChar"/>
    <w:uiPriority w:val="10"/>
    <w:qFormat/>
    <w:rsid w:val="00560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C1A"/>
    <w:pPr>
      <w:spacing w:before="160"/>
      <w:jc w:val="center"/>
    </w:pPr>
    <w:rPr>
      <w:i/>
      <w:iCs/>
      <w:color w:val="404040" w:themeColor="text1" w:themeTint="BF"/>
    </w:rPr>
  </w:style>
  <w:style w:type="character" w:customStyle="1" w:styleId="QuoteChar">
    <w:name w:val="Quote Char"/>
    <w:basedOn w:val="DefaultParagraphFont"/>
    <w:link w:val="Quote"/>
    <w:uiPriority w:val="29"/>
    <w:rsid w:val="00560C1A"/>
    <w:rPr>
      <w:i/>
      <w:iCs/>
      <w:color w:val="404040" w:themeColor="text1" w:themeTint="BF"/>
    </w:rPr>
  </w:style>
  <w:style w:type="paragraph" w:styleId="ListParagraph">
    <w:name w:val="List Paragraph"/>
    <w:basedOn w:val="Normal"/>
    <w:uiPriority w:val="34"/>
    <w:qFormat/>
    <w:rsid w:val="00560C1A"/>
    <w:pPr>
      <w:ind w:left="720"/>
      <w:contextualSpacing/>
    </w:pPr>
  </w:style>
  <w:style w:type="character" w:styleId="IntenseEmphasis">
    <w:name w:val="Intense Emphasis"/>
    <w:basedOn w:val="DefaultParagraphFont"/>
    <w:uiPriority w:val="21"/>
    <w:qFormat/>
    <w:rsid w:val="00560C1A"/>
    <w:rPr>
      <w:i/>
      <w:iCs/>
      <w:color w:val="2F5496" w:themeColor="accent1" w:themeShade="BF"/>
    </w:rPr>
  </w:style>
  <w:style w:type="paragraph" w:styleId="IntenseQuote">
    <w:name w:val="Intense Quote"/>
    <w:basedOn w:val="Normal"/>
    <w:next w:val="Normal"/>
    <w:link w:val="IntenseQuoteChar"/>
    <w:uiPriority w:val="30"/>
    <w:qFormat/>
    <w:rsid w:val="00560C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C1A"/>
    <w:rPr>
      <w:i/>
      <w:iCs/>
      <w:color w:val="2F5496" w:themeColor="accent1" w:themeShade="BF"/>
    </w:rPr>
  </w:style>
  <w:style w:type="character" w:styleId="IntenseReference">
    <w:name w:val="Intense Reference"/>
    <w:basedOn w:val="DefaultParagraphFont"/>
    <w:uiPriority w:val="32"/>
    <w:qFormat/>
    <w:rsid w:val="00560C1A"/>
    <w:rPr>
      <w:b/>
      <w:bCs/>
      <w:smallCaps/>
      <w:color w:val="2F5496" w:themeColor="accent1" w:themeShade="BF"/>
      <w:spacing w:val="5"/>
    </w:rPr>
  </w:style>
  <w:style w:type="character" w:styleId="Hyperlink">
    <w:name w:val="Hyperlink"/>
    <w:basedOn w:val="DefaultParagraphFont"/>
    <w:uiPriority w:val="99"/>
    <w:unhideWhenUsed/>
    <w:rsid w:val="00427EE1"/>
    <w:rPr>
      <w:color w:val="0563C1" w:themeColor="hyperlink"/>
      <w:u w:val="single"/>
    </w:rPr>
  </w:style>
  <w:style w:type="character" w:styleId="UnresolvedMention">
    <w:name w:val="Unresolved Mention"/>
    <w:basedOn w:val="DefaultParagraphFont"/>
    <w:uiPriority w:val="99"/>
    <w:semiHidden/>
    <w:unhideWhenUsed/>
    <w:rsid w:val="00427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egas_Matt?utm_source=chatgpt.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 essam</dc:creator>
  <cp:keywords/>
  <dc:description/>
  <cp:lastModifiedBy>motasem essam</cp:lastModifiedBy>
  <cp:revision>3</cp:revision>
  <dcterms:created xsi:type="dcterms:W3CDTF">2025-08-27T07:41:00Z</dcterms:created>
  <dcterms:modified xsi:type="dcterms:W3CDTF">2025-08-27T07:55:00Z</dcterms:modified>
</cp:coreProperties>
</file>