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January to August 2025</w:t>
      </w:r>
    </w:p>
    <w:p>
      <w:r>
        <w:t>Date: 2025-08-05</w:t>
      </w:r>
    </w:p>
    <w:p>
      <w:r>
        <w:t>Confidentiality Label: Internal Use Only</w:t>
      </w:r>
    </w:p>
    <w:p>
      <w:r>
        <w:br w:type="page"/>
      </w:r>
    </w:p>
    <w:p>
      <w:r>
        <w:t xml:space="preserve">Between January and August 2025, the AAMUSTED Guidance &amp; Counselling Centre facilitated a total of 6 student appointments. Of these, 4 sessions were successfully completed, with 1 marked as 'In Session' and 0 postponed. A total of 4 sessions were conducted, and 1 formal referral was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specific common issues were identified from session notes during this period. The 1 referral was made for deeper psychological distress requiring specialized external support. The low referral rate suggests that a majority of student concerns were effectively managed in-house, which is a strong indicator of both the center’s capacity and the strength of its early intervention approach.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2025-08-05 15:34:31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