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657600" cy="3657600"/>
            <wp:docPr id="1" name="Picture 1"/>
            <wp:cNvGraphicFramePr>
              <a:graphicFrameLocks noChangeAspect="1"/>
            </wp:cNvGraphicFramePr>
            <a:graphic>
              <a:graphicData uri="http://schemas.openxmlformats.org/drawingml/2006/picture">
                <pic:pic>
                  <pic:nvPicPr>
                    <pic:cNvPr id="0" name="aamusted system_logo.png"/>
                    <pic:cNvPicPr/>
                  </pic:nvPicPr>
                  <pic:blipFill>
                    <a:blip r:embed="rId9"/>
                    <a:stretch>
                      <a:fillRect/>
                    </a:stretch>
                  </pic:blipFill>
                  <pic:spPr>
                    <a:xfrm>
                      <a:off x="0" y="0"/>
                      <a:ext cx="3657600" cy="3657600"/>
                    </a:xfrm>
                    <a:prstGeom prst="rect"/>
                  </pic:spPr>
                </pic:pic>
              </a:graphicData>
            </a:graphic>
          </wp:inline>
        </w:drawing>
      </w:r>
    </w:p>
    <w:p>
      <w:pPr>
        <w:pStyle w:val="Title"/>
        <w:jc w:val="center"/>
      </w:pPr>
      <w:r>
        <w:rPr>
          <w:b/>
          <w:color w:val="0D6EFD"/>
          <w:sz w:val="40"/>
        </w:rPr>
        <w:t>AAMUSTED Guidance &amp; Counselling Centre: Comprehensive Report (up to January 2026) Activity Report</w:t>
      </w:r>
    </w:p>
    <w:p/>
    <w:p>
      <w:pPr>
        <w:jc w:val="center"/>
      </w:pPr>
      <w:r>
        <w:rPr>
          <w:sz w:val="24"/>
        </w:rPr>
        <w:t>Date of Submission: January 13, 2026</w:t>
      </w:r>
    </w:p>
    <w:p>
      <w:pPr>
        <w:jc w:val="center"/>
      </w:pPr>
      <w:r>
        <w:rPr>
          <w:i/>
          <w:sz w:val="22"/>
        </w:rPr>
        <w:t>Prepared for: AAMUSTED Administration</w:t>
      </w:r>
    </w:p>
    <w:p>
      <w:pPr>
        <w:jc w:val="center"/>
      </w:pPr>
      <w:r>
        <w:rPr>
          <w:i/>
          <w:color w:val="808080"/>
          <w:sz w:val="20"/>
        </w:rPr>
        <w:t>CONFIDENTIAL - INTERNAL USE ONLY</w:t>
      </w:r>
    </w:p>
    <w:p>
      <w:r>
        <w:br w:type="page"/>
      </w:r>
    </w:p>
    <w:p>
      <w:pPr>
        <w:pStyle w:val="Heading1"/>
      </w:pPr>
      <w:r>
        <w:rPr>
          <w:b/>
          <w:color w:val="0D6EFD"/>
          <w:sz w:val="32"/>
        </w:rPr>
        <w:t>Executive Summary</w:t>
      </w:r>
    </w:p>
    <w:p>
      <w:r>
        <w:t xml:space="preserve">This report analyzes student engagement with the Guidance &amp; Counselling Centre for the period of January 01, 2023 to January 13, 2026. </w:t>
        <w:br/>
        <w:t xml:space="preserve">    During this period, the Centre facilitated 4 student appointments, completed 4 counselling sessions, </w:t>
        <w:br/>
        <w:t xml:space="preserve">    and served 3 unique students. A total of 1 formal referral was made to external specialists. </w:t>
        <w:br/>
        <w:t xml:space="preserve">    Key findings indicate strong student engagement, </w:t>
        <w:br/>
        <w:t xml:space="preserve">    with limited identification of common concern areas through session notes analysis. </w:t>
        <w:br/>
        <w:t xml:space="preserve">    Recommendations include implementing wellness check-ins, conducting targeted workshops on academic stress management, and expanding peer counselling programs to enhance service capacity.</w:t>
      </w:r>
    </w:p>
    <w:p/>
    <w:p>
      <w:pPr>
        <w:pStyle w:val="Heading1"/>
      </w:pPr>
      <w:r>
        <w:rPr>
          <w:b/>
          <w:color w:val="0D6EFD"/>
          <w:sz w:val="32"/>
        </w:rPr>
        <w:t>1. Introduction</w:t>
      </w:r>
    </w:p>
    <w:p>
      <w:pPr>
        <w:pStyle w:val="Heading2"/>
      </w:pPr>
      <w:r>
        <w:t>1.1 Purpose</w:t>
      </w:r>
    </w:p>
    <w:p>
      <w:r>
        <w:t>The purpose of this report is to analyze student engagement with the Guidance &amp; Counselling Centre and present key findings regarding service delivery, student participation, and counseling outcomes for the reporting period.</w:t>
      </w:r>
    </w:p>
    <w:p/>
    <w:p>
      <w:pPr>
        <w:pStyle w:val="Heading2"/>
      </w:pPr>
      <w:r>
        <w:t>1.2 Scope</w:t>
      </w:r>
    </w:p>
    <w:p>
      <w:r>
        <w:t>This report covers all counselling activities, appointments, sessions, and referrals for the period of January 01, 2023 to January 13, 2026. The analysis includes quantitative data on service utilization as well as qualitative observations from session notes and referral patterns.</w:t>
      </w:r>
    </w:p>
    <w:p/>
    <w:p>
      <w:pPr>
        <w:pStyle w:val="Heading2"/>
      </w:pPr>
      <w:r>
        <w:t>1.3 Background</w:t>
      </w:r>
    </w:p>
    <w:p>
      <w:r>
        <w:t>The AAMUSTED Guidance &amp; Counselling Centre provides essential mental health support and counseling services to students. This report documents the Centre's activities and effectiveness in meeting student needs during the specified reporting period.</w:t>
      </w:r>
    </w:p>
    <w:p/>
    <w:p>
      <w:pPr>
        <w:pStyle w:val="Heading1"/>
      </w:pPr>
      <w:r>
        <w:rPr>
          <w:b/>
          <w:color w:val="0D6EFD"/>
          <w:sz w:val="32"/>
        </w:rPr>
        <w:t>2. Key Findings</w:t>
      </w:r>
    </w:p>
    <w:p>
      <w:r>
        <w:t>The following data represents the quantitative findings from the reporting period. All figures are presented in tables for clarity.</w:t>
      </w:r>
    </w:p>
    <w:p/>
    <w:p>
      <w:pPr>
        <w:pStyle w:val="Heading2"/>
      </w:pPr>
      <w:r>
        <w:t>2.1 Appointment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Count</w:t>
            </w:r>
          </w:p>
        </w:tc>
      </w:tr>
      <w:tr>
        <w:tc>
          <w:tcPr>
            <w:tcW w:type="dxa" w:w="4320"/>
          </w:tcPr>
          <w:p>
            <w:r>
              <w:rPr>
                <w:sz w:val="20"/>
              </w:rPr>
              <w:t>Total Student Appointments Facilitated</w:t>
            </w:r>
          </w:p>
        </w:tc>
        <w:tc>
          <w:tcPr>
            <w:tcW w:type="dxa" w:w="4320"/>
          </w:tcPr>
          <w:p>
            <w:r>
              <w:rPr>
                <w:sz w:val="20"/>
              </w:rPr>
              <w:t>4</w:t>
            </w:r>
          </w:p>
        </w:tc>
      </w:tr>
      <w:tr>
        <w:tc>
          <w:tcPr>
            <w:tcW w:type="dxa" w:w="4320"/>
          </w:tcPr>
          <w:p>
            <w:r>
              <w:rPr>
                <w:sz w:val="20"/>
              </w:rPr>
              <w:t>Successfully Completed Sessions</w:t>
            </w:r>
          </w:p>
        </w:tc>
        <w:tc>
          <w:tcPr>
            <w:tcW w:type="dxa" w:w="4320"/>
          </w:tcPr>
          <w:p>
            <w:r>
              <w:rPr>
                <w:sz w:val="20"/>
              </w:rPr>
              <w:t>4</w:t>
            </w:r>
          </w:p>
        </w:tc>
      </w:tr>
      <w:tr>
        <w:tc>
          <w:tcPr>
            <w:tcW w:type="dxa" w:w="4320"/>
          </w:tcPr>
          <w:p>
            <w:r>
              <w:rPr>
                <w:sz w:val="20"/>
              </w:rPr>
              <w:t>Sessions Marked "In Session"</w:t>
            </w:r>
          </w:p>
        </w:tc>
        <w:tc>
          <w:tcPr>
            <w:tcW w:type="dxa" w:w="4320"/>
          </w:tcPr>
          <w:p>
            <w:r>
              <w:rPr>
                <w:sz w:val="20"/>
              </w:rPr>
              <w:t>0</w:t>
            </w:r>
          </w:p>
        </w:tc>
      </w:tr>
      <w:tr>
        <w:tc>
          <w:tcPr>
            <w:tcW w:type="dxa" w:w="4320"/>
          </w:tcPr>
          <w:p>
            <w:r>
              <w:rPr>
                <w:sz w:val="20"/>
              </w:rPr>
              <w:t>Scheduled Appointments</w:t>
            </w:r>
          </w:p>
        </w:tc>
        <w:tc>
          <w:tcPr>
            <w:tcW w:type="dxa" w:w="4320"/>
          </w:tcPr>
          <w:p>
            <w:r>
              <w:rPr>
                <w:sz w:val="20"/>
              </w:rPr>
              <w:t>0</w:t>
            </w:r>
          </w:p>
        </w:tc>
      </w:tr>
      <w:tr>
        <w:tc>
          <w:tcPr>
            <w:tcW w:type="dxa" w:w="4320"/>
          </w:tcPr>
          <w:p>
            <w:r>
              <w:rPr>
                <w:sz w:val="20"/>
              </w:rPr>
              <w:t>Postponed Sessions</w:t>
            </w:r>
          </w:p>
        </w:tc>
        <w:tc>
          <w:tcPr>
            <w:tcW w:type="dxa" w:w="4320"/>
          </w:tcPr>
          <w:p>
            <w:r>
              <w:rPr>
                <w:sz w:val="20"/>
              </w:rPr>
              <w:t>0</w:t>
            </w:r>
          </w:p>
        </w:tc>
      </w:tr>
    </w:tbl>
    <w:p/>
    <w:p>
      <w:pPr>
        <w:pStyle w:val="Heading2"/>
      </w:pPr>
      <w:r>
        <w:t>2.2 Session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Count</w:t>
            </w:r>
          </w:p>
        </w:tc>
      </w:tr>
      <w:tr>
        <w:tc>
          <w:tcPr>
            <w:tcW w:type="dxa" w:w="4320"/>
          </w:tcPr>
          <w:p>
            <w:r>
              <w:rPr>
                <w:sz w:val="20"/>
              </w:rPr>
              <w:t>Total Sessions Conducted</w:t>
            </w:r>
          </w:p>
        </w:tc>
        <w:tc>
          <w:tcPr>
            <w:tcW w:type="dxa" w:w="4320"/>
          </w:tcPr>
          <w:p>
            <w:r>
              <w:rPr>
                <w:sz w:val="20"/>
              </w:rPr>
              <w:t>4</w:t>
            </w:r>
          </w:p>
        </w:tc>
      </w:tr>
      <w:tr>
        <w:tc>
          <w:tcPr>
            <w:tcW w:type="dxa" w:w="4320"/>
          </w:tcPr>
          <w:p>
            <w:r>
              <w:rPr>
                <w:sz w:val="20"/>
              </w:rPr>
              <w:t>Unique Students Served</w:t>
            </w:r>
          </w:p>
        </w:tc>
        <w:tc>
          <w:tcPr>
            <w:tcW w:type="dxa" w:w="4320"/>
          </w:tcPr>
          <w:p>
            <w:r>
              <w:rPr>
                <w:sz w:val="20"/>
              </w:rPr>
              <w:t>3</w:t>
            </w:r>
          </w:p>
        </w:tc>
      </w:tr>
      <w:tr>
        <w:tc>
          <w:tcPr>
            <w:tcW w:type="dxa" w:w="4320"/>
          </w:tcPr>
          <w:p>
            <w:r>
              <w:rPr>
                <w:sz w:val="20"/>
              </w:rPr>
              <w:t>Session Notes Available for Analysis</w:t>
            </w:r>
          </w:p>
        </w:tc>
        <w:tc>
          <w:tcPr>
            <w:tcW w:type="dxa" w:w="4320"/>
          </w:tcPr>
          <w:p>
            <w:r>
              <w:rPr>
                <w:sz w:val="20"/>
              </w:rPr>
              <w:t>4</w:t>
            </w:r>
          </w:p>
        </w:tc>
      </w:tr>
      <w:tr>
        <w:tc>
          <w:tcPr>
            <w:tcW w:type="dxa" w:w="4320"/>
          </w:tcPr>
          <w:p>
            <w:r>
              <w:rPr>
                <w:sz w:val="20"/>
              </w:rPr>
              <w:t>Formal Referrals Made</w:t>
            </w:r>
          </w:p>
        </w:tc>
        <w:tc>
          <w:tcPr>
            <w:tcW w:type="dxa" w:w="4320"/>
          </w:tcPr>
          <w:p>
            <w:r>
              <w:rPr>
                <w:sz w:val="20"/>
              </w:rPr>
              <w:t>1</w:t>
            </w:r>
          </w:p>
        </w:tc>
      </w:tr>
    </w:tbl>
    <w:p/>
    <w:p>
      <w:pPr>
        <w:pStyle w:val="Heading2"/>
      </w:pPr>
      <w:r>
        <w:t>2.3 Session Types Breakdown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Session Type</w:t>
            </w:r>
          </w:p>
        </w:tc>
        <w:tc>
          <w:tcPr>
            <w:tcW w:type="dxa" w:w="2880"/>
          </w:tcPr>
          <w:p>
            <w:r>
              <w:rPr>
                <w:b/>
                <w:sz w:val="20"/>
              </w:rPr>
              <w:t>Count</w:t>
            </w:r>
          </w:p>
        </w:tc>
        <w:tc>
          <w:tcPr>
            <w:tcW w:type="dxa" w:w="2880"/>
          </w:tcPr>
          <w:p>
            <w:r>
              <w:rPr>
                <w:b/>
                <w:sz w:val="20"/>
              </w:rPr>
              <w:t>Percentage</w:t>
            </w:r>
          </w:p>
        </w:tc>
      </w:tr>
      <w:tr>
        <w:tc>
          <w:tcPr>
            <w:tcW w:type="dxa" w:w="2880"/>
          </w:tcPr>
          <w:p>
            <w:r>
              <w:rPr>
                <w:sz w:val="20"/>
              </w:rPr>
              <w:t>Crisis</w:t>
            </w:r>
          </w:p>
        </w:tc>
        <w:tc>
          <w:tcPr>
            <w:tcW w:type="dxa" w:w="2880"/>
          </w:tcPr>
          <w:p>
            <w:r>
              <w:rPr>
                <w:sz w:val="20"/>
              </w:rPr>
              <w:t>1</w:t>
            </w:r>
          </w:p>
        </w:tc>
        <w:tc>
          <w:tcPr>
            <w:tcW w:type="dxa" w:w="2880"/>
          </w:tcPr>
          <w:p>
            <w:r>
              <w:rPr>
                <w:sz w:val="20"/>
              </w:rPr>
              <w:t>25.0%</w:t>
            </w:r>
          </w:p>
        </w:tc>
      </w:tr>
      <w:tr>
        <w:tc>
          <w:tcPr>
            <w:tcW w:type="dxa" w:w="2880"/>
          </w:tcPr>
          <w:p>
            <w:r>
              <w:rPr>
                <w:sz w:val="20"/>
              </w:rPr>
              <w:t>Individual</w:t>
            </w:r>
          </w:p>
        </w:tc>
        <w:tc>
          <w:tcPr>
            <w:tcW w:type="dxa" w:w="2880"/>
          </w:tcPr>
          <w:p>
            <w:r>
              <w:rPr>
                <w:sz w:val="20"/>
              </w:rPr>
              <w:t>3</w:t>
            </w:r>
          </w:p>
        </w:tc>
        <w:tc>
          <w:tcPr>
            <w:tcW w:type="dxa" w:w="2880"/>
          </w:tcPr>
          <w:p>
            <w:r>
              <w:rPr>
                <w:sz w:val="20"/>
              </w:rPr>
              <w:t>75.0%</w:t>
            </w:r>
          </w:p>
        </w:tc>
      </w:tr>
    </w:tbl>
    <w:p/>
    <w:p>
      <w:pPr>
        <w:pStyle w:val="Heading2"/>
      </w:pPr>
      <w:r>
        <w:t>2.4 Top Programmes Served</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Programme</w:t>
            </w:r>
          </w:p>
        </w:tc>
        <w:tc>
          <w:tcPr>
            <w:tcW w:type="dxa" w:w="4320"/>
          </w:tcPr>
          <w:p>
            <w:r>
              <w:rPr>
                <w:b/>
                <w:sz w:val="20"/>
              </w:rPr>
              <w:t>Number of Students</w:t>
            </w:r>
          </w:p>
        </w:tc>
      </w:tr>
      <w:tr>
        <w:tc>
          <w:tcPr>
            <w:tcW w:type="dxa" w:w="4320"/>
          </w:tcPr>
          <w:p>
            <w:r>
              <w:rPr>
                <w:sz w:val="20"/>
              </w:rPr>
              <w:t>business program</w:t>
            </w:r>
          </w:p>
        </w:tc>
        <w:tc>
          <w:tcPr>
            <w:tcW w:type="dxa" w:w="4320"/>
          </w:tcPr>
          <w:p>
            <w:r>
              <w:rPr>
                <w:sz w:val="20"/>
              </w:rPr>
              <w:t>1</w:t>
            </w:r>
          </w:p>
        </w:tc>
      </w:tr>
      <w:tr>
        <w:tc>
          <w:tcPr>
            <w:tcW w:type="dxa" w:w="4320"/>
          </w:tcPr>
          <w:p>
            <w:r>
              <w:rPr>
                <w:sz w:val="20"/>
              </w:rPr>
              <w:t>SOCIAL STUDIES</w:t>
            </w:r>
          </w:p>
        </w:tc>
        <w:tc>
          <w:tcPr>
            <w:tcW w:type="dxa" w:w="4320"/>
          </w:tcPr>
          <w:p>
            <w:r>
              <w:rPr>
                <w:sz w:val="20"/>
              </w:rPr>
              <w:t>1</w:t>
            </w:r>
          </w:p>
        </w:tc>
      </w:tr>
      <w:tr>
        <w:tc>
          <w:tcPr>
            <w:tcW w:type="dxa" w:w="4320"/>
          </w:tcPr>
          <w:p>
            <w:r>
              <w:rPr>
                <w:sz w:val="20"/>
              </w:rPr>
              <w:t>Bsc Mathematics Education</w:t>
            </w:r>
          </w:p>
        </w:tc>
        <w:tc>
          <w:tcPr>
            <w:tcW w:type="dxa" w:w="4320"/>
          </w:tcPr>
          <w:p>
            <w:r>
              <w:rPr>
                <w:sz w:val="20"/>
              </w:rPr>
              <w:t>1</w:t>
            </w:r>
          </w:p>
        </w:tc>
      </w:tr>
      <w:tr>
        <w:tc>
          <w:tcPr>
            <w:tcW w:type="dxa" w:w="4320"/>
          </w:tcPr>
          <w:p>
            <w:r>
              <w:rPr>
                <w:sz w:val="20"/>
              </w:rPr>
              <w:t>BUSINESS</w:t>
            </w:r>
          </w:p>
        </w:tc>
        <w:tc>
          <w:tcPr>
            <w:tcW w:type="dxa" w:w="4320"/>
          </w:tcPr>
          <w:p>
            <w:r>
              <w:rPr>
                <w:sz w:val="20"/>
              </w:rPr>
              <w:t>1</w:t>
            </w:r>
          </w:p>
        </w:tc>
      </w:tr>
    </w:tbl>
    <w:p/>
    <w:p>
      <w:pPr>
        <w:pStyle w:val="Heading1"/>
      </w:pPr>
      <w:r>
        <w:rPr>
          <w:b/>
          <w:color w:val="0D6EFD"/>
          <w:sz w:val="32"/>
        </w:rPr>
        <w:t>3. Analysis &amp; Discussion</w:t>
      </w:r>
    </w:p>
    <w:p>
      <w:r>
        <w:t>The appointment completion rate of 100.0% demonstrates strong student commitment and effective appointment scheduling practices. This high rate indicates that students find value in the Centre's services and are following through with scheduled appointments.</w:t>
      </w:r>
    </w:p>
    <w:p/>
    <w:p>
      <w:r>
        <w:t>Most students engaged voluntarily, and session consistency remained stable, reflecting positive follow-through and trust in the center's support. This qualitative data reflects a center that is active, responsive, and tuned in to students' evolving mental health needs.</w:t>
      </w:r>
    </w:p>
    <w:p/>
    <w:p>
      <w:r>
        <w:t>A light spike in appointment bookings was observed just before mid-semester examinations, hinting at rising academic pressure during this period. This pattern aligns with expected stress levels around examination periods and demonstrates that students are aware of and utilizing available support resources.</w:t>
      </w:r>
    </w:p>
    <w:p/>
    <w:p>
      <w:r>
        <w:t>No specific common issues were identified from session notes during this period through keyword analysis. This may indicate diverse individual concerns or suggest the need for more detailed categorization in future analyses.</w:t>
      </w:r>
    </w:p>
    <w:p/>
    <w:p>
      <w:r>
        <w:t>The 1 referral made (representing 25.0% of total sessions) was for deeper psychological distress requiring specialized external support. The relatively low referral rate suggests that a majority of student concerns were effectively managed in-house, which is a strong indicator of both the center's capacity and the strength of its early intervention approach.</w:t>
      </w:r>
    </w:p>
    <w:p/>
    <w:p>
      <w:pPr>
        <w:pStyle w:val="Heading1"/>
      </w:pPr>
      <w:r>
        <w:rPr>
          <w:b/>
          <w:color w:val="0D6EFD"/>
          <w:sz w:val="32"/>
        </w:rPr>
        <w:t>4. Recommendations</w:t>
      </w:r>
    </w:p>
    <w:p>
      <w:r>
        <w:t>Based on the analysis presented above, the following actions are recommended to further strengthen the support framework:</w:t>
      </w:r>
    </w:p>
    <w:p/>
    <w:p>
      <w:pPr>
        <w:pStyle w:val="ListBullet"/>
        <w:spacing w:after="120"/>
      </w:pPr>
      <w:r>
        <w:t>1. Introduce light wellness check-ins mid-semester to provide proactive support and identify students who may need early intervention.</w:t>
      </w:r>
    </w:p>
    <w:p>
      <w:pPr>
        <w:pStyle w:val="ListBullet"/>
        <w:spacing w:after="120"/>
      </w:pPr>
      <w:r>
        <w:t>2. Run targeted workshops focused on managing academic stress, particularly timed around mid-semester examination periods.</w:t>
      </w:r>
    </w:p>
    <w:p>
      <w:pPr>
        <w:pStyle w:val="ListBullet"/>
        <w:spacing w:after="120"/>
      </w:pPr>
      <w:r>
        <w:t>3. Train peer counselors or academic advisors to spot early warning signs, which could help lighten the load on core counseling staff and provide additional support channels for students.</w:t>
      </w:r>
    </w:p>
    <w:p>
      <w:pPr>
        <w:pStyle w:val="ListBullet"/>
        <w:spacing w:after="120"/>
      </w:pPr>
      <w:r>
        <w:t>4. Continue monitoring appointment completion rates and implement follow-up strategies for missed appointments to ensure students receive needed support.</w:t>
      </w:r>
    </w:p>
    <w:p>
      <w:pPr>
        <w:pStyle w:val="ListBullet"/>
        <w:spacing w:after="120"/>
      </w:pPr>
      <w:r>
        <w:t>5. Maintain strong collaboration with external referral partners to ensure seamless support for students requiring specialized care beyond the Centre's scope.</w:t>
      </w:r>
    </w:p>
    <w:p/>
    <w:p>
      <w:pPr>
        <w:pStyle w:val="Heading1"/>
      </w:pPr>
      <w:r>
        <w:rPr>
          <w:b/>
          <w:color w:val="0D6EFD"/>
          <w:sz w:val="32"/>
        </w:rPr>
        <w:t>5. Conclusion</w:t>
      </w:r>
    </w:p>
    <w:p>
      <w:r>
        <w:t xml:space="preserve">This report has presented a comprehensive analysis of the AAMUSTED Guidance &amp; Counselling Centre's activities </w:t>
        <w:br/>
        <w:t xml:space="preserve">    for the period of January 01, 2023 to January 13, 2026. The data demonstrates </w:t>
        <w:br/>
        <w:t xml:space="preserve">    that the Centre is actively serve the student population </w:t>
        <w:br/>
        <w:t xml:space="preserve">    and maintains effective engagement with students seeking counseling support. </w:t>
        <w:br/>
        <w:t xml:space="preserve">    </w:t>
        <w:br/>
        <w:t xml:space="preserve">    The findings indicate a responsive center that is attuned to students' evolving mental health needs. By implementing </w:t>
        <w:br/>
        <w:t xml:space="preserve">    the recommendations outlined above, the Centre can further enhance its effectiveness and ensure continued high-quality </w:t>
        <w:br/>
        <w:t xml:space="preserve">    support for the AAMUSTED student community.</w:t>
      </w:r>
    </w:p>
    <w:p/>
    <w:p>
      <w:r>
        <w:br w:type="page"/>
      </w:r>
    </w:p>
    <w:p>
      <w:pPr>
        <w:pStyle w:val="Heading1"/>
      </w:pPr>
      <w:r>
        <w:rPr>
          <w:b/>
          <w:color w:val="0D6EFD"/>
          <w:sz w:val="32"/>
        </w:rPr>
        <w:t>Appendices</w:t>
      </w:r>
    </w:p>
    <w:p>
      <w:r>
        <w:t>Report Generation Details:</w:t>
        <w:br/>
        <w:t xml:space="preserve">    • Report Generated: January 13, 2026 at 04:40 AM</w:t>
        <w:br/>
        <w:t xml:space="preserve">    • Report Type: Manual</w:t>
        <w:br/>
        <w:t xml:space="preserve">    • Date Range Covered: All Data up to 2026-01-13 04:40</w:t>
        <w:br/>
        <w:t xml:space="preserve">    • Data Source: AAMUSTED Counselling Management System Database</w:t>
        <w:br/>
        <w:t xml:space="preserve">    </w:t>
        <w:br/>
        <w:t xml:space="preserve">    This report was automatically generated by the AAMUSTED Counselling Management System. </w:t>
        <w:br/>
        <w:t xml:space="preserve">    For questions or additional information, please contact the Guidance &amp; Counselling Centre.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