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ABC9C"/>
          <w:sz w:val="14"/>
          <w:szCs w:val="14"/>
        </w:rPr>
        <w:t xml:space="preserve">INVESTMENT CASE</w:t>
      </w:r>
    </w:p>
    <w:p>
      <w:pPr>
        <w:pBdr>
          <w:bottom w:val="single" w:color="1ABC9C" w:sz="6"/>
        </w:pBdr>
        <w:spacing w:after="80" w:before="0"/>
      </w:pPr>
      <w:r>
        <w:rPr>
          <w:rFonts w:ascii="Arial" w:cs="Arial" w:eastAsia="Arial" w:hAnsi="Arial"/>
          <w:b/>
          <w:bCs/>
          <w:color w:val="1A5276"/>
          <w:sz w:val="52"/>
          <w:szCs w:val="52"/>
        </w:rPr>
        <w:t xml:space="preserve">Adani Ports and SEZ Ltd</w:t>
      </w:r>
    </w:p>
    <w:p>
      <w:pPr>
        <w:spacing w:after="60" w:before="120"/>
      </w:pPr>
      <w:r>
        <w:rPr>
          <w:rFonts w:ascii="Arial" w:cs="Arial" w:eastAsia="Arial" w:hAnsi="Arial"/>
          <w:color w:val="7F8C8D"/>
          <w:sz w:val="18"/>
          <w:szCs w:val="18"/>
        </w:rPr>
        <w:t xml:space="preserve">NSE: ADANIPORTS  |  BSE: 532921  |  Bloomberg: ADSEZ:IN</w:t>
      </w:r>
    </w:p>
    <w:p>
      <w:pPr>
        <w:spacing w:after="400" w:before="60"/>
      </w:pPr>
      <w:r>
        <w:rPr>
          <w:rFonts w:ascii="Arial" w:cs="Arial" w:eastAsia="Arial" w:hAnsi="Arial"/>
          <w:b/>
          <w:bCs/>
          <w:i/>
          <w:iCs/>
          <w:color w:val="1C2833"/>
          <w:sz w:val="22"/>
          <w:szCs w:val="22"/>
        </w:rPr>
        <w:t xml:space="preserve">India's Largest Integrated Transport Utility — Port to Customer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Metric</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Value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Metric</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Value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Market Cap</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₹3,74,324 Cr</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FY26 Revenue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₹38,736 Cr (+25% YoY)</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FY26 EBITDA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₹22,851 Cr (+20% YoY)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FY26 PAT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₹12,782 Cr (+16% YoY)</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EBITDA Margin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59% (FY26 consolidated)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Net Debt / EBITDA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1.9x (vs 2.3x in FY24)</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Stock P/E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~29x (FY26 EPS)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ROCE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16% FY26 (vs 15% FY25)</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Cargo Volume FY26</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500.8 MMT (+11% YoY)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r>
              <w:rPr>
                <w:rFonts w:ascii="Arial" w:cs="Arial" w:eastAsia="Arial" w:hAnsi="Arial"/>
                <w:color w:val="1C2833"/>
                <w:sz w:val="19"/>
                <w:szCs w:val="19"/>
              </w:rPr>
              <w:t xml:space="preserve">All-India Market Share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276"/>
                <w:sz w:val="19"/>
                <w:szCs w:val="19"/>
              </w:rPr>
              <w:t xml:space="preserve">27.1% cargo; 45.5% container</w:t>
            </w:r>
          </w:p>
        </w:tc>
      </w:tr>
    </w:tbl>
    <w:p>
      <w:pPr>
        <w:spacing w:after="60" w:before="60"/>
      </w:pPr>
      <w:r>
        <w:rPr>
          <w:sz w:val="10"/>
          <w:szCs w:val="10"/>
        </w:rPr>
        <w:t xml:space="preserve"/>
      </w:r>
    </w:p>
    <w:p>
      <w:pPr>
        <w:spacing w:after="400" w:before="80"/>
      </w:pPr>
      <w:r>
        <w:rPr>
          <w:rFonts w:ascii="Arial" w:cs="Arial" w:eastAsia="Arial" w:hAnsi="Arial"/>
          <w:i/>
          <w:iCs/>
          <w:color w:val="7F8C8D"/>
          <w:sz w:val="16"/>
          <w:szCs w:val="16"/>
        </w:rPr>
        <w:t xml:space="preserve">Report Date: May 2026  |  Data Sources: APSEZ Investor Presentations, Q4 &amp; FY26 Media Release, Screener.in, Concall Transcripts</w:t>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1. Company Overview</w:t>
      </w:r>
    </w:p>
    <w:p>
      <w:pPr>
        <w:spacing w:after="80" w:before="60"/>
      </w:pPr>
      <w:r>
        <w:rPr>
          <w:rFonts w:ascii="Arial" w:cs="Arial" w:eastAsia="Arial" w:hAnsi="Arial"/>
          <w:color w:val="1C2833"/>
          <w:sz w:val="20"/>
          <w:szCs w:val="20"/>
        </w:rPr>
        <w:t xml:space="preserve">Adani Ports and Special Economic Zone Limited (APSEZ) is India's largest private port developer and operator, and has evolved from a single port company into what it now describes as an Integrated Transport Utility — delivering end-to-end logistics solutions from port gate to customer gate. Listed on both NSE and BSE, it is a constituent of the Nifty 50 and BSE Sensex.</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1.1 Business Description</w:t>
      </w:r>
    </w:p>
    <w:p>
      <w:pPr>
        <w:spacing w:after="80" w:before="60"/>
      </w:pPr>
      <w:r>
        <w:rPr>
          <w:rFonts w:ascii="Arial" w:cs="Arial" w:eastAsia="Arial" w:hAnsi="Arial"/>
          <w:color w:val="1C2833"/>
          <w:sz w:val="20"/>
          <w:szCs w:val="20"/>
        </w:rPr>
        <w:t xml:space="preserve">APSEZ operates 15 ports and terminals across both coasts of India (7 on the West Coast, 8 on the East Coast), representing approximately 27% of India's total port cargo volumes. International operations include Haifa Port in Israel, CWIT at Colombo (Sri Lanka), Container Terminal 2 at Dar es Salaam (Tanzania), and the recently acquired North Queensland Export Terminal (NQXT) in Australia.</w:t>
      </w:r>
    </w:p>
    <w:p>
      <w:pPr>
        <w:spacing w:after="60" w:before="60"/>
      </w:pPr>
      <w:r>
        <w:rPr>
          <w:sz w:val="10"/>
          <w:szCs w:val="10"/>
        </w:rPr>
        <w:t xml:space="preserve"/>
      </w:r>
    </w:p>
    <w:p>
      <w:pPr>
        <w:spacing w:after="80" w:before="60"/>
      </w:pPr>
      <w:r>
        <w:rPr>
          <w:rFonts w:ascii="Arial" w:cs="Arial" w:eastAsia="Arial" w:hAnsi="Arial"/>
          <w:color w:val="1C2833"/>
          <w:sz w:val="20"/>
          <w:szCs w:val="20"/>
        </w:rPr>
        <w:t xml:space="preserve">The company's business is structured across four revenue segments:</w:t>
      </w:r>
    </w:p>
    <w:p>
      <w:pPr>
        <w:pStyle w:val="ListParagraph"/>
        <w:numPr>
          <w:ilvl w:val="0"/>
          <w:numId w:val="2"/>
        </w:numPr>
        <w:spacing w:after="40" w:before="40"/>
      </w:pPr>
      <w:r>
        <w:rPr>
          <w:rFonts w:ascii="Arial" w:cs="Arial" w:eastAsia="Arial" w:hAnsi="Arial"/>
          <w:b/>
          <w:bCs/>
          <w:color w:val="1C2833"/>
          <w:sz w:val="20"/>
          <w:szCs w:val="20"/>
        </w:rPr>
        <w:t xml:space="preserve">Domestic Ports — core port operations across 15 ports; FY26 revenue ₹25,755 Cr (+13% YoY), EBITDA margin 73.2%</w:t>
      </w:r>
    </w:p>
    <w:p>
      <w:pPr>
        <w:pStyle w:val="ListParagraph"/>
        <w:numPr>
          <w:ilvl w:val="0"/>
          <w:numId w:val="2"/>
        </w:numPr>
        <w:spacing w:after="40" w:before="40"/>
      </w:pPr>
      <w:r>
        <w:rPr>
          <w:rFonts w:ascii="Arial" w:cs="Arial" w:eastAsia="Arial" w:hAnsi="Arial"/>
          <w:b/>
          <w:bCs/>
          <w:color w:val="1C2833"/>
          <w:sz w:val="20"/>
          <w:szCs w:val="20"/>
        </w:rPr>
        <w:t xml:space="preserve">International Ports — Haifa, Colombo, Dar es Salaam, NQXT; FY26 revenue ₹4,539 Cr (+34% YoY), EBITDA margin 29% (all-time high)</w:t>
      </w:r>
    </w:p>
    <w:p>
      <w:pPr>
        <w:pStyle w:val="ListParagraph"/>
        <w:numPr>
          <w:ilvl w:val="0"/>
          <w:numId w:val="2"/>
        </w:numPr>
        <w:spacing w:after="40" w:before="40"/>
      </w:pPr>
      <w:r>
        <w:rPr>
          <w:rFonts w:ascii="Arial" w:cs="Arial" w:eastAsia="Arial" w:hAnsi="Arial"/>
          <w:b/>
          <w:bCs/>
          <w:color w:val="1C2833"/>
          <w:sz w:val="20"/>
          <w:szCs w:val="20"/>
        </w:rPr>
        <w:t xml:space="preserve">Logistics — rail, MMLPs, warehousing, agri-silos, trucking, international freight network; FY26 revenue jumps 55% YoY to ~₹4,900 Cr</w:t>
      </w:r>
    </w:p>
    <w:p>
      <w:pPr>
        <w:pStyle w:val="ListParagraph"/>
        <w:numPr>
          <w:ilvl w:val="0"/>
          <w:numId w:val="2"/>
        </w:numPr>
        <w:spacing w:after="40" w:before="40"/>
      </w:pPr>
      <w:r>
        <w:rPr>
          <w:rFonts w:ascii="Arial" w:cs="Arial" w:eastAsia="Arial" w:hAnsi="Arial"/>
          <w:b/>
          <w:bCs/>
          <w:color w:val="1C2833"/>
          <w:sz w:val="20"/>
          <w:szCs w:val="20"/>
        </w:rPr>
        <w:t xml:space="preserve">Marine — Ocean Sparkle, Astro Offshore, TAHID fleet; FY26 revenue grows 134% YoY; fleet at 136 vessels</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1.2 Strategic Positioning</w:t>
      </w:r>
    </w:p>
    <w:p>
      <w:pPr>
        <w:spacing w:after="80" w:before="60"/>
      </w:pPr>
      <w:r>
        <w:rPr>
          <w:rFonts w:ascii="Arial" w:cs="Arial" w:eastAsia="Arial" w:hAnsi="Arial"/>
          <w:color w:val="1C2833"/>
          <w:sz w:val="20"/>
          <w:szCs w:val="20"/>
        </w:rPr>
        <w:t xml:space="preserve">Management positions APSEZ not merely as a port operator but as a 'shore-to-door' platform that captures value across the entire cargo journey — from vessel berthing to last-mile delivery to the customer's factory gate. This vertical integration is the central plank of the investment thesis.</w:t>
      </w:r>
    </w:p>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2. Investment Thesis — Six Pillars</w:t>
      </w:r>
    </w:p>
    <w:p>
      <w:pPr>
        <w:pBdr>
          <w:bottom w:val="single" w:color="1ABC9C" w:sz="3"/>
        </w:pBdr>
        <w:spacing w:after="120" w:before="280"/>
      </w:pPr>
      <w:r>
        <w:rPr>
          <w:rFonts w:ascii="Arial" w:cs="Arial" w:eastAsia="Arial" w:hAnsi="Arial"/>
          <w:b/>
          <w:bCs/>
          <w:color w:val="1A5276"/>
          <w:sz w:val="24"/>
          <w:szCs w:val="24"/>
        </w:rPr>
        <w:t xml:space="preserve">Pillar 1: Structural Market Leadership and Moat</w:t>
      </w:r>
    </w:p>
    <w:p>
      <w:pPr>
        <w:spacing w:after="80" w:before="60"/>
      </w:pPr>
      <w:r>
        <w:rPr>
          <w:rFonts w:ascii="Arial" w:cs="Arial" w:eastAsia="Arial" w:hAnsi="Arial"/>
          <w:color w:val="1C2833"/>
          <w:sz w:val="20"/>
          <w:szCs w:val="20"/>
        </w:rPr>
        <w:t xml:space="preserve">APSEZ commands an unmatched position in Indian port infrastructure that is very difficult to replicate. With 653 MTPA of installed capacity across both coasts and a 27.1% share of all-India cargo, the company has the scale, geographic spread, and hinterland connectivity that new entrants cannot match without decades and tens of thousands of crores in capital.</w:t>
      </w:r>
    </w:p>
    <w:p>
      <w:pPr>
        <w:pStyle w:val="ListParagraph"/>
        <w:numPr>
          <w:ilvl w:val="0"/>
          <w:numId w:val="2"/>
        </w:numPr>
        <w:spacing w:after="40" w:before="40"/>
      </w:pPr>
      <w:r>
        <w:rPr>
          <w:rFonts w:ascii="Arial" w:cs="Arial" w:eastAsia="Arial" w:hAnsi="Arial"/>
          <w:b w:val="false"/>
          <w:bCs w:val="false"/>
          <w:color w:val="1C2833"/>
          <w:sz w:val="20"/>
          <w:szCs w:val="20"/>
        </w:rPr>
        <w:t xml:space="preserve">First Indian port to cross 200 MMT in a single year (Mundra, FY25)</w:t>
      </w:r>
    </w:p>
    <w:p>
      <w:pPr>
        <w:pStyle w:val="ListParagraph"/>
        <w:numPr>
          <w:ilvl w:val="0"/>
          <w:numId w:val="2"/>
        </w:numPr>
        <w:spacing w:after="40" w:before="40"/>
      </w:pPr>
      <w:r>
        <w:rPr>
          <w:rFonts w:ascii="Arial" w:cs="Arial" w:eastAsia="Arial" w:hAnsi="Arial"/>
          <w:b w:val="false"/>
          <w:bCs w:val="false"/>
          <w:color w:val="1C2833"/>
          <w:sz w:val="20"/>
          <w:szCs w:val="20"/>
        </w:rPr>
        <w:t xml:space="preserve">First Indian integrated transport operator to handle 500 MMT in FY26</w:t>
      </w:r>
    </w:p>
    <w:p>
      <w:pPr>
        <w:pStyle w:val="ListParagraph"/>
        <w:numPr>
          <w:ilvl w:val="0"/>
          <w:numId w:val="2"/>
        </w:numPr>
        <w:spacing w:after="40" w:before="40"/>
      </w:pPr>
      <w:r>
        <w:rPr>
          <w:rFonts w:ascii="Arial" w:cs="Arial" w:eastAsia="Arial" w:hAnsi="Arial"/>
          <w:b w:val="false"/>
          <w:bCs w:val="false"/>
          <w:color w:val="1C2833"/>
          <w:sz w:val="20"/>
          <w:szCs w:val="20"/>
        </w:rPr>
        <w:t xml:space="preserve">Mundra ranked 25th globally in World Bank's Container Port Performance Index 2024</w:t>
      </w:r>
    </w:p>
    <w:p>
      <w:pPr>
        <w:pStyle w:val="ListParagraph"/>
        <w:numPr>
          <w:ilvl w:val="0"/>
          <w:numId w:val="2"/>
        </w:numPr>
        <w:spacing w:after="40" w:before="40"/>
      </w:pPr>
      <w:r>
        <w:rPr>
          <w:rFonts w:ascii="Arial" w:cs="Arial" w:eastAsia="Arial" w:hAnsi="Arial"/>
          <w:b w:val="false"/>
          <w:bCs w:val="false"/>
          <w:color w:val="1C2833"/>
          <w:sz w:val="20"/>
          <w:szCs w:val="20"/>
        </w:rPr>
        <w:t xml:space="preserve">Container market share at 45.5% of all-India containerised cargo — dominant control over a high-growth segment</w:t>
      </w:r>
    </w:p>
    <w:p>
      <w:pPr>
        <w:pStyle w:val="ListParagraph"/>
        <w:numPr>
          <w:ilvl w:val="0"/>
          <w:numId w:val="2"/>
        </w:numPr>
        <w:spacing w:after="40" w:before="40"/>
      </w:pPr>
      <w:r>
        <w:rPr>
          <w:rFonts w:ascii="Arial" w:cs="Arial" w:eastAsia="Arial" w:hAnsi="Arial"/>
          <w:b w:val="false"/>
          <w:bCs w:val="false"/>
          <w:color w:val="1C2833"/>
          <w:sz w:val="20"/>
          <w:szCs w:val="20"/>
        </w:rPr>
        <w:t xml:space="preserve">Vizhinjam port — India's first deep-water automated transshipment port — crossed 1 million TEUs in its inaugural year, handling 41 Ultra Large Container Vessels (ULCVs), the highest for any Indian port</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Pillar 2: A Compounding Financial Track Record</w:t>
      </w:r>
    </w:p>
    <w:p>
      <w:pPr>
        <w:spacing w:after="80" w:before="60"/>
      </w:pPr>
      <w:r>
        <w:rPr>
          <w:rFonts w:ascii="Arial" w:cs="Arial" w:eastAsia="Arial" w:hAnsi="Arial"/>
          <w:color w:val="1C2833"/>
          <w:sz w:val="20"/>
          <w:szCs w:val="20"/>
        </w:rPr>
        <w:t xml:space="preserve">APSEZ has delivered consistent double-digit growth across revenue, EBITDA, and PAT over the past five years. Crucially, it has beaten its own guidance every single year, which builds management credibility.</w:t>
      </w:r>
    </w:p>
    <w:p>
      <w:pPr>
        <w:spacing w:after="6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20"/>
        <w:gridCol w:w="1520"/>
        <w:gridCol w:w="152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Year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Revenue (₹ Cr)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EBITDA (₹ Cr)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EBITDA Margin</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PAT (₹ Cr)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Cargo (MMT)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17,119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~4,900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~312</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20,852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~12,800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~6,800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342</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26,711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15,864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8,104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420</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31,079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19,025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11,061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450</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38,736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22,851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12,782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500.8</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5Y CAGR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w:t>
            </w:r>
          </w:p>
        </w:tc>
      </w:tr>
    </w:tbl>
    <w:p>
      <w:pPr>
        <w:spacing w:after="60" w:before="60"/>
      </w:pPr>
      <w:r>
        <w:rPr>
          <w:sz w:val="10"/>
          <w:szCs w:val="10"/>
        </w:rPr>
        <w:t xml:space="preserve"/>
      </w:r>
    </w:p>
    <w:p>
      <w:pPr>
        <w:spacing w:after="80" w:before="60"/>
      </w:pPr>
      <w:r>
        <w:rPr>
          <w:rFonts w:ascii="Arial" w:cs="Arial" w:eastAsia="Arial" w:hAnsi="Arial"/>
          <w:color w:val="1C2833"/>
          <w:sz w:val="20"/>
          <w:szCs w:val="20"/>
        </w:rPr>
        <w:t xml:space="preserve">FY26 results also beat the revised guidance (Revenue: ₹38,736 Cr vs guidance ₹38,000 Cr; EBITDA: ₹22,851 Cr vs guidance ₹22,800 Cr). APSEZ has now beaten or matched guidance for multiple consecutive years across all financial metrics.</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Pillar 3: Multi-Engine Revenue Diversification and Vertical Integration</w:t>
      </w:r>
    </w:p>
    <w:p>
      <w:pPr>
        <w:spacing w:after="80" w:before="60"/>
      </w:pPr>
      <w:r>
        <w:rPr>
          <w:rFonts w:ascii="Arial" w:cs="Arial" w:eastAsia="Arial" w:hAnsi="Arial"/>
          <w:color w:val="1C2833"/>
          <w:sz w:val="20"/>
          <w:szCs w:val="20"/>
        </w:rPr>
        <w:t xml:space="preserve">What differentiates APSEZ from a simple port play is the aggressive buildout of ancillary businesses that capture incremental value from the same cargo flow.</w:t>
      </w:r>
    </w:p>
    <w:p>
      <w:pPr>
        <w:spacing w:after="6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Segment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FY26 Revenue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FY26 YoY Growth</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Strategic Significance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Domestic Ports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₹25,755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+13%</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Core; 73.2% EBITDA margin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International Ports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₹4,539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+34%</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High growth; NQXT + Colombo ramp</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Logistics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~₹4,900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+55%</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Asset-light scaling; trucking + IFN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Marine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~₹2,600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+134%</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136 vessels; 50%+ margins targeted</w:t>
            </w:r>
          </w:p>
        </w:tc>
      </w:tr>
    </w:tbl>
    <w:p>
      <w:pPr>
        <w:spacing w:after="60" w:before="60"/>
      </w:pPr>
      <w:r>
        <w:rPr>
          <w:sz w:val="10"/>
          <w:szCs w:val="10"/>
        </w:rPr>
        <w:t xml:space="preserve"/>
      </w:r>
    </w:p>
    <w:p>
      <w:pPr>
        <w:spacing w:after="80" w:before="60"/>
      </w:pPr>
      <w:r>
        <w:rPr>
          <w:rFonts w:ascii="Arial" w:cs="Arial" w:eastAsia="Arial" w:hAnsi="Arial"/>
          <w:color w:val="1C2833"/>
          <w:sz w:val="20"/>
          <w:szCs w:val="20"/>
        </w:rPr>
        <w:t xml:space="preserve">Logistics ROCE improved from 6% in FY25 to 10% in FY26, with a target of ~20% by FY31 as asset-light (trucking) and asset-zero (international freight network) services scale up. Marine is expected to be a 3x business by FY27 from FY25 levels, with management guiding for sustainable margins above 50%.</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Pillar 4: Global Expansion and the East-West Trade Corridor Strategy</w:t>
      </w:r>
    </w:p>
    <w:p>
      <w:pPr>
        <w:spacing w:after="80" w:before="60"/>
      </w:pPr>
      <w:r>
        <w:rPr>
          <w:rFonts w:ascii="Arial" w:cs="Arial" w:eastAsia="Arial" w:hAnsi="Arial"/>
          <w:color w:val="1C2833"/>
          <w:sz w:val="20"/>
          <w:szCs w:val="20"/>
        </w:rPr>
        <w:t xml:space="preserve">APSEZ is strategically positioning itself along the East-West trade corridor — the spine of global container trade. This is no longer just an India story.</w:t>
      </w:r>
    </w:p>
    <w:p>
      <w:pPr>
        <w:pStyle w:val="ListParagraph"/>
        <w:numPr>
          <w:ilvl w:val="0"/>
          <w:numId w:val="2"/>
        </w:numPr>
        <w:spacing w:after="40" w:before="40"/>
      </w:pPr>
      <w:r>
        <w:rPr>
          <w:rFonts w:ascii="Arial" w:cs="Arial" w:eastAsia="Arial" w:hAnsi="Arial"/>
          <w:b w:val="false"/>
          <w:bCs w:val="false"/>
          <w:color w:val="1C2833"/>
          <w:sz w:val="20"/>
          <w:szCs w:val="20"/>
        </w:rPr>
        <w:t xml:space="preserve">Haifa Port (Israel): EBITDA grew 36% YoY in FY25; union agreement signed in April 2025 to unlock productivity gains</w:t>
      </w:r>
    </w:p>
    <w:p>
      <w:pPr>
        <w:pStyle w:val="ListParagraph"/>
        <w:numPr>
          <w:ilvl w:val="0"/>
          <w:numId w:val="2"/>
        </w:numPr>
        <w:spacing w:after="40" w:before="40"/>
      </w:pPr>
      <w:r>
        <w:rPr>
          <w:rFonts w:ascii="Arial" w:cs="Arial" w:eastAsia="Arial" w:hAnsi="Arial"/>
          <w:b w:val="false"/>
          <w:bCs w:val="false"/>
          <w:color w:val="1C2833"/>
          <w:sz w:val="20"/>
          <w:szCs w:val="20"/>
        </w:rPr>
        <w:t xml:space="preserve">CWIT Colombo (Sri Lanka): First fully automated deep-water terminal in Colombo; ramping up rapidly as a South Asian transshipment hub; handled 1.3m TEUs in inaugural year at Vizhinjam alone</w:t>
      </w:r>
    </w:p>
    <w:p>
      <w:pPr>
        <w:pStyle w:val="ListParagraph"/>
        <w:numPr>
          <w:ilvl w:val="0"/>
          <w:numId w:val="2"/>
        </w:numPr>
        <w:spacing w:after="40" w:before="40"/>
      </w:pPr>
      <w:r>
        <w:rPr>
          <w:rFonts w:ascii="Arial" w:cs="Arial" w:eastAsia="Arial" w:hAnsi="Arial"/>
          <w:b w:val="false"/>
          <w:bCs w:val="false"/>
          <w:color w:val="1C2833"/>
          <w:sz w:val="20"/>
          <w:szCs w:val="20"/>
        </w:rPr>
        <w:t xml:space="preserve">NQXT Australia (acquired December 2025): 50 MTPA coal export terminal in Queensland; cash-generating asset; expands APSEZ's corridor from India to East Asia</w:t>
      </w:r>
    </w:p>
    <w:p>
      <w:pPr>
        <w:pStyle w:val="ListParagraph"/>
        <w:numPr>
          <w:ilvl w:val="0"/>
          <w:numId w:val="2"/>
        </w:numPr>
        <w:spacing w:after="40" w:before="40"/>
      </w:pPr>
      <w:r>
        <w:rPr>
          <w:rFonts w:ascii="Arial" w:cs="Arial" w:eastAsia="Arial" w:hAnsi="Arial"/>
          <w:b w:val="false"/>
          <w:bCs w:val="false"/>
          <w:color w:val="1C2833"/>
          <w:sz w:val="20"/>
          <w:szCs w:val="20"/>
        </w:rPr>
        <w:t xml:space="preserve">Dar es Salaam Tanzania: 30-year concession for container terminal operations</w:t>
      </w:r>
    </w:p>
    <w:p>
      <w:pPr>
        <w:pStyle w:val="ListParagraph"/>
        <w:numPr>
          <w:ilvl w:val="0"/>
          <w:numId w:val="2"/>
        </w:numPr>
        <w:spacing w:after="40" w:before="40"/>
      </w:pPr>
      <w:r>
        <w:rPr>
          <w:rFonts w:ascii="Arial" w:cs="Arial" w:eastAsia="Arial" w:hAnsi="Arial"/>
          <w:b w:val="false"/>
          <w:bCs w:val="false"/>
          <w:color w:val="1C2833"/>
          <w:sz w:val="20"/>
          <w:szCs w:val="20"/>
        </w:rPr>
        <w:t xml:space="preserve">IMEC Partnership with Port of Marseille Fos (February 2026): Strategic India-Europe trade connectivity along the India-Middle East-Europe Corridor</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Pillar 5: Leverage Discipline and Improving Return Profile</w:t>
      </w:r>
    </w:p>
    <w:p>
      <w:pPr>
        <w:spacing w:after="80" w:before="60"/>
      </w:pPr>
      <w:r>
        <w:rPr>
          <w:rFonts w:ascii="Arial" w:cs="Arial" w:eastAsia="Arial" w:hAnsi="Arial"/>
          <w:color w:val="1C2833"/>
          <w:sz w:val="20"/>
          <w:szCs w:val="20"/>
        </w:rPr>
        <w:t xml:space="preserve">A common bear thesis on APSEZ has been leverage. The data shows meaningful improvement, and the company now targets future capex funded primarily through internal accruals.</w:t>
      </w:r>
    </w:p>
    <w:p>
      <w:pPr>
        <w:spacing w:after="6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2000"/>
        <w:gridCol w:w="1360"/>
      </w:tblGrid>
      <w:tr>
        <w:tc>
          <w:tcPr>
            <w:tcW w:type="dxa" w:w="1872"/>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Financial Metric</w:t>
            </w:r>
          </w:p>
        </w:tc>
        <w:tc>
          <w:tcPr>
            <w:tcW w:type="dxa" w:w="1872"/>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FY24</w:t>
            </w:r>
          </w:p>
        </w:tc>
        <w:tc>
          <w:tcPr>
            <w:tcW w:type="dxa" w:w="1872"/>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FY25</w:t>
            </w:r>
          </w:p>
        </w:tc>
        <w:tc>
          <w:tcPr>
            <w:tcW w:type="dxa" w:w="1872"/>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FY26</w:t>
            </w:r>
          </w:p>
        </w:tc>
        <w:tc>
          <w:tcPr>
            <w:tcW w:type="dxa" w:w="1872"/>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Trend</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Net Debt / EBITDA</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2.3x</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1.9x</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1.9x (proforma 1.8x)</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Improving</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Cash Balance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₹8,991 Cr</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~₹11,800 Cr (incl. NQXT)</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Improving</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ROCE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16% (excl. NQXT)</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Improving</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Domestic Port ROCE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21%</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23%</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Improving</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PAT Growth (YoY)</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+76% Q4</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+37%</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+16%</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Sustaining</w:t>
            </w:r>
          </w:p>
        </w:tc>
      </w:tr>
      <w:tr>
        <w:tc>
          <w:tcPr>
            <w:tcW w:type="dxa" w:w="1872"/>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Dividend (₹/share)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₹7.00</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₹7.50</w:t>
            </w:r>
          </w:p>
        </w:tc>
        <w:tc>
          <w:tcPr>
            <w:tcW w:type="dxa" w:w="187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Growing</w:t>
            </w:r>
          </w:p>
        </w:tc>
      </w:tr>
    </w:tbl>
    <w:p>
      <w:pPr>
        <w:spacing w:after="60" w:before="60"/>
      </w:pPr>
      <w:r>
        <w:rPr>
          <w:sz w:val="10"/>
          <w:szCs w:val="10"/>
        </w:rPr>
        <w:t xml:space="preserve"/>
      </w:r>
    </w:p>
    <w:p>
      <w:pPr>
        <w:spacing w:after="80" w:before="60"/>
      </w:pPr>
      <w:r>
        <w:rPr>
          <w:rFonts w:ascii="Arial" w:cs="Arial" w:eastAsia="Arial" w:hAnsi="Arial"/>
          <w:color w:val="1C2833"/>
          <w:sz w:val="20"/>
          <w:szCs w:val="20"/>
        </w:rPr>
        <w:t xml:space="preserve">Credit upgrades reinforce the balance sheet story: JCR (Japan) assigned 'A-/Stable' — a notch above India's sovereign rating. Moody's revised outlook from Negative to Stable (Baa3). ICRA reaffirmed AAA/Stable. Fitch revised outlook to Stable at BBB-. S&amp;P revised outlook to Positive at BBB-.</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Pillar 6: Clear Long-Term Volume Roadmap</w:t>
      </w:r>
    </w:p>
    <w:p>
      <w:pPr>
        <w:spacing w:after="80" w:before="60"/>
      </w:pPr>
      <w:r>
        <w:rPr>
          <w:rFonts w:ascii="Arial" w:cs="Arial" w:eastAsia="Arial" w:hAnsi="Arial"/>
          <w:color w:val="1C2833"/>
          <w:sz w:val="20"/>
          <w:szCs w:val="20"/>
        </w:rPr>
        <w:t xml:space="preserve">Management has articulated a specific, ambitious, and trackable 5-year growth roadmap:</w:t>
      </w:r>
    </w:p>
    <w:p>
      <w:pPr>
        <w:pStyle w:val="ListParagraph"/>
        <w:numPr>
          <w:ilvl w:val="0"/>
          <w:numId w:val="2"/>
        </w:numPr>
        <w:spacing w:after="40" w:before="40"/>
      </w:pPr>
      <w:r>
        <w:rPr>
          <w:rFonts w:ascii="Arial" w:cs="Arial" w:eastAsia="Arial" w:hAnsi="Arial"/>
          <w:b w:val="false"/>
          <w:bCs w:val="false"/>
          <w:color w:val="1C2833"/>
          <w:sz w:val="20"/>
          <w:szCs w:val="20"/>
        </w:rPr>
        <w:t xml:space="preserve">1 billion tonnes of cargo by December 2030 — up 2x from FY26's 500 MMT</w:t>
      </w:r>
    </w:p>
    <w:p>
      <w:pPr>
        <w:pStyle w:val="ListParagraph"/>
        <w:numPr>
          <w:ilvl w:val="0"/>
          <w:numId w:val="2"/>
        </w:numPr>
        <w:spacing w:after="40" w:before="40"/>
      </w:pPr>
      <w:r>
        <w:rPr>
          <w:rFonts w:ascii="Arial" w:cs="Arial" w:eastAsia="Arial" w:hAnsi="Arial"/>
          <w:b w:val="false"/>
          <w:bCs w:val="false"/>
          <w:color w:val="1C2833"/>
          <w:sz w:val="20"/>
          <w:szCs w:val="20"/>
        </w:rPr>
        <w:t xml:space="preserve">More than double revenue and EBITDA by FY31 (from FY26 base of ₹38,736 Cr / ₹22,851 Cr)</w:t>
      </w:r>
    </w:p>
    <w:p>
      <w:pPr>
        <w:pStyle w:val="ListParagraph"/>
        <w:numPr>
          <w:ilvl w:val="0"/>
          <w:numId w:val="2"/>
        </w:numPr>
        <w:spacing w:after="40" w:before="40"/>
      </w:pPr>
      <w:r>
        <w:rPr>
          <w:rFonts w:ascii="Arial" w:cs="Arial" w:eastAsia="Arial" w:hAnsi="Arial"/>
          <w:b w:val="false"/>
          <w:bCs w:val="false"/>
          <w:color w:val="1C2833"/>
          <w:sz w:val="20"/>
          <w:szCs w:val="20"/>
        </w:rPr>
        <w:t xml:space="preserve">Logistics and Marine businesses to grow 5x over the next 5 years</w:t>
      </w:r>
    </w:p>
    <w:p>
      <w:pPr>
        <w:pStyle w:val="ListParagraph"/>
        <w:numPr>
          <w:ilvl w:val="0"/>
          <w:numId w:val="2"/>
        </w:numPr>
        <w:spacing w:after="40" w:before="40"/>
      </w:pPr>
      <w:r>
        <w:rPr>
          <w:rFonts w:ascii="Arial" w:cs="Arial" w:eastAsia="Arial" w:hAnsi="Arial"/>
          <w:b w:val="false"/>
          <w:bCs w:val="false"/>
          <w:color w:val="1C2833"/>
          <w:sz w:val="20"/>
          <w:szCs w:val="20"/>
        </w:rPr>
        <w:t xml:space="preserve">Marine target: 50%+ sustainable EBITDA margins; Logistics ROCE target: ~20% by FY31</w:t>
      </w:r>
    </w:p>
    <w:p>
      <w:pPr>
        <w:pStyle w:val="ListParagraph"/>
        <w:numPr>
          <w:ilvl w:val="0"/>
          <w:numId w:val="2"/>
        </w:numPr>
        <w:spacing w:after="40" w:before="40"/>
      </w:pPr>
      <w:r>
        <w:rPr>
          <w:rFonts w:ascii="Arial" w:cs="Arial" w:eastAsia="Arial" w:hAnsi="Arial"/>
          <w:b w:val="false"/>
          <w:bCs w:val="false"/>
          <w:color w:val="1C2833"/>
          <w:sz w:val="20"/>
          <w:szCs w:val="20"/>
        </w:rPr>
        <w:t xml:space="preserve">Planned capex of ₹50,000 Cr between FY25-FY30, to be funded via internal accruals</w:t>
      </w:r>
    </w:p>
    <w:p>
      <w:pPr>
        <w:pStyle w:val="ListParagraph"/>
        <w:numPr>
          <w:ilvl w:val="0"/>
          <w:numId w:val="2"/>
        </w:numPr>
        <w:spacing w:after="40" w:before="40"/>
      </w:pPr>
      <w:r>
        <w:rPr>
          <w:rFonts w:ascii="Arial" w:cs="Arial" w:eastAsia="Arial" w:hAnsi="Arial"/>
          <w:b w:val="false"/>
          <w:bCs w:val="false"/>
          <w:color w:val="1C2833"/>
          <w:sz w:val="20"/>
          <w:szCs w:val="20"/>
        </w:rPr>
        <w:t xml:space="preserve">FY27 guidance: Revenue ₹43,000-45,000 Cr; EBITDA ₹25,000-26,000 Cr; capex ₹12,000-14,000 Cr</w:t>
      </w:r>
    </w:p>
    <w:p>
      <w:pPr>
        <w:spacing w:after="60" w:before="60"/>
      </w:pPr>
      <w:r>
        <w:rPr>
          <w:sz w:val="10"/>
          <w:szCs w:val="10"/>
        </w:rPr>
        <w:t xml:space="preserve"/>
      </w:r>
    </w:p>
    <w:p>
      <w:pPr>
        <w:spacing w:after="80" w:before="60"/>
      </w:pPr>
      <w:r>
        <w:rPr>
          <w:rFonts w:ascii="Arial" w:cs="Arial" w:eastAsia="Arial" w:hAnsi="Arial"/>
          <w:color w:val="1C2833"/>
          <w:sz w:val="20"/>
          <w:szCs w:val="20"/>
        </w:rPr>
        <w:t xml:space="preserve">Historical context validates the trajectory: It took APSEZ 16 years to reach its first 100 MMT, but the last 200 MMT was added in just 4 years. The acceleration is structural, not cyclical.</w:t>
      </w:r>
    </w:p>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3. Detailed Financial Analysis</w:t>
      </w:r>
    </w:p>
    <w:p>
      <w:pPr>
        <w:pBdr>
          <w:bottom w:val="single" w:color="1ABC9C" w:sz="3"/>
        </w:pBdr>
        <w:spacing w:after="120" w:before="280"/>
      </w:pPr>
      <w:r>
        <w:rPr>
          <w:rFonts w:ascii="Arial" w:cs="Arial" w:eastAsia="Arial" w:hAnsi="Arial"/>
          <w:b/>
          <w:bCs/>
          <w:color w:val="1A5276"/>
          <w:sz w:val="24"/>
          <w:szCs w:val="24"/>
        </w:rPr>
        <w:t xml:space="preserve">3.1 Quarterly Performance Trend (₹ Crore,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20"/>
        <w:gridCol w:w="1520"/>
        <w:gridCol w:w="152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Quarter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Revenue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Operating Profit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OPM %</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Net Profit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EPS (₹)</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Q3 FY24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6,920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4,196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2,208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10.22</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Q4 FY24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6,896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4,009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2,015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9.44</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Q1 FY25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7,560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4,739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3,107</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14.41</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Q2 FY25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7,067</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4,367</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2,413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11.32</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Q3 FY25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7,964</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4,802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2,518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11.67</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Q4 FY25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8,488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5,006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3,023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13.95</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Q1 FY26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9,126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5,495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3,311</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15.34</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Q2 FY26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9,167</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5,340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3,120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14.39</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Q3 FY26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9,705</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5,786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3,043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13.25</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Q4 FY26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10,738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6,020</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3,308</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~15.30</w:t>
            </w:r>
          </w:p>
        </w:tc>
      </w:tr>
    </w:tbl>
    <w:p>
      <w:pPr>
        <w:spacing w:after="60" w:before="60"/>
      </w:pPr>
      <w:r>
        <w:rPr>
          <w:sz w:val="10"/>
          <w:szCs w:val="10"/>
        </w:rPr>
        <w:t xml:space="preserve"/>
      </w:r>
    </w:p>
    <w:p>
      <w:pPr>
        <w:spacing w:after="80" w:before="60"/>
      </w:pPr>
      <w:r>
        <w:rPr>
          <w:rFonts w:ascii="Arial" w:cs="Arial" w:eastAsia="Arial" w:hAnsi="Arial"/>
          <w:color w:val="1C2833"/>
          <w:sz w:val="20"/>
          <w:szCs w:val="20"/>
        </w:rPr>
        <w:t xml:space="preserve">Revenue has grown from ₹6,920 Cr in Q3 FY24 to ₹10,738 Cr in Q4 FY26 — a 55% increase in just 8 quarters. EBITDA has tracked proportionally, from ₹4,196 Cr to ₹6,020 Cr, confirming operational leverage at scale.</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3.2 Annual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20"/>
        <w:gridCol w:w="1520"/>
        <w:gridCol w:w="1600"/>
        <w:gridCol w:w="1320"/>
      </w:tblGrid>
      <w:tr>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Year</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Revenue</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EBITDA</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Depreciation</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Interest</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PAT</w:t>
            </w:r>
          </w:p>
        </w:tc>
        <w:tc>
          <w:tcPr>
            <w:tcW w:type="dxa" w:w="1337"/>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PAT Margin</w:t>
            </w:r>
          </w:p>
        </w:tc>
      </w:tr>
      <w:tr>
        <w:tc>
          <w:tcPr>
            <w:tcW w:type="dxa" w:w="133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FY22</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17,119</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~3,600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~2,100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~4,900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~29%</w:t>
            </w:r>
          </w:p>
        </w:tc>
      </w:tr>
      <w:tr>
        <w:tc>
          <w:tcPr>
            <w:tcW w:type="dxa" w:w="133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FY23</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20,852</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~12,800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~3,700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~2,300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~6,800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~33%</w:t>
            </w:r>
          </w:p>
        </w:tc>
      </w:tr>
      <w:tr>
        <w:tc>
          <w:tcPr>
            <w:tcW w:type="dxa" w:w="133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FY24</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26,711</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15,864</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~3,900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~2,800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8,104</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30%</w:t>
            </w:r>
          </w:p>
        </w:tc>
      </w:tr>
      <w:tr>
        <w:tc>
          <w:tcPr>
            <w:tcW w:type="dxa" w:w="133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FY25</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31,079</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19,025</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~4,380</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~2,781</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11,061</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36%</w:t>
            </w:r>
          </w:p>
        </w:tc>
      </w:tr>
      <w:tr>
        <w:tc>
          <w:tcPr>
            <w:tcW w:type="dxa" w:w="1337"/>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FY26</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38,736</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22,851</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~5,103</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~3,968</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12,782</w:t>
            </w:r>
          </w:p>
        </w:tc>
        <w:tc>
          <w:tcPr>
            <w:tcW w:type="dxa" w:w="1337"/>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33%</w:t>
            </w:r>
          </w:p>
        </w:tc>
      </w:tr>
    </w:tbl>
    <w:p>
      <w:pPr>
        <w:spacing w:after="60" w:before="60"/>
      </w:pPr>
      <w:r>
        <w:rPr>
          <w:sz w:val="10"/>
          <w:szCs w:val="10"/>
        </w:rPr>
        <w:t xml:space="preserve"/>
      </w:r>
    </w:p>
    <w:p>
      <w:pPr>
        <w:spacing w:after="80" w:before="60"/>
      </w:pPr>
      <w:r>
        <w:rPr>
          <w:rFonts w:ascii="Arial" w:cs="Arial" w:eastAsia="Arial" w:hAnsi="Arial"/>
          <w:color w:val="1C2833"/>
          <w:sz w:val="20"/>
          <w:szCs w:val="20"/>
        </w:rPr>
        <w:t xml:space="preserve">Q4 FY26 showed a modest 9% YoY PAT growth (vs. the 20%+ EBITDA growth) — partially due to rising interest costs associated with the NQXT acquisition and other capex financing. Management noted this is transitional and that future capex will be funded via internal accruals.</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3.3 Key Valuation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Metric</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Value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Comments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P/E (FY26)</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~29x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Based on ₹12,782 Cr PAT; CMP ~₹1,655</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EV/EBITDA (FY26)</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~20x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Premium to global port peers; justified by growth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P/B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~4.6x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Book value ~₹291/share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Dividend Yield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~0.45%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₹7.50/share for FY26</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5Y PAT CAGR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~23%</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Strong earnings power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ROE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~18.8%</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Improving with higher margins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ROCE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16%</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FY26; excluding NQXT first year</w:t>
            </w:r>
          </w:p>
        </w:tc>
      </w:tr>
    </w:tbl>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4. Growth Catalysts</w:t>
      </w:r>
    </w:p>
    <w:p>
      <w:pPr>
        <w:pBdr>
          <w:bottom w:val="single" w:color="1ABC9C" w:sz="3"/>
        </w:pBdr>
        <w:spacing w:after="120" w:before="280"/>
      </w:pPr>
      <w:r>
        <w:rPr>
          <w:rFonts w:ascii="Arial" w:cs="Arial" w:eastAsia="Arial" w:hAnsi="Arial"/>
          <w:b/>
          <w:bCs/>
          <w:color w:val="1A5276"/>
          <w:sz w:val="24"/>
          <w:szCs w:val="24"/>
        </w:rPr>
        <w:t xml:space="preserve">4.1 India's Trade and Infrastructure Megatrend</w:t>
      </w:r>
    </w:p>
    <w:p>
      <w:pPr>
        <w:spacing w:after="80" w:before="60"/>
      </w:pPr>
      <w:r>
        <w:rPr>
          <w:rFonts w:ascii="Arial" w:cs="Arial" w:eastAsia="Arial" w:hAnsi="Arial"/>
          <w:color w:val="1C2833"/>
          <w:sz w:val="20"/>
          <w:szCs w:val="20"/>
        </w:rPr>
        <w:t xml:space="preserve">India's merchandise trade is targeted to reach USD 1 trillion by 2030. Container traffic is expected to grow at a CAGR of 8-10% over the next decade. India's government has committed to develop port infrastructure under PM Gati Shakti and Sagarmala, creating a powerful tailwind for the only private port operator with all-India coverage.</w:t>
      </w:r>
    </w:p>
    <w:p>
      <w:pPr>
        <w:pStyle w:val="ListParagraph"/>
        <w:numPr>
          <w:ilvl w:val="0"/>
          <w:numId w:val="2"/>
        </w:numPr>
        <w:spacing w:after="40" w:before="40"/>
      </w:pPr>
      <w:r>
        <w:rPr>
          <w:rFonts w:ascii="Arial" w:cs="Arial" w:eastAsia="Arial" w:hAnsi="Arial"/>
          <w:b w:val="false"/>
          <w:bCs w:val="false"/>
          <w:color w:val="1C2833"/>
          <w:sz w:val="20"/>
          <w:szCs w:val="20"/>
        </w:rPr>
        <w:t xml:space="preserve">India's rising share in global supply chains (China +1 strategy) directly benefits APSEZ as the gateway for exports</w:t>
      </w:r>
    </w:p>
    <w:p>
      <w:pPr>
        <w:pStyle w:val="ListParagraph"/>
        <w:numPr>
          <w:ilvl w:val="0"/>
          <w:numId w:val="2"/>
        </w:numPr>
        <w:spacing w:after="40" w:before="40"/>
      </w:pPr>
      <w:r>
        <w:rPr>
          <w:rFonts w:ascii="Arial" w:cs="Arial" w:eastAsia="Arial" w:hAnsi="Arial"/>
          <w:b w:val="false"/>
          <w:bCs w:val="false"/>
          <w:color w:val="1C2833"/>
          <w:sz w:val="20"/>
          <w:szCs w:val="20"/>
        </w:rPr>
        <w:t xml:space="preserve">PLI scheme-driven industrial expansion in Gujarat, AP, and Odisha hinterlands feeds directly into APSEZ ports</w:t>
      </w:r>
    </w:p>
    <w:p>
      <w:pPr>
        <w:pStyle w:val="ListParagraph"/>
        <w:numPr>
          <w:ilvl w:val="0"/>
          <w:numId w:val="2"/>
        </w:numPr>
        <w:spacing w:after="40" w:before="40"/>
      </w:pPr>
      <w:r>
        <w:rPr>
          <w:rFonts w:ascii="Arial" w:cs="Arial" w:eastAsia="Arial" w:hAnsi="Arial"/>
          <w:b w:val="false"/>
          <w:bCs w:val="false"/>
          <w:color w:val="1C2833"/>
          <w:sz w:val="20"/>
          <w:szCs w:val="20"/>
        </w:rPr>
        <w:t xml:space="preserve">Container penetration in India (currently ~5% of cargo by volume vs. 15-20% globally) offers a long structural runway</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4.2 Vizhinjam — India's First Transshipment Hub</w:t>
      </w:r>
    </w:p>
    <w:p>
      <w:pPr>
        <w:spacing w:after="80" w:before="60"/>
      </w:pPr>
      <w:r>
        <w:rPr>
          <w:rFonts w:ascii="Arial" w:cs="Arial" w:eastAsia="Arial" w:hAnsi="Arial"/>
          <w:color w:val="1C2833"/>
          <w:sz w:val="20"/>
          <w:szCs w:val="20"/>
        </w:rPr>
        <w:t xml:space="preserve">Vizhinjam is potentially the most significant single new asset in India's port history. Located close to the global East-West shipping lane (unlike all other Indian ports), it can handle Ultra Large Container Vessels (ULCVs) that previously bypassed India for Colombo or Singapore.</w:t>
      </w:r>
    </w:p>
    <w:p>
      <w:pPr>
        <w:pStyle w:val="ListParagraph"/>
        <w:numPr>
          <w:ilvl w:val="0"/>
          <w:numId w:val="2"/>
        </w:numPr>
        <w:spacing w:after="40" w:before="40"/>
      </w:pPr>
      <w:r>
        <w:rPr>
          <w:rFonts w:ascii="Arial" w:cs="Arial" w:eastAsia="Arial" w:hAnsi="Arial"/>
          <w:b w:val="false"/>
          <w:bCs w:val="false"/>
          <w:color w:val="1C2833"/>
          <w:sz w:val="20"/>
          <w:szCs w:val="20"/>
        </w:rPr>
        <w:t xml:space="preserve">Crossed 100,000 TEU/month milestone in March 2025 — just 4 months after commencing operations</w:t>
      </w:r>
    </w:p>
    <w:p>
      <w:pPr>
        <w:pStyle w:val="ListParagraph"/>
        <w:numPr>
          <w:ilvl w:val="0"/>
          <w:numId w:val="2"/>
        </w:numPr>
        <w:spacing w:after="40" w:before="40"/>
      </w:pPr>
      <w:r>
        <w:rPr>
          <w:rFonts w:ascii="Arial" w:cs="Arial" w:eastAsia="Arial" w:hAnsi="Arial"/>
          <w:b w:val="false"/>
          <w:bCs w:val="false"/>
          <w:color w:val="1C2833"/>
          <w:sz w:val="20"/>
          <w:szCs w:val="20"/>
        </w:rPr>
        <w:t xml:space="preserve">Handled 1.3 million TEUs in its inaugural year, the fastest any Indian port has crossed 1 million TEUs</w:t>
      </w:r>
    </w:p>
    <w:p>
      <w:pPr>
        <w:pStyle w:val="ListParagraph"/>
        <w:numPr>
          <w:ilvl w:val="0"/>
          <w:numId w:val="2"/>
        </w:numPr>
        <w:spacing w:after="40" w:before="40"/>
      </w:pPr>
      <w:r>
        <w:rPr>
          <w:rFonts w:ascii="Arial" w:cs="Arial" w:eastAsia="Arial" w:hAnsi="Arial"/>
          <w:b w:val="false"/>
          <w:bCs w:val="false"/>
          <w:color w:val="1C2833"/>
          <w:sz w:val="20"/>
          <w:szCs w:val="20"/>
        </w:rPr>
        <w:t xml:space="preserve">Handled 41 ULCVs — highest ever for any Indian port</w:t>
      </w:r>
    </w:p>
    <w:p>
      <w:pPr>
        <w:pStyle w:val="ListParagraph"/>
        <w:numPr>
          <w:ilvl w:val="0"/>
          <w:numId w:val="2"/>
        </w:numPr>
        <w:spacing w:after="40" w:before="40"/>
      </w:pPr>
      <w:r>
        <w:rPr>
          <w:rFonts w:ascii="Arial" w:cs="Arial" w:eastAsia="Arial" w:hAnsi="Arial"/>
          <w:b w:val="false"/>
          <w:bCs w:val="false"/>
          <w:color w:val="1C2833"/>
          <w:sz w:val="20"/>
          <w:szCs w:val="20"/>
        </w:rPr>
        <w:t xml:space="preserve">Phase 2 construction underway (completion December 2028); will expand capacity from 1.6m TEUs to 5.7m TEUs with ₹16,000 Cr investment</w:t>
      </w:r>
    </w:p>
    <w:p>
      <w:pPr>
        <w:pStyle w:val="ListParagraph"/>
        <w:numPr>
          <w:ilvl w:val="0"/>
          <w:numId w:val="2"/>
        </w:numPr>
        <w:spacing w:after="40" w:before="40"/>
      </w:pPr>
      <w:r>
        <w:rPr>
          <w:rFonts w:ascii="Arial" w:cs="Arial" w:eastAsia="Arial" w:hAnsi="Arial"/>
          <w:b w:val="false"/>
          <w:bCs w:val="false"/>
          <w:color w:val="1C2833"/>
          <w:sz w:val="20"/>
          <w:szCs w:val="20"/>
        </w:rPr>
        <w:t xml:space="preserve">MoU with BPCL for India's first ship-to-ship LNG bunkering operations — creating an ecosystem</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4.3 Logistics and Marine: Asset-Light Upside</w:t>
      </w:r>
    </w:p>
    <w:p>
      <w:pPr>
        <w:spacing w:after="80" w:before="60"/>
      </w:pPr>
      <w:r>
        <w:rPr>
          <w:rFonts w:ascii="Arial" w:cs="Arial" w:eastAsia="Arial" w:hAnsi="Arial"/>
          <w:color w:val="1C2833"/>
          <w:sz w:val="20"/>
          <w:szCs w:val="20"/>
        </w:rPr>
        <w:t xml:space="preserve">The traditional port business is capital-intensive. The newer asset-light businesses (trucking marketplace TMS, international freight network IFN) are growing faster than port revenue and carrying higher ROCE, dramatically improving the quality of earnings.</w:t>
      </w:r>
    </w:p>
    <w:p>
      <w:pPr>
        <w:pStyle w:val="ListParagraph"/>
        <w:numPr>
          <w:ilvl w:val="0"/>
          <w:numId w:val="2"/>
        </w:numPr>
        <w:spacing w:after="40" w:before="40"/>
      </w:pPr>
      <w:r>
        <w:rPr>
          <w:rFonts w:ascii="Arial" w:cs="Arial" w:eastAsia="Arial" w:hAnsi="Arial"/>
          <w:b w:val="false"/>
          <w:bCs w:val="false"/>
          <w:color w:val="1C2833"/>
          <w:sz w:val="20"/>
          <w:szCs w:val="20"/>
        </w:rPr>
        <w:t xml:space="preserve">Logistics revenue grew 55% in FY26; international freight network EBITDA margin jumped 770 bps YoY in Q3 FY26</w:t>
      </w:r>
    </w:p>
    <w:p>
      <w:pPr>
        <w:pStyle w:val="ListParagraph"/>
        <w:numPr>
          <w:ilvl w:val="0"/>
          <w:numId w:val="2"/>
        </w:numPr>
        <w:spacing w:after="40" w:before="40"/>
      </w:pPr>
      <w:r>
        <w:rPr>
          <w:rFonts w:ascii="Arial" w:cs="Arial" w:eastAsia="Arial" w:hAnsi="Arial"/>
          <w:b w:val="false"/>
          <w:bCs w:val="false"/>
          <w:color w:val="1C2833"/>
          <w:sz w:val="20"/>
          <w:szCs w:val="20"/>
        </w:rPr>
        <w:t xml:space="preserve">TMS (Trucking Management Solution): an AI-powered marketplace connecting truckers to customers; scales without proportionate capex</w:t>
      </w:r>
    </w:p>
    <w:p>
      <w:pPr>
        <w:pStyle w:val="ListParagraph"/>
        <w:numPr>
          <w:ilvl w:val="0"/>
          <w:numId w:val="2"/>
        </w:numPr>
        <w:spacing w:after="40" w:before="40"/>
      </w:pPr>
      <w:r>
        <w:rPr>
          <w:rFonts w:ascii="Arial" w:cs="Arial" w:eastAsia="Arial" w:hAnsi="Arial"/>
          <w:b w:val="false"/>
          <w:bCs w:val="false"/>
          <w:color w:val="1C2833"/>
          <w:sz w:val="20"/>
          <w:szCs w:val="20"/>
        </w:rPr>
        <w:t xml:space="preserve">IFN: acts as a volume generator for ports; asset-zero; connects carriers with end-users globally</w:t>
      </w:r>
    </w:p>
    <w:p>
      <w:pPr>
        <w:pStyle w:val="ListParagraph"/>
        <w:numPr>
          <w:ilvl w:val="0"/>
          <w:numId w:val="2"/>
        </w:numPr>
        <w:spacing w:after="40" w:before="40"/>
      </w:pPr>
      <w:r>
        <w:rPr>
          <w:rFonts w:ascii="Arial" w:cs="Arial" w:eastAsia="Arial" w:hAnsi="Arial"/>
          <w:b w:val="false"/>
          <w:bCs w:val="false"/>
          <w:color w:val="1C2833"/>
          <w:sz w:val="20"/>
          <w:szCs w:val="20"/>
        </w:rPr>
        <w:t xml:space="preserve">Logistics ROCE: 10% in FY26, targeted at 20% by FY31</w:t>
      </w:r>
    </w:p>
    <w:p>
      <w:pPr>
        <w:pStyle w:val="ListParagraph"/>
        <w:numPr>
          <w:ilvl w:val="0"/>
          <w:numId w:val="2"/>
        </w:numPr>
        <w:spacing w:after="40" w:before="40"/>
      </w:pPr>
      <w:r>
        <w:rPr>
          <w:rFonts w:ascii="Arial" w:cs="Arial" w:eastAsia="Arial" w:hAnsi="Arial"/>
          <w:b w:val="false"/>
          <w:bCs w:val="false"/>
          <w:color w:val="1C2833"/>
          <w:sz w:val="20"/>
          <w:szCs w:val="20"/>
        </w:rPr>
        <w:t xml:space="preserve">Marine fleet at 136 vessels; Astro Offshore (acquired October 2024) expands MEASA presence with Tier-1 clients on take-or-pay contracts</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4.4 NQXT Australia — International Leverage Play</w:t>
      </w:r>
    </w:p>
    <w:p>
      <w:pPr>
        <w:spacing w:after="80" w:before="60"/>
      </w:pPr>
      <w:r>
        <w:rPr>
          <w:rFonts w:ascii="Arial" w:cs="Arial" w:eastAsia="Arial" w:hAnsi="Arial"/>
          <w:color w:val="1C2833"/>
          <w:sz w:val="20"/>
          <w:szCs w:val="20"/>
        </w:rPr>
        <w:t xml:space="preserve">The acquisition of North Queensland Export Terminal (50 MTPA, Australia) completed December 2025 is immediately cash-accretive and strategically positions APSEZ as a global player along the East-West corridor. At proforma 1.8x Net Debt/EBITDA post-acquisition (vs. APSEZ's policy cap of 2.5x), leverage headroom remains comfortable. Q4 FY26 marked the first full quarter of NQXT consolidation and contributed to the international ports EBITDA margin reaching an all-time high of 42%.</w:t>
      </w:r>
    </w:p>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4.5 Technology and Operational Excellence</w:t>
      </w:r>
    </w:p>
    <w:p>
      <w:pPr>
        <w:pStyle w:val="ListParagraph"/>
        <w:numPr>
          <w:ilvl w:val="0"/>
          <w:numId w:val="2"/>
        </w:numPr>
        <w:spacing w:after="40" w:before="40"/>
      </w:pPr>
      <w:r>
        <w:rPr>
          <w:rFonts w:ascii="Arial" w:cs="Arial" w:eastAsia="Arial" w:hAnsi="Arial"/>
          <w:b w:val="false"/>
          <w:bCs w:val="false"/>
          <w:color w:val="1C2833"/>
          <w:sz w:val="20"/>
          <w:szCs w:val="20"/>
        </w:rPr>
        <w:t xml:space="preserve">Mundra became first Indian port and among select global ports to handle a fully laden VLCC directly at a jetty — reduces transportation costs significantly</w:t>
      </w:r>
    </w:p>
    <w:p>
      <w:pPr>
        <w:pStyle w:val="ListParagraph"/>
        <w:numPr>
          <w:ilvl w:val="0"/>
          <w:numId w:val="2"/>
        </w:numPr>
        <w:spacing w:after="40" w:before="40"/>
      </w:pPr>
      <w:r>
        <w:rPr>
          <w:rFonts w:ascii="Arial" w:cs="Arial" w:eastAsia="Arial" w:hAnsi="Arial"/>
          <w:b w:val="false"/>
          <w:bCs w:val="false"/>
          <w:color w:val="1C2833"/>
          <w:sz w:val="20"/>
          <w:szCs w:val="20"/>
        </w:rPr>
        <w:t xml:space="preserve">Tara AI: in-house LLM-powered voice bot for logistics coordination</w:t>
      </w:r>
    </w:p>
    <w:p>
      <w:pPr>
        <w:pStyle w:val="ListParagraph"/>
        <w:numPr>
          <w:ilvl w:val="0"/>
          <w:numId w:val="2"/>
        </w:numPr>
        <w:spacing w:after="40" w:before="40"/>
      </w:pPr>
      <w:r>
        <w:rPr>
          <w:rFonts w:ascii="Arial" w:cs="Arial" w:eastAsia="Arial" w:hAnsi="Arial"/>
          <w:b w:val="false"/>
          <w:bCs w:val="false"/>
          <w:color w:val="1C2833"/>
          <w:sz w:val="20"/>
          <w:szCs w:val="20"/>
        </w:rPr>
        <w:t xml:space="preserve">AI-powered pilferage risk assessment using route deviation analysis, QR seals, zig-zag pattern detection</w:t>
      </w:r>
    </w:p>
    <w:p>
      <w:pPr>
        <w:pStyle w:val="ListParagraph"/>
        <w:numPr>
          <w:ilvl w:val="0"/>
          <w:numId w:val="2"/>
        </w:numPr>
        <w:spacing w:after="40" w:before="40"/>
      </w:pPr>
      <w:r>
        <w:rPr>
          <w:rFonts w:ascii="Arial" w:cs="Arial" w:eastAsia="Arial" w:hAnsi="Arial"/>
          <w:b w:val="false"/>
          <w:bCs w:val="false"/>
          <w:color w:val="1C2833"/>
          <w:sz w:val="20"/>
          <w:szCs w:val="20"/>
        </w:rPr>
        <w:t xml:space="preserve">Commissioned 2 container rail handling lines at South Port Rail Head, Mundra to augment capacity</w:t>
      </w:r>
    </w:p>
    <w:p>
      <w:pPr>
        <w:pStyle w:val="ListParagraph"/>
        <w:numPr>
          <w:ilvl w:val="0"/>
          <w:numId w:val="2"/>
        </w:numPr>
        <w:spacing w:after="40" w:before="40"/>
      </w:pPr>
      <w:r>
        <w:rPr>
          <w:rFonts w:ascii="Arial" w:cs="Arial" w:eastAsia="Arial" w:hAnsi="Arial"/>
          <w:b w:val="false"/>
          <w:bCs w:val="false"/>
          <w:color w:val="1C2833"/>
          <w:sz w:val="20"/>
          <w:szCs w:val="20"/>
        </w:rPr>
        <w:t xml:space="preserve">12 ports certified Zero Waste to Landfill; MSCI ESG rating upgraded from CCC to B</w:t>
      </w:r>
    </w:p>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5. Key Risks and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Risk</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Nature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Mitigant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Conglomerate / Promoter Risk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High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Adani Group exposure; governance scrutiny post-Hindenburg (2023). Mitigant: APSEZ has own credit ratings (AAA domestic, BBB- international); independent cash flows; no material cross-default clauses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Rising Interest Costs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FY26 interest grew faster than EBITDA. Mitigant: Management commits to funding future capex from internal accruals; average debt maturity extended to 5.6 years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Concentration at Mundra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Mundra alone contributes ~40%+ of domestic port revenue. Mitigant: Geographic diversification across 15 ports is ongoing; East coast growing faster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Coal Cargo Decline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Shift away from thermal coal (EXIM coal volumes weak in FY25). Mitigant: Container and liquid cargo growing faster; container share now 45.5% vs. lower in prior years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Geopolitical / Trade Disruption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Red Sea disruptions, US tariffs could reduce trade volumes. Mitigant: Global tariff uncertainty in Q4 FY26 was flagged by management but did not prevent guidance beat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Capex Execution Risk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₹50,000 Cr plan FY25-30 is ambitious. Mitigant: Track record of on-time commissioning (Vizhinjam, Colombo); phased approach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Valuation Stretched at Entry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Trading at ~29x FY26 P/E. Mitigant: Growth-adjusted, PEG ratio is attractive given 20%+ EBITDA CAGR guidance; infrastructure premium warranted</w:t>
            </w:r>
          </w:p>
        </w:tc>
      </w:tr>
    </w:tbl>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6. ESG Profile</w:t>
      </w:r>
    </w:p>
    <w:p>
      <w:pPr>
        <w:spacing w:after="80" w:before="60"/>
      </w:pPr>
      <w:r>
        <w:rPr>
          <w:rFonts w:ascii="Arial" w:cs="Arial" w:eastAsia="Arial" w:hAnsi="Arial"/>
          <w:color w:val="1C2833"/>
          <w:sz w:val="20"/>
          <w:szCs w:val="20"/>
        </w:rPr>
        <w:t xml:space="preserve">APSEZ has meaningfully improved its ESG standing, which matters for institutional capital and global bond markets where its debt is listed.</w:t>
      </w:r>
    </w:p>
    <w:p>
      <w:pPr>
        <w:pStyle w:val="ListParagraph"/>
        <w:numPr>
          <w:ilvl w:val="0"/>
          <w:numId w:val="2"/>
        </w:numPr>
        <w:spacing w:after="40" w:before="40"/>
      </w:pPr>
      <w:r>
        <w:rPr>
          <w:rFonts w:ascii="Arial" w:cs="Arial" w:eastAsia="Arial" w:hAnsi="Arial"/>
          <w:b w:val="false"/>
          <w:bCs w:val="false"/>
          <w:color w:val="1C2833"/>
          <w:sz w:val="20"/>
          <w:szCs w:val="20"/>
        </w:rPr>
        <w:t xml:space="preserve">Net Zero commitment by 2040; 225 MW of renewable capacity commissioned</w:t>
      </w:r>
    </w:p>
    <w:p>
      <w:pPr>
        <w:pStyle w:val="ListParagraph"/>
        <w:numPr>
          <w:ilvl w:val="0"/>
          <w:numId w:val="2"/>
        </w:numPr>
        <w:spacing w:after="40" w:before="40"/>
      </w:pPr>
      <w:r>
        <w:rPr>
          <w:rFonts w:ascii="Arial" w:cs="Arial" w:eastAsia="Arial" w:hAnsi="Arial"/>
          <w:b w:val="false"/>
          <w:bCs w:val="false"/>
          <w:color w:val="1C2833"/>
          <w:sz w:val="20"/>
          <w:szCs w:val="20"/>
        </w:rPr>
        <w:t xml:space="preserve">S&amp;P Global CSA 2025: Score 66/100; Top 95th percentile globally in transportation infrastructure</w:t>
      </w:r>
    </w:p>
    <w:p>
      <w:pPr>
        <w:pStyle w:val="ListParagraph"/>
        <w:numPr>
          <w:ilvl w:val="0"/>
          <w:numId w:val="2"/>
        </w:numPr>
        <w:spacing w:after="40" w:before="40"/>
      </w:pPr>
      <w:r>
        <w:rPr>
          <w:rFonts w:ascii="Arial" w:cs="Arial" w:eastAsia="Arial" w:hAnsi="Arial"/>
          <w:b w:val="false"/>
          <w:bCs w:val="false"/>
          <w:color w:val="1C2833"/>
          <w:sz w:val="20"/>
          <w:szCs w:val="20"/>
        </w:rPr>
        <w:t xml:space="preserve">CDP 2024: 'A-' (Leadership) in both climate change and water security — first time in water security leadership band</w:t>
      </w:r>
    </w:p>
    <w:p>
      <w:pPr>
        <w:pStyle w:val="ListParagraph"/>
        <w:numPr>
          <w:ilvl w:val="0"/>
          <w:numId w:val="2"/>
        </w:numPr>
        <w:spacing w:after="40" w:before="40"/>
      </w:pPr>
      <w:r>
        <w:rPr>
          <w:rFonts w:ascii="Arial" w:cs="Arial" w:eastAsia="Arial" w:hAnsi="Arial"/>
          <w:b w:val="false"/>
          <w:bCs w:val="false"/>
          <w:color w:val="1C2833"/>
          <w:sz w:val="20"/>
          <w:szCs w:val="20"/>
        </w:rPr>
        <w:t xml:space="preserve">JCR 'A-/Stable' — a notch above India's sovereign rating — unusual recognition for a private infrastructure player</w:t>
      </w:r>
    </w:p>
    <w:p>
      <w:pPr>
        <w:pStyle w:val="ListParagraph"/>
        <w:numPr>
          <w:ilvl w:val="0"/>
          <w:numId w:val="2"/>
        </w:numPr>
        <w:spacing w:after="40" w:before="40"/>
      </w:pPr>
      <w:r>
        <w:rPr>
          <w:rFonts w:ascii="Arial" w:cs="Arial" w:eastAsia="Arial" w:hAnsi="Arial"/>
          <w:b w:val="false"/>
          <w:bCs w:val="false"/>
          <w:color w:val="1C2833"/>
          <w:sz w:val="20"/>
          <w:szCs w:val="20"/>
        </w:rPr>
        <w:t xml:space="preserve">India's first company in the sector to adopt Taskforce on Nature-related Financial Disclosures (TNFD)</w:t>
      </w:r>
    </w:p>
    <w:p>
      <w:pPr>
        <w:pStyle w:val="ListParagraph"/>
        <w:numPr>
          <w:ilvl w:val="0"/>
          <w:numId w:val="2"/>
        </w:numPr>
        <w:spacing w:after="40" w:before="40"/>
      </w:pPr>
      <w:r>
        <w:rPr>
          <w:rFonts w:ascii="Arial" w:cs="Arial" w:eastAsia="Arial" w:hAnsi="Arial"/>
          <w:b w:val="false"/>
          <w:bCs w:val="false"/>
          <w:color w:val="1C2833"/>
          <w:sz w:val="20"/>
          <w:szCs w:val="20"/>
        </w:rPr>
        <w:t xml:space="preserve">12 ports certified Zero Waste to Landfill; MSCI ESG rating upgraded from CCC to B</w:t>
      </w:r>
    </w:p>
    <w:p>
      <w:pPr>
        <w:pStyle w:val="ListParagraph"/>
        <w:numPr>
          <w:ilvl w:val="0"/>
          <w:numId w:val="2"/>
        </w:numPr>
        <w:spacing w:after="40" w:before="40"/>
      </w:pPr>
      <w:r>
        <w:rPr>
          <w:rFonts w:ascii="Arial" w:cs="Arial" w:eastAsia="Arial" w:hAnsi="Arial"/>
          <w:b w:val="false"/>
          <w:bCs w:val="false"/>
          <w:color w:val="1C2833"/>
          <w:sz w:val="20"/>
          <w:szCs w:val="20"/>
        </w:rPr>
        <w:t xml:space="preserve">Great Place to Work certification for 5th consecutive year</w:t>
      </w:r>
    </w:p>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7. FY27 Guidance and Long-Term Financial Targets</w:t>
      </w:r>
    </w:p>
    <w:p>
      <w:pPr>
        <w:pBdr>
          <w:bottom w:val="single" w:color="1ABC9C" w:sz="3"/>
        </w:pBdr>
        <w:spacing w:after="120" w:before="280"/>
      </w:pPr>
      <w:r>
        <w:rPr>
          <w:rFonts w:ascii="Arial" w:cs="Arial" w:eastAsia="Arial" w:hAnsi="Arial"/>
          <w:b/>
          <w:bCs/>
          <w:color w:val="1A5276"/>
          <w:sz w:val="24"/>
          <w:szCs w:val="24"/>
        </w:rPr>
        <w:t xml:space="preserve">7.1 FY27 Management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86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left"/>
            </w:pPr>
            <w:r>
              <w:rPr>
                <w:rFonts w:ascii="Arial" w:cs="Arial" w:eastAsia="Arial" w:hAnsi="Arial"/>
                <w:b/>
                <w:bCs/>
                <w:color w:val="FFFFFF"/>
                <w:sz w:val="18"/>
                <w:szCs w:val="18"/>
              </w:rPr>
              <w:t xml:space="preserve">Parameter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FY27 Guidance</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FY26 Actual</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Implied YoY Growth</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Revenue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₹43,000 – ₹45,000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₹38,736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+11% to +16%</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EBITDA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₹25,000 – ₹26,000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₹22,851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+9% to +14%</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Capex</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₹12,000 – ₹14,000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~₹15,320 Cr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Moderation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Net Debt / EBITDA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Policy up to 2.5x</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1.9x</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Ample headroom</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Marine EBITDA margin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&gt;50% sustainable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~45%+</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Ongoing improvement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80"/>
            </w:tcMar>
          </w:tcPr>
          <w:p>
            <w:pPr>
              <w:jc w:val="left"/>
            </w:pPr>
            <w:r>
              <w:rPr>
                <w:rFonts w:ascii="Arial" w:cs="Arial" w:eastAsia="Arial" w:hAnsi="Arial"/>
                <w:b/>
                <w:bCs/>
                <w:color w:val="1C2833"/>
                <w:sz w:val="19"/>
                <w:szCs w:val="19"/>
              </w:rPr>
              <w:t xml:space="preserve">Logistics ROCE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~10% FY27, target 20% by FY31</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10% FY26</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pPr>
              <w:jc w:val="center"/>
            </w:pPr>
            <w:r>
              <w:rPr>
                <w:rFonts w:ascii="Arial" w:cs="Arial" w:eastAsia="Arial" w:hAnsi="Arial"/>
                <w:b w:val="false"/>
                <w:bCs w:val="false"/>
                <w:color w:val="1C2833"/>
                <w:sz w:val="19"/>
                <w:szCs w:val="19"/>
              </w:rPr>
              <w:t xml:space="preserve">Ramp-up continues</w:t>
            </w:r>
          </w:p>
        </w:tc>
      </w:tr>
    </w:tbl>
    <w:p>
      <w:pPr>
        <w:spacing w:after="60" w:before="60"/>
      </w:pPr>
      <w:r>
        <w:rPr>
          <w:sz w:val="10"/>
          <w:szCs w:val="10"/>
        </w:rPr>
        <w:t xml:space="preserve"/>
      </w:r>
    </w:p>
    <w:p>
      <w:pPr>
        <w:pBdr>
          <w:bottom w:val="single" w:color="1ABC9C" w:sz="3"/>
        </w:pBdr>
        <w:spacing w:after="120" w:before="280"/>
      </w:pPr>
      <w:r>
        <w:rPr>
          <w:rFonts w:ascii="Arial" w:cs="Arial" w:eastAsia="Arial" w:hAnsi="Arial"/>
          <w:b/>
          <w:bCs/>
          <w:color w:val="1A5276"/>
          <w:sz w:val="24"/>
          <w:szCs w:val="24"/>
        </w:rPr>
        <w:t xml:space="preserve">7.2 Long-Term Vision (FY31 / 2030)</w:t>
      </w:r>
    </w:p>
    <w:p>
      <w:pPr>
        <w:pStyle w:val="ListParagraph"/>
        <w:numPr>
          <w:ilvl w:val="0"/>
          <w:numId w:val="2"/>
        </w:numPr>
        <w:spacing w:after="40" w:before="40"/>
      </w:pPr>
      <w:r>
        <w:rPr>
          <w:rFonts w:ascii="Arial" w:cs="Arial" w:eastAsia="Arial" w:hAnsi="Arial"/>
          <w:b w:val="false"/>
          <w:bCs w:val="false"/>
          <w:color w:val="1C2833"/>
          <w:sz w:val="20"/>
          <w:szCs w:val="20"/>
        </w:rPr>
        <w:t xml:space="preserve">1 billion tonnes of cargo by December 2030 (2x from FY26's 500 MMT)</w:t>
      </w:r>
    </w:p>
    <w:p>
      <w:pPr>
        <w:pStyle w:val="ListParagraph"/>
        <w:numPr>
          <w:ilvl w:val="0"/>
          <w:numId w:val="2"/>
        </w:numPr>
        <w:spacing w:after="40" w:before="40"/>
      </w:pPr>
      <w:r>
        <w:rPr>
          <w:rFonts w:ascii="Arial" w:cs="Arial" w:eastAsia="Arial" w:hAnsi="Arial"/>
          <w:b w:val="false"/>
          <w:bCs w:val="false"/>
          <w:color w:val="1C2833"/>
          <w:sz w:val="20"/>
          <w:szCs w:val="20"/>
        </w:rPr>
        <w:t xml:space="preserve">Revenue and EBITDA to more than double by FY31 (from FY26 base)</w:t>
      </w:r>
    </w:p>
    <w:p>
      <w:pPr>
        <w:pStyle w:val="ListParagraph"/>
        <w:numPr>
          <w:ilvl w:val="0"/>
          <w:numId w:val="2"/>
        </w:numPr>
        <w:spacing w:after="40" w:before="40"/>
      </w:pPr>
      <w:r>
        <w:rPr>
          <w:rFonts w:ascii="Arial" w:cs="Arial" w:eastAsia="Arial" w:hAnsi="Arial"/>
          <w:b w:val="false"/>
          <w:bCs w:val="false"/>
          <w:color w:val="1C2833"/>
          <w:sz w:val="20"/>
          <w:szCs w:val="20"/>
        </w:rPr>
        <w:t xml:space="preserve">Implied FY31 Revenue target: ~₹80,000-85,000 Cr+</w:t>
      </w:r>
    </w:p>
    <w:p>
      <w:pPr>
        <w:pStyle w:val="ListParagraph"/>
        <w:numPr>
          <w:ilvl w:val="0"/>
          <w:numId w:val="2"/>
        </w:numPr>
        <w:spacing w:after="40" w:before="40"/>
      </w:pPr>
      <w:r>
        <w:rPr>
          <w:rFonts w:ascii="Arial" w:cs="Arial" w:eastAsia="Arial" w:hAnsi="Arial"/>
          <w:b w:val="false"/>
          <w:bCs w:val="false"/>
          <w:color w:val="1C2833"/>
          <w:sz w:val="20"/>
          <w:szCs w:val="20"/>
        </w:rPr>
        <w:t xml:space="preserve">Implied FY31 EBITDA target: ~₹45,000-50,000 Cr+</w:t>
      </w:r>
    </w:p>
    <w:p>
      <w:pPr>
        <w:pStyle w:val="ListParagraph"/>
        <w:numPr>
          <w:ilvl w:val="0"/>
          <w:numId w:val="2"/>
        </w:numPr>
        <w:spacing w:after="40" w:before="40"/>
      </w:pPr>
      <w:r>
        <w:rPr>
          <w:rFonts w:ascii="Arial" w:cs="Arial" w:eastAsia="Arial" w:hAnsi="Arial"/>
          <w:b w:val="false"/>
          <w:bCs w:val="false"/>
          <w:color w:val="1C2833"/>
          <w:sz w:val="20"/>
          <w:szCs w:val="20"/>
        </w:rPr>
        <w:t xml:space="preserve">Logistics and Marine to grow 5x over 5 years</w:t>
      </w:r>
    </w:p>
    <w:p>
      <w:pPr>
        <w:pStyle w:val="ListParagraph"/>
        <w:numPr>
          <w:ilvl w:val="0"/>
          <w:numId w:val="2"/>
        </w:numPr>
        <w:spacing w:after="40" w:before="40"/>
      </w:pPr>
      <w:r>
        <w:rPr>
          <w:rFonts w:ascii="Arial" w:cs="Arial" w:eastAsia="Arial" w:hAnsi="Arial"/>
          <w:b w:val="false"/>
          <w:bCs w:val="false"/>
          <w:color w:val="1C2833"/>
          <w:sz w:val="20"/>
          <w:szCs w:val="20"/>
        </w:rPr>
        <w:t xml:space="preserve">Marine: Logistics ROCE of ~20% by FY31</w:t>
      </w:r>
    </w:p>
    <w:p>
      <w:pPr>
        <w:pStyle w:val="ListParagraph"/>
        <w:numPr>
          <w:ilvl w:val="0"/>
          <w:numId w:val="2"/>
        </w:numPr>
        <w:spacing w:after="40" w:before="40"/>
      </w:pPr>
      <w:r>
        <w:rPr>
          <w:rFonts w:ascii="Arial" w:cs="Arial" w:eastAsia="Arial" w:hAnsi="Arial"/>
          <w:b w:val="false"/>
          <w:bCs w:val="false"/>
          <w:color w:val="1C2833"/>
          <w:sz w:val="20"/>
          <w:szCs w:val="20"/>
        </w:rPr>
        <w:t xml:space="preserve">Future capex funded through internal accruals — no dilutive equity raises planned</w:t>
      </w:r>
    </w:p>
    <w:p>
      <w:pPr>
        <w:spacing w:after="60" w:before="60"/>
      </w:pPr>
      <w:r>
        <w:rPr>
          <w:sz w:val="10"/>
          <w:szCs w:val="10"/>
        </w:rPr>
        <w:t xml:space="preserve"/>
      </w:r>
    </w:p>
    <w:p>
      <w:pPr>
        <w:pStyle w:val="Heading1"/>
        <w:pBdr>
          <w:bottom w:val="single" w:color="1ABC9C" w:sz="4"/>
        </w:pBdr>
        <w:shd w:fill="1A5276" w:val="clear"/>
        <w:spacing w:after="160" w:before="300"/>
        <w:ind w:left="200"/>
      </w:pPr>
      <w:r>
        <w:rPr>
          <w:rFonts w:ascii="Arial" w:cs="Arial" w:eastAsia="Arial" w:hAnsi="Arial"/>
          <w:b/>
          <w:bCs/>
          <w:color w:val="FFFFFF"/>
          <w:sz w:val="28"/>
          <w:szCs w:val="28"/>
        </w:rPr>
        <w:t xml:space="preserve">8. Investment Summary</w:t>
      </w:r>
    </w:p>
    <w:p>
      <w:pPr>
        <w:spacing w:after="80" w:before="60"/>
      </w:pPr>
      <w:r>
        <w:rPr>
          <w:rFonts w:ascii="Arial" w:cs="Arial" w:eastAsia="Arial" w:hAnsi="Arial"/>
          <w:color w:val="1C2833"/>
          <w:sz w:val="20"/>
          <w:szCs w:val="20"/>
        </w:rPr>
        <w:t xml:space="preserve">APSEZ is a rare combination of a dominant infrastructure monopoly and a high-growth diversified platform. The bull case rests on three compounding forces working simultaneously:</w:t>
      </w:r>
    </w:p>
    <w:p>
      <w:pPr>
        <w:spacing w:after="60" w:before="60"/>
      </w:pPr>
      <w:r>
        <w:rPr>
          <w:sz w:val="10"/>
          <w:szCs w:val="10"/>
        </w:rPr>
        <w:t xml:space="preserve"/>
      </w:r>
    </w:p>
    <w:p>
      <w:pPr>
        <w:pStyle w:val="ListParagraph"/>
        <w:numPr>
          <w:ilvl w:val="0"/>
          <w:numId w:val="2"/>
        </w:numPr>
        <w:spacing w:after="40" w:before="40"/>
      </w:pPr>
      <w:r>
        <w:rPr>
          <w:rFonts w:ascii="Arial" w:cs="Arial" w:eastAsia="Arial" w:hAnsi="Arial"/>
          <w:b/>
          <w:bCs/>
          <w:color w:val="1C2833"/>
          <w:sz w:val="20"/>
          <w:szCs w:val="20"/>
        </w:rPr>
        <w:t xml:space="preserve">Structural: India's trade and logistics market will grow 2-3x over the next decade. As the owner of 27% of all cargo and 45.5% of all container throughput, APSEZ captures that growth with minimal incremental capital at the margin (existing port capacity is being utilised; new berths add at very high incremental ROCE).</w:t>
      </w:r>
    </w:p>
    <w:p>
      <w:pPr>
        <w:pStyle w:val="ListParagraph"/>
        <w:numPr>
          <w:ilvl w:val="0"/>
          <w:numId w:val="2"/>
        </w:numPr>
        <w:spacing w:after="40" w:before="40"/>
      </w:pPr>
      <w:r>
        <w:rPr>
          <w:rFonts w:ascii="Arial" w:cs="Arial" w:eastAsia="Arial" w:hAnsi="Arial"/>
          <w:b/>
          <w:bCs/>
          <w:color w:val="1C2833"/>
          <w:sz w:val="20"/>
          <w:szCs w:val="20"/>
        </w:rPr>
        <w:t xml:space="preserve">Platform: The logistics and marine businesses are scaling from near-zero to meaningful revenue at asset-light economics. This is not priced into the port P/E multiple. As ROCE improves from 16% to potentially 20%+, re-rating is possible.</w:t>
      </w:r>
    </w:p>
    <w:p>
      <w:pPr>
        <w:pStyle w:val="ListParagraph"/>
        <w:numPr>
          <w:ilvl w:val="0"/>
          <w:numId w:val="2"/>
        </w:numPr>
        <w:spacing w:after="40" w:before="40"/>
      </w:pPr>
      <w:r>
        <w:rPr>
          <w:rFonts w:ascii="Arial" w:cs="Arial" w:eastAsia="Arial" w:hAnsi="Arial"/>
          <w:b/>
          <w:bCs/>
          <w:color w:val="1C2833"/>
          <w:sz w:val="20"/>
          <w:szCs w:val="20"/>
        </w:rPr>
        <w:t xml:space="preserve">International: NQXT, Colombo, Haifa, and the IMEC corridor strategy turn APSEZ from an Indian infrastructure play into a global trade infrastructure platform — comparable to DP World, PSA, or Hutchison globally.</w:t>
      </w:r>
    </w:p>
    <w:p>
      <w:pPr>
        <w:spacing w:after="60" w:before="60"/>
      </w:pPr>
      <w:r>
        <w:rPr>
          <w:sz w:val="10"/>
          <w:szCs w:val="10"/>
        </w:rPr>
        <w:t xml:space="preserve"/>
      </w:r>
    </w:p>
    <w:p>
      <w:pPr>
        <w:spacing w:after="80" w:before="60"/>
      </w:pPr>
      <w:r>
        <w:rPr>
          <w:rFonts w:ascii="Arial" w:cs="Arial" w:eastAsia="Arial" w:hAnsi="Arial"/>
          <w:color w:val="1C2833"/>
          <w:sz w:val="20"/>
          <w:szCs w:val="20"/>
        </w:rPr>
        <w:t xml:space="preserve">The primary risks are conglomerate governance overhang and elevated interest costs — both real but arguably priced in at current levels following the post-Hindenburg correction and recovery. The balance sheet is materially stronger (Net Debt/EBITDA 1.9x vs. 2.3x two years ago) and credit rating agencies globally have upgraded or improved outlook in the past 12 months.</w:t>
      </w:r>
    </w:p>
    <w:p>
      <w:pPr>
        <w:spacing w:after="60" w:before="60"/>
      </w:pPr>
      <w:r>
        <w:rPr>
          <w:sz w:val="10"/>
          <w:szCs w:val="10"/>
        </w:rPr>
        <w:t xml:space="preserve"/>
      </w:r>
    </w:p>
    <w:p>
      <w:pPr>
        <w:pBdr>
          <w:left w:val="single" w:color="1A5276" w:sz="12"/>
        </w:pBdr>
        <w:shd w:fill="D6EAF8" w:val="clear"/>
        <w:spacing w:after="200" w:before="200"/>
        <w:ind w:left="240" w:right="240"/>
      </w:pPr>
      <w:r>
        <w:rPr>
          <w:rFonts w:ascii="Arial" w:cs="Arial" w:eastAsia="Arial" w:hAnsi="Arial"/>
          <w:b/>
          <w:bCs/>
          <w:color w:val="1A5276"/>
          <w:sz w:val="21"/>
          <w:szCs w:val="21"/>
        </w:rPr>
        <w:t xml:space="preserve">Conclusion: </w:t>
      </w:r>
      <w:r>
        <w:rPr>
          <w:rFonts w:ascii="Arial" w:cs="Arial" w:eastAsia="Arial" w:hAnsi="Arial"/>
          <w:color w:val="1C2833"/>
          <w:sz w:val="21"/>
          <w:szCs w:val="21"/>
        </w:rPr>
        <w:t xml:space="preserve">APSEZ is India's most consequential infrastructure company outside the power sector. It is priced as a growth compounder (not cheap), but the combination of structural volume tailwinds, improving return ratios, a vertically integrating business model, and credible management guidance — consistently exceeded — makes it a high-conviction long-term holding for investors with a 3-5 year horizon. Watch the logistics and marine ROCE trajectory as the key swing factor for a re-rating.</w:t>
      </w:r>
    </w:p>
    <w:p>
      <w:pPr>
        <w:spacing w:after="60" w:before="60"/>
      </w:pPr>
      <w:r>
        <w:rPr>
          <w:sz w:val="10"/>
          <w:szCs w:val="10"/>
        </w:rPr>
        <w:t xml:space="preserve"/>
      </w:r>
    </w:p>
    <w:p>
      <w:pPr>
        <w:pBdr>
          <w:top w:val="single" w:color="BDC3C7" w:sz="1"/>
        </w:pBdr>
        <w:spacing w:after="80" w:before="400"/>
      </w:pPr>
      <w:r>
        <w:rPr>
          <w:rFonts w:ascii="Arial" w:cs="Arial" w:eastAsia="Arial" w:hAnsi="Arial"/>
          <w:i/>
          <w:iCs/>
          <w:color w:val="7F8C8D"/>
          <w:sz w:val="16"/>
          <w:szCs w:val="16"/>
        </w:rPr>
        <w:t xml:space="preserve">DISCLAIMER: This investment case is prepared for informational purposes only based on publicly available information including company investor presentations, quarterly result filings, and Screener.in data. It does not constitute investment advice. Please consult a SEBI-registered investment advisor before making investment decisions. Past performance is not indicative of future results.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2026-05-28T20:35:06.713Z</dcterms:created>
  <dcterms:modified xsi:type="dcterms:W3CDTF">2026-05-28T20:35:06.713Z</dcterms:modified>
</cp:coreProperties>
</file>

<file path=docProps/custom.xml><?xml version="1.0" encoding="utf-8"?>
<Properties xmlns="http://schemas.openxmlformats.org/officeDocument/2006/custom-properties" xmlns:vt="http://schemas.openxmlformats.org/officeDocument/2006/docPropsVTypes"/>
</file>