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F44E" w14:textId="5DA4E798" w:rsidR="002D6697" w:rsidRDefault="002D6697" w:rsidP="002D6697">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2D6697">
        <w:rPr>
          <w:rFonts w:ascii="宋体" w:eastAsia="宋体" w:hAnsi="宋体" w:cs="宋体"/>
          <w:b/>
          <w:bCs/>
          <w:kern w:val="36"/>
          <w:sz w:val="48"/>
          <w:szCs w:val="48"/>
          <w14:ligatures w14:val="none"/>
        </w:rPr>
        <w:t>Introduction</w:t>
      </w:r>
    </w:p>
    <w:p w14:paraId="5112EB3E" w14:textId="41C6BE61" w:rsidR="00842540" w:rsidRPr="00E23BA6" w:rsidRDefault="00842540" w:rsidP="00842540">
      <w:pPr>
        <w:pStyle w:val="pdq2pgselectionanchorcontainer"/>
        <w:rPr>
          <w:rFonts w:hint="eastAsia"/>
          <w:color w:val="EE0000"/>
        </w:rPr>
      </w:pPr>
      <w:r>
        <w:t>人口老龄化与数字化正在成为影响中国社会发展的两</w:t>
      </w:r>
      <w:r w:rsidR="00412BD6">
        <w:rPr>
          <w:rFonts w:hint="eastAsia"/>
        </w:rPr>
        <w:t>个重要因素</w:t>
      </w:r>
      <w:r>
        <w:t>。一方面，随着人口老龄化程度不断加深，慢性疾病、多病共存以及功能受限所带来的健康负担持续增加，老年人对医疗服务、健康信息和持续性健康管理的需求也更加突出。</w:t>
      </w:r>
      <w:r w:rsidR="00E17953" w:rsidRPr="00E17953">
        <w:t>世界卫生组织将健康老龄化定义为“发展和维持使老年期获得福祉的功能能力”的过程，并强调老年人的功能能力不仅取决于个体自身的身心能力，也受到其所处社会、物理和政策环境及其相互作用的影响（WHO, 2020）。</w:t>
      </w:r>
      <w:r>
        <w:t>另一方面，互联网、大数据和数字健康服务快速渗透到医疗服务、健康信息获取以及社会生活的各个环节，使数字基础设施逐渐成为个体接触健康资源的重要基础条件。因此，数字基础设施不仅具有促进经济和社会数字化的功能，也</w:t>
      </w:r>
      <w:r w:rsidR="00C9159A">
        <w:rPr>
          <w:rFonts w:hint="eastAsia"/>
        </w:rPr>
        <w:t>逐渐成为</w:t>
      </w:r>
      <w:r>
        <w:t>成为影响健康机会的重要社会环境条件。</w:t>
      </w:r>
    </w:p>
    <w:p w14:paraId="5DD79A4A" w14:textId="33DFE8FB" w:rsidR="00842540" w:rsidRDefault="00842540" w:rsidP="00842540">
      <w:pPr>
        <w:pStyle w:val="af2"/>
        <w:rPr>
          <w:rFonts w:hint="eastAsia"/>
        </w:rPr>
      </w:pPr>
      <w:r>
        <w:t>现有研究已经从多个层面发现数字化与健康之间存在密切联系。较早的研究主要关注互联网使用、数字技术使用以及数字素养等个体层面的数字行为，并发现其与老年人的身体健康、心理健康和认知健康存在显著关联（Wang et al., 2024; Ma et al., 2024; Cui et al., 2025）。随着研究的推进，越来越多的文献开始关注数字基础设施本身所产生的健康影响。已有研究发现，宽带基础设施建设能够改善居民健康、老年人的认知健康以及日常生活活动能力，并进一步从医疗服务利用、健康行为、健康支出和社会互动等角度讨论潜在作用渠道（Liu et al., 2024; Ma &amp; Sheng, 2025; Li et al., 2025; Xu et al., 2025）。这些研究共同表明，数字基础设施并非单纯的技术投入，而通过改变个体获取和利用健康资源的条件，对健康产生实际影响。</w:t>
      </w:r>
    </w:p>
    <w:p w14:paraId="3346F0E2" w14:textId="215BA437" w:rsidR="00842540" w:rsidRDefault="00842540" w:rsidP="00842540">
      <w:pPr>
        <w:pStyle w:val="af2"/>
        <w:rPr>
          <w:rFonts w:hint="eastAsia"/>
        </w:rPr>
      </w:pPr>
      <w:r>
        <w:t>然而，现有研究更多关注数字基础设施是否能够改善健康，以及这种影响通过何种渠道发生，对于</w:t>
      </w:r>
      <w:r>
        <w:rPr>
          <w:rStyle w:val="af3"/>
        </w:rPr>
        <w:t>数字基础设施所带来的健康收益如何在</w:t>
      </w:r>
      <w:r w:rsidR="00056B60">
        <w:rPr>
          <w:rStyle w:val="af3"/>
          <w:rFonts w:hint="eastAsia"/>
        </w:rPr>
        <w:t>具有</w:t>
      </w:r>
      <w:r>
        <w:rPr>
          <w:rStyle w:val="af3"/>
        </w:rPr>
        <w:t>不同</w:t>
      </w:r>
      <w:r w:rsidR="00056B60">
        <w:rPr>
          <w:rStyle w:val="af3"/>
          <w:rFonts w:hint="eastAsia"/>
        </w:rPr>
        <w:t>数字条件的</w:t>
      </w:r>
      <w:r>
        <w:rPr>
          <w:rStyle w:val="af3"/>
        </w:rPr>
        <w:t>人群之间分配</w:t>
      </w:r>
      <w:r w:rsidR="00C9159A">
        <w:rPr>
          <w:rFonts w:hint="eastAsia"/>
        </w:rPr>
        <w:t>的</w:t>
      </w:r>
      <w:r>
        <w:t>认识仍然有限。</w:t>
      </w:r>
      <w:r w:rsidR="00694E62" w:rsidRPr="00EF5E66">
        <w:rPr>
          <w:color w:val="000000" w:themeColor="text1"/>
        </w:rPr>
        <w:t>既有研究表明，数字排斥不仅限制老年人参与数字社会，也可能进一步限制其获得数字健康服务和健康信息的机会，因此数字化进程本身并不意味着健康收益会自然地、均等地分配于不同人群（Marmot et al., 2008; Wu et al., 2026）。</w:t>
      </w:r>
      <w:r w:rsidR="003E575E" w:rsidRPr="003E575E">
        <w:rPr>
          <w:color w:val="000000" w:themeColor="text1"/>
        </w:rPr>
        <w:t>对于数字基础设施这类具有公共属性的社会资源而言，仅仅判断其是否能够改善总体健康并不足以回答其社会价值</w:t>
      </w:r>
      <w:r w:rsidR="003E575E">
        <w:rPr>
          <w:rFonts w:hint="eastAsia"/>
          <w:color w:val="000000" w:themeColor="text1"/>
        </w:rPr>
        <w:t>。</w:t>
      </w:r>
      <w:r w:rsidR="007A340B">
        <w:rPr>
          <w:rFonts w:hint="eastAsia"/>
          <w:color w:val="000000" w:themeColor="text1"/>
        </w:rPr>
        <w:t>从</w:t>
      </w:r>
      <w:r w:rsidR="007A340B" w:rsidRPr="007A340B">
        <w:rPr>
          <w:color w:val="000000" w:themeColor="text1"/>
        </w:rPr>
        <w:t>数字鸿沟与累积优势视角</w:t>
      </w:r>
      <w:r w:rsidR="007A340B">
        <w:rPr>
          <w:rFonts w:hint="eastAsia"/>
          <w:color w:val="000000" w:themeColor="text1"/>
        </w:rPr>
        <w:t>看，</w:t>
      </w:r>
      <w:r w:rsidR="003E575E" w:rsidRPr="003E575E">
        <w:rPr>
          <w:color w:val="000000" w:themeColor="text1"/>
        </w:rPr>
        <w:t>如果新增数字资源主要被原本具有资源和能力优势的群体转化为健康收益，数字化可能在改善平均健康水平的同时强化既有健康差距；反之，如果基础设施扩张能够使原本受数字排斥的人群获得更多新增健康机会，则其不仅具有改善健康的作用，也可能具有一定的机会补偿意义。因而，考察健康收益在不同人群之间的分配，是理解数字基础设施社会效应及其健康公平意义的重要环节。</w:t>
      </w:r>
      <w:r>
        <w:t>已有研究确实发现，宽带基础设施对于低教育、农村等部分相对弱势群体可能具有更明显的健康效应，但不同研究对于收益</w:t>
      </w:r>
      <w:r w:rsidR="00BC3D36">
        <w:rPr>
          <w:rFonts w:hint="eastAsia"/>
        </w:rPr>
        <w:t>的倾向</w:t>
      </w:r>
      <w:r>
        <w:t>并未形成完全一致的结论（Liu et al., 2024; Xu et al., 2025; Li et al., 2025; Ma &amp; Sheng, 2025）。</w:t>
      </w:r>
    </w:p>
    <w:p w14:paraId="3A153258" w14:textId="220EAC9E" w:rsidR="00AB4D09" w:rsidRDefault="00AB4D09" w:rsidP="00842540">
      <w:pPr>
        <w:pStyle w:val="af2"/>
        <w:rPr>
          <w:rFonts w:hint="eastAsia"/>
        </w:rPr>
      </w:pPr>
      <w:r>
        <w:t>基于上述背景，本文利用“宽带中国”示范城市分批推进所形成的准自然实验，结合中国健康与养老追踪调查（CHARLS）2011—2018年面板数据，使用堆叠双重差分法进行因果识别。具体而言，本文首先考察宽带基础设施建设对老</w:t>
      </w:r>
      <w:r>
        <w:lastRenderedPageBreak/>
        <w:t>年人整体健康的影响；在此基础上，进一步比较不同数字条件</w:t>
      </w:r>
      <w:r w:rsidR="00404530">
        <w:rPr>
          <w:rFonts w:hint="eastAsia"/>
        </w:rPr>
        <w:t>下的</w:t>
      </w:r>
      <w:r>
        <w:t>老年人的健康政策回报</w:t>
      </w:r>
      <w:r w:rsidR="00404530">
        <w:rPr>
          <w:rFonts w:hint="eastAsia"/>
        </w:rPr>
        <w:t>。</w:t>
      </w:r>
    </w:p>
    <w:p w14:paraId="7E7CC045" w14:textId="0065BD5B" w:rsidR="00E506A4" w:rsidRDefault="00154E12">
      <w:pPr>
        <w:rPr>
          <w:rFonts w:ascii="宋体" w:eastAsia="宋体" w:hAnsi="宋体" w:hint="eastAsia"/>
          <w:color w:val="000000" w:themeColor="text1"/>
          <w:sz w:val="24"/>
        </w:rPr>
      </w:pPr>
      <w:r w:rsidRPr="003B33C8">
        <w:rPr>
          <w:rFonts w:ascii="宋体" w:eastAsia="宋体" w:hAnsi="宋体"/>
          <w:color w:val="000000" w:themeColor="text1"/>
          <w:sz w:val="24"/>
        </w:rPr>
        <w:t>本文的贡献主要体现在三个方面</w:t>
      </w:r>
      <w:r w:rsidR="00056B60">
        <w:rPr>
          <w:rFonts w:ascii="宋体" w:eastAsia="宋体" w:hAnsi="宋体" w:hint="eastAsia"/>
          <w:color w:val="000000" w:themeColor="text1"/>
          <w:sz w:val="24"/>
        </w:rPr>
        <w:t>：</w:t>
      </w:r>
      <w:r w:rsidRPr="003B33C8">
        <w:rPr>
          <w:rFonts w:ascii="宋体" w:eastAsia="宋体" w:hAnsi="宋体"/>
          <w:color w:val="000000" w:themeColor="text1"/>
          <w:sz w:val="24"/>
        </w:rPr>
        <w:t>第一，</w:t>
      </w:r>
      <w:r w:rsidR="00056B60">
        <w:rPr>
          <w:rFonts w:ascii="宋体" w:eastAsia="宋体" w:hAnsi="宋体" w:hint="eastAsia"/>
          <w:color w:val="000000" w:themeColor="text1"/>
          <w:sz w:val="24"/>
        </w:rPr>
        <w:t>本文</w:t>
      </w:r>
      <w:r w:rsidRPr="003B33C8">
        <w:rPr>
          <w:rFonts w:ascii="宋体" w:eastAsia="宋体" w:hAnsi="宋体"/>
          <w:color w:val="000000" w:themeColor="text1"/>
          <w:sz w:val="24"/>
        </w:rPr>
        <w:t>为数字基础设施</w:t>
      </w:r>
      <w:r w:rsidR="00BC7C22" w:rsidRPr="003B33C8">
        <w:rPr>
          <w:rFonts w:ascii="宋体" w:eastAsia="宋体" w:hAnsi="宋体" w:hint="eastAsia"/>
          <w:color w:val="000000" w:themeColor="text1"/>
          <w:sz w:val="24"/>
        </w:rPr>
        <w:t>对</w:t>
      </w:r>
      <w:r w:rsidR="00056B60">
        <w:rPr>
          <w:rFonts w:ascii="宋体" w:eastAsia="宋体" w:hAnsi="宋体" w:hint="eastAsia"/>
          <w:color w:val="000000" w:themeColor="text1"/>
          <w:sz w:val="24"/>
        </w:rPr>
        <w:t>慢性病</w:t>
      </w:r>
      <w:r w:rsidRPr="003B33C8">
        <w:rPr>
          <w:rFonts w:ascii="宋体" w:eastAsia="宋体" w:hAnsi="宋体"/>
          <w:color w:val="000000" w:themeColor="text1"/>
          <w:sz w:val="24"/>
        </w:rPr>
        <w:t>老年</w:t>
      </w:r>
      <w:r w:rsidR="00797E7B">
        <w:rPr>
          <w:rFonts w:ascii="宋体" w:eastAsia="宋体" w:hAnsi="宋体" w:hint="eastAsia"/>
          <w:color w:val="000000" w:themeColor="text1"/>
          <w:sz w:val="24"/>
        </w:rPr>
        <w:t>人</w:t>
      </w:r>
      <w:r w:rsidRPr="003B33C8">
        <w:rPr>
          <w:rFonts w:ascii="宋体" w:eastAsia="宋体" w:hAnsi="宋体"/>
          <w:color w:val="000000" w:themeColor="text1"/>
          <w:sz w:val="24"/>
        </w:rPr>
        <w:t>健康</w:t>
      </w:r>
      <w:r w:rsidR="00BC7C22" w:rsidRPr="003B33C8">
        <w:rPr>
          <w:rFonts w:ascii="宋体" w:eastAsia="宋体" w:hAnsi="宋体" w:hint="eastAsia"/>
          <w:color w:val="000000" w:themeColor="text1"/>
          <w:sz w:val="24"/>
        </w:rPr>
        <w:t>影响</w:t>
      </w:r>
      <w:r w:rsidRPr="003B33C8">
        <w:rPr>
          <w:rFonts w:ascii="宋体" w:eastAsia="宋体" w:hAnsi="宋体"/>
          <w:color w:val="000000" w:themeColor="text1"/>
          <w:sz w:val="24"/>
        </w:rPr>
        <w:t>提供新的经验证据</w:t>
      </w:r>
      <w:r w:rsidR="00056B60">
        <w:rPr>
          <w:rFonts w:ascii="宋体" w:eastAsia="宋体" w:hAnsi="宋体" w:hint="eastAsia"/>
          <w:color w:val="000000" w:themeColor="text1"/>
          <w:sz w:val="24"/>
        </w:rPr>
        <w:t>；</w:t>
      </w:r>
      <w:r w:rsidRPr="003B33C8">
        <w:rPr>
          <w:rFonts w:ascii="宋体" w:eastAsia="宋体" w:hAnsi="宋体"/>
          <w:color w:val="000000" w:themeColor="text1"/>
          <w:sz w:val="24"/>
        </w:rPr>
        <w:t>第二，本文将研究视角从数字基础设施的平均健康效</w:t>
      </w:r>
      <w:r w:rsidR="00056B60">
        <w:rPr>
          <w:rFonts w:ascii="宋体" w:eastAsia="宋体" w:hAnsi="宋体" w:hint="eastAsia"/>
          <w:color w:val="000000" w:themeColor="text1"/>
          <w:sz w:val="24"/>
        </w:rPr>
        <w:t>益</w:t>
      </w:r>
      <w:r w:rsidRPr="003B33C8">
        <w:rPr>
          <w:rFonts w:ascii="宋体" w:eastAsia="宋体" w:hAnsi="宋体"/>
          <w:color w:val="000000" w:themeColor="text1"/>
          <w:sz w:val="24"/>
        </w:rPr>
        <w:t>拓展至健康收益的分配</w:t>
      </w:r>
      <w:r w:rsidR="00056B60">
        <w:rPr>
          <w:rFonts w:ascii="宋体" w:eastAsia="宋体" w:hAnsi="宋体" w:hint="eastAsia"/>
          <w:color w:val="000000" w:themeColor="text1"/>
          <w:sz w:val="24"/>
        </w:rPr>
        <w:t>，为研究</w:t>
      </w:r>
      <w:r w:rsidRPr="003B33C8">
        <w:rPr>
          <w:rFonts w:ascii="宋体" w:eastAsia="宋体" w:hAnsi="宋体"/>
          <w:color w:val="000000" w:themeColor="text1"/>
          <w:sz w:val="24"/>
        </w:rPr>
        <w:t>数字化进程中的健康收益</w:t>
      </w:r>
      <w:r w:rsidR="00056B60">
        <w:rPr>
          <w:rFonts w:ascii="宋体" w:eastAsia="宋体" w:hAnsi="宋体" w:hint="eastAsia"/>
          <w:color w:val="000000" w:themeColor="text1"/>
          <w:sz w:val="24"/>
        </w:rPr>
        <w:t>提供一个新视角</w:t>
      </w:r>
      <w:r w:rsidR="00E85268">
        <w:rPr>
          <w:rFonts w:ascii="宋体" w:eastAsia="宋体" w:hAnsi="宋体" w:hint="eastAsia"/>
          <w:color w:val="000000" w:themeColor="text1"/>
          <w:sz w:val="24"/>
        </w:rPr>
        <w:t>；</w:t>
      </w:r>
      <w:r w:rsidRPr="003B33C8">
        <w:rPr>
          <w:rFonts w:ascii="宋体" w:eastAsia="宋体" w:hAnsi="宋体"/>
          <w:color w:val="000000" w:themeColor="text1"/>
          <w:sz w:val="24"/>
        </w:rPr>
        <w:t>第三，本文进一步关注不同数字</w:t>
      </w:r>
      <w:r w:rsidR="00D14252">
        <w:rPr>
          <w:rFonts w:ascii="宋体" w:eastAsia="宋体" w:hAnsi="宋体" w:hint="eastAsia"/>
          <w:color w:val="000000" w:themeColor="text1"/>
          <w:sz w:val="24"/>
        </w:rPr>
        <w:t>条件</w:t>
      </w:r>
      <w:r w:rsidRPr="003B33C8">
        <w:rPr>
          <w:rFonts w:ascii="宋体" w:eastAsia="宋体" w:hAnsi="宋体"/>
          <w:color w:val="000000" w:themeColor="text1"/>
          <w:sz w:val="24"/>
        </w:rPr>
        <w:t>下</w:t>
      </w:r>
      <w:r w:rsidR="007E7337">
        <w:rPr>
          <w:rFonts w:ascii="宋体" w:eastAsia="宋体" w:hAnsi="宋体" w:hint="eastAsia"/>
          <w:color w:val="000000" w:themeColor="text1"/>
          <w:sz w:val="24"/>
        </w:rPr>
        <w:t>慢性病</w:t>
      </w:r>
      <w:r w:rsidRPr="003B33C8">
        <w:rPr>
          <w:rFonts w:ascii="宋体" w:eastAsia="宋体" w:hAnsi="宋体"/>
          <w:color w:val="000000" w:themeColor="text1"/>
          <w:sz w:val="24"/>
        </w:rPr>
        <w:t>老年人健康收益的差异，为老年数字包容政策提供更具针对性的</w:t>
      </w:r>
      <w:r w:rsidR="00D14252">
        <w:rPr>
          <w:rFonts w:ascii="宋体" w:eastAsia="宋体" w:hAnsi="宋体" w:hint="eastAsia"/>
          <w:color w:val="000000" w:themeColor="text1"/>
          <w:sz w:val="24"/>
        </w:rPr>
        <w:t>实证</w:t>
      </w:r>
      <w:r w:rsidRPr="003B33C8">
        <w:rPr>
          <w:rFonts w:ascii="宋体" w:eastAsia="宋体" w:hAnsi="宋体"/>
          <w:color w:val="000000" w:themeColor="text1"/>
          <w:sz w:val="24"/>
        </w:rPr>
        <w:t>依据。</w:t>
      </w:r>
    </w:p>
    <w:p w14:paraId="269E704C" w14:textId="77777777" w:rsidR="00B415C5" w:rsidRDefault="00B415C5">
      <w:pPr>
        <w:rPr>
          <w:rFonts w:ascii="宋体" w:eastAsia="宋体" w:hAnsi="宋体" w:hint="eastAsia"/>
          <w:color w:val="000000" w:themeColor="text1"/>
          <w:sz w:val="24"/>
        </w:rPr>
      </w:pPr>
    </w:p>
    <w:p w14:paraId="0EDE4218" w14:textId="57542DEC" w:rsidR="00CD6EEA" w:rsidRPr="00CD6EEA" w:rsidRDefault="00CD6EEA" w:rsidP="00CD6EEA">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D6EEA">
        <w:rPr>
          <w:rFonts w:ascii="宋体" w:eastAsia="宋体" w:hAnsi="宋体" w:cs="宋体" w:hint="eastAsia"/>
          <w:b/>
          <w:bCs/>
          <w:kern w:val="36"/>
          <w:sz w:val="48"/>
          <w:szCs w:val="48"/>
          <w14:ligatures w14:val="none"/>
        </w:rPr>
        <w:t>Policy background</w:t>
      </w:r>
    </w:p>
    <w:p w14:paraId="5A3DF25A" w14:textId="62D60D3B" w:rsidR="00CD6EEA" w:rsidRPr="0024548C" w:rsidRDefault="00CD6EEA" w:rsidP="00CD6EEA">
      <w:pPr>
        <w:rPr>
          <w:rFonts w:ascii="宋体" w:eastAsia="宋体" w:hAnsi="宋体" w:hint="eastAsia"/>
          <w:color w:val="000000" w:themeColor="text1"/>
          <w:sz w:val="24"/>
        </w:rPr>
      </w:pPr>
      <w:r w:rsidRPr="00CD6EEA">
        <w:rPr>
          <w:rFonts w:ascii="宋体" w:eastAsia="宋体" w:hAnsi="宋体"/>
          <w:color w:val="000000" w:themeColor="text1"/>
          <w:sz w:val="24"/>
        </w:rPr>
        <w:t>作为数字基础设施建设的重要组成部分，宽带网络在提升信息资源流通效率、促进数字应用普及和改善公共服务可及性方面发挥着基础性作用。2013年8月，国务院印发《“宽带中国”战略及实施方案》，将宽带网络明确定位为国家战略性公共基础设施，并提出通过加强网络建设、扩大覆盖范围和推进应用普及，推动宽带基础设施更好服务经济发展和社会民生。</w:t>
      </w:r>
      <w:r w:rsidR="0024548C" w:rsidRPr="00CD6EEA">
        <w:rPr>
          <w:rFonts w:ascii="宋体" w:eastAsia="宋体" w:hAnsi="宋体"/>
          <w:color w:val="000000" w:themeColor="text1"/>
          <w:sz w:val="24"/>
        </w:rPr>
        <w:t>实施方案提出，到2015年基本实现城市光纤到楼入户和农村宽带进乡入村，固定宽带家庭普及率达到50%，行政村通宽带比例达到95%；到2020年，进一步实现城乡宽带网络全面覆盖，固定宽带家庭普及率提高至70%，行政村通宽带比例超过98%，并显著提升城乡家庭宽带接入能力。</w:t>
      </w:r>
    </w:p>
    <w:p w14:paraId="158758F7" w14:textId="21A1F32A" w:rsidR="00CD6EEA" w:rsidRPr="00CD6EEA" w:rsidRDefault="00CD6EEA" w:rsidP="00CD6EEA">
      <w:pPr>
        <w:rPr>
          <w:rFonts w:ascii="宋体" w:eastAsia="宋体" w:hAnsi="宋体" w:hint="eastAsia"/>
          <w:color w:val="000000" w:themeColor="text1"/>
          <w:sz w:val="24"/>
        </w:rPr>
      </w:pPr>
      <w:r w:rsidRPr="00CD6EEA">
        <w:rPr>
          <w:rFonts w:ascii="宋体" w:eastAsia="宋体" w:hAnsi="宋体"/>
          <w:color w:val="000000" w:themeColor="text1"/>
          <w:sz w:val="24"/>
        </w:rPr>
        <w:t>为落实这一战略，工业和信息化部、国家发展改革委于2014年启动“宽带中国”示范城市（城市群）创建工作，并制定相应的管理办法。示范城市采取</w:t>
      </w:r>
      <w:r w:rsidRPr="00CD6EEA">
        <w:rPr>
          <w:rFonts w:ascii="宋体" w:eastAsia="宋体" w:hAnsi="宋体"/>
          <w:b/>
          <w:bCs/>
          <w:color w:val="000000" w:themeColor="text1"/>
          <w:sz w:val="24"/>
        </w:rPr>
        <w:t>分年度申报、分批评审和分期建设</w:t>
      </w:r>
      <w:r w:rsidRPr="00CD6EEA">
        <w:rPr>
          <w:rFonts w:ascii="宋体" w:eastAsia="宋体" w:hAnsi="宋体"/>
          <w:color w:val="000000" w:themeColor="text1"/>
          <w:sz w:val="24"/>
        </w:rPr>
        <w:t>的方式推进：2014年公布首批39个示范城市（城市群），随后于2015年和2016年继续开展示范城市遴选，形成分阶段实施的政策格局。</w:t>
      </w:r>
    </w:p>
    <w:p w14:paraId="588D35CC" w14:textId="7ACFEAD1" w:rsidR="00CD6EEA" w:rsidRPr="00CD6EEA" w:rsidRDefault="00CD6EEA" w:rsidP="00CD6EEA">
      <w:pPr>
        <w:rPr>
          <w:rFonts w:ascii="宋体" w:eastAsia="宋体" w:hAnsi="宋体" w:hint="eastAsia"/>
          <w:color w:val="000000" w:themeColor="text1"/>
          <w:sz w:val="24"/>
        </w:rPr>
      </w:pPr>
      <w:r w:rsidRPr="00CD6EEA">
        <w:rPr>
          <w:rFonts w:ascii="宋体" w:eastAsia="宋体" w:hAnsi="宋体"/>
          <w:color w:val="000000" w:themeColor="text1"/>
          <w:sz w:val="24"/>
        </w:rPr>
        <w:t>从政策实施方式看，“宽带中国”具有较为明确的</w:t>
      </w:r>
      <w:r w:rsidRPr="00CD6EEA">
        <w:rPr>
          <w:rFonts w:ascii="宋体" w:eastAsia="宋体" w:hAnsi="宋体"/>
          <w:b/>
          <w:bCs/>
          <w:color w:val="000000" w:themeColor="text1"/>
          <w:sz w:val="24"/>
        </w:rPr>
        <w:t>城市层面分期处理特征</w:t>
      </w:r>
      <w:r w:rsidRPr="00CD6EEA">
        <w:rPr>
          <w:rFonts w:ascii="宋体" w:eastAsia="宋体" w:hAnsi="宋体"/>
          <w:color w:val="000000" w:themeColor="text1"/>
          <w:sz w:val="24"/>
        </w:rPr>
        <w:t>。示范城市并非在同一时间统一纳入，而是按照年度批次逐步进入政策。在城市之间存在差异的政策进入时间，为比较同一城市政策实施前后的健康变化，并结合尚未进入试点城市的同期变化构造处理组与对照组提供了条件。因此，本文将“宽带中国”示范城市的分期实施视为一个准自然实验，并利用其不同城市之间的处理时点差异识别数字基础设施建设的健康效应。</w:t>
      </w:r>
    </w:p>
    <w:p w14:paraId="3C55A861" w14:textId="196F40A3" w:rsidR="00CD6EEA" w:rsidRPr="00CD6EEA" w:rsidRDefault="00CD6EEA" w:rsidP="00CD6EEA">
      <w:pPr>
        <w:rPr>
          <w:rFonts w:ascii="宋体" w:eastAsia="宋体" w:hAnsi="宋体" w:hint="eastAsia"/>
          <w:color w:val="000000" w:themeColor="text1"/>
          <w:sz w:val="24"/>
        </w:rPr>
      </w:pPr>
      <w:r w:rsidRPr="00CD6EEA">
        <w:rPr>
          <w:rFonts w:ascii="宋体" w:eastAsia="宋体" w:hAnsi="宋体"/>
          <w:color w:val="000000" w:themeColor="text1"/>
          <w:sz w:val="24"/>
        </w:rPr>
        <w:t>从健康角度看，宽带基础设施的扩张并非直接针对医疗服务，但其所带来的信息获取、在线服务和社会连接条件改善，为数字健康信息传播、医疗服务获取以及持续性健康管理提供了新的基础设施条件。对于具有持续健康管理需求的老年人而言，这种基础设施</w:t>
      </w:r>
      <w:r w:rsidR="00897548">
        <w:rPr>
          <w:rFonts w:ascii="宋体" w:eastAsia="宋体" w:hAnsi="宋体" w:hint="eastAsia"/>
          <w:color w:val="000000" w:themeColor="text1"/>
          <w:sz w:val="24"/>
        </w:rPr>
        <w:t>的扩张</w:t>
      </w:r>
      <w:r w:rsidRPr="00CD6EEA">
        <w:rPr>
          <w:rFonts w:ascii="宋体" w:eastAsia="宋体" w:hAnsi="宋体"/>
          <w:color w:val="000000" w:themeColor="text1"/>
          <w:sz w:val="24"/>
        </w:rPr>
        <w:t>具有潜在的健康意义。</w:t>
      </w:r>
    </w:p>
    <w:p w14:paraId="4CCB5D99" w14:textId="6B4BCB77" w:rsidR="003F183D" w:rsidRDefault="003E1D64" w:rsidP="003E1D64">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3E1D64">
        <w:rPr>
          <w:rFonts w:ascii="宋体" w:eastAsia="宋体" w:hAnsi="宋体" w:cs="宋体"/>
          <w:b/>
          <w:bCs/>
          <w:kern w:val="36"/>
          <w:sz w:val="48"/>
          <w:szCs w:val="48"/>
          <w14:ligatures w14:val="none"/>
        </w:rPr>
        <w:lastRenderedPageBreak/>
        <w:t>Theoretical framework and hypotheses</w:t>
      </w:r>
    </w:p>
    <w:p w14:paraId="470C903C" w14:textId="77777777" w:rsidR="00186167" w:rsidRDefault="00186167" w:rsidP="00186167">
      <w:pPr>
        <w:pStyle w:val="pdq2pgselectionanchorcontainer"/>
        <w:rPr>
          <w:rFonts w:hint="eastAsia"/>
        </w:rPr>
      </w:pPr>
      <w:r>
        <w:t>健康并非仅由医疗服务和个体健康行为决定，而是受到个体所处社会、经济和物质环境的系统性影响。健康社会决定因素理论强调，健康结果的形成嵌套于更广泛的社会条件之中，教育、收入、社会环境以及公共资源等上游因素能够通过影响个体获得健康资源和实现健康行为的机会，进一步塑造健康水平及其差异（Marmot et al., 2008）。从这一视角出发，数字基础设施虽然并非传统意义上的医疗资源，但能够改变个体获取信息、服务和社会联系的基本条件，因而可以被视为一种影响健康机会的上游社会资源。近年来关于“数字健康决定因素”（digital determinants of health）的研究也进一步指出，数字基础设施、数字技术可及性和数字健康素养等数字环境因素正在成为影响健康机会的重要组成部分，但这一领域目前尚未形成完全统一的概念边界</w:t>
      </w:r>
      <w:commentRangeStart w:id="0"/>
      <w:r>
        <w:t>。</w:t>
      </w:r>
      <w:commentRangeEnd w:id="0"/>
      <w:r>
        <w:rPr>
          <w:rStyle w:val="af4"/>
          <w:rFonts w:hint="eastAsia"/>
          <w:sz w:val="24"/>
          <w:szCs w:val="24"/>
        </w:rPr>
        <w:commentReference w:id="0"/>
      </w:r>
    </w:p>
    <w:p w14:paraId="48063952" w14:textId="77777777" w:rsidR="00186167" w:rsidRDefault="00186167" w:rsidP="00186167">
      <w:pPr>
        <w:pStyle w:val="af2"/>
        <w:rPr>
          <w:rFonts w:hint="eastAsia"/>
        </w:rPr>
      </w:pPr>
      <w:r>
        <w:t>数字基础设施影响健康的关键并不在于网络连接本身，而在于其能够扩大健康相关资源的可获得性。更稳定、广泛的数字连接可以降低健康信息获取成本，并支持远程医疗、在线咨询、健康监测和持续性健康管理等活动。对于患有慢性疾病的老年人而言，这些功能尤其具有潜在价值，因为慢性病管理通常具有持续性，需要反复获取健康信息、进行自我管理并与医疗服务保持联系。针对老年慢性病患者的系统综述发现，数字健康技术可以支持健康信息与知识管理、自我管理以及情感和社会支持，但其实际利用仍受到基础设施、数字能力、身体和认知条件等多方面因素影响</w:t>
      </w:r>
      <w:commentRangeStart w:id="1"/>
      <w:r>
        <w:t>。</w:t>
      </w:r>
      <w:commentRangeEnd w:id="1"/>
      <w:r>
        <w:rPr>
          <w:rStyle w:val="af4"/>
          <w:rFonts w:hint="eastAsia"/>
          <w:sz w:val="24"/>
          <w:szCs w:val="24"/>
        </w:rPr>
        <w:commentReference w:id="1"/>
      </w:r>
    </w:p>
    <w:p w14:paraId="31D1CB5E" w14:textId="01A7F7EE" w:rsidR="00186167" w:rsidRDefault="00186167" w:rsidP="00186167">
      <w:pPr>
        <w:pStyle w:val="af2"/>
        <w:rPr>
          <w:rFonts w:hint="eastAsia"/>
        </w:rPr>
      </w:pPr>
      <w:r>
        <w:t>由此，数字基础设施可以被理解为一种能够扩大健康相关机会集合的外部资源。因此，本文首先提出：</w:t>
      </w:r>
    </w:p>
    <w:p w14:paraId="5873A10D" w14:textId="70BE64F1" w:rsidR="00186167" w:rsidRDefault="00841FCE" w:rsidP="00186167">
      <w:pPr>
        <w:pStyle w:val="af2"/>
        <w:rPr>
          <w:rStyle w:val="af3"/>
          <w:rFonts w:hint="eastAsia"/>
        </w:rPr>
      </w:pPr>
      <w:r>
        <w:rPr>
          <w:rStyle w:val="af3"/>
          <w:rFonts w:hint="eastAsia"/>
        </w:rPr>
        <w:t>H1</w:t>
      </w:r>
      <w:r w:rsidR="00186167">
        <w:rPr>
          <w:rStyle w:val="af3"/>
        </w:rPr>
        <w:t>：数字基础设施建设能够改善</w:t>
      </w:r>
      <w:r w:rsidR="00897548">
        <w:rPr>
          <w:rStyle w:val="af3"/>
          <w:rFonts w:hint="eastAsia"/>
        </w:rPr>
        <w:t>慢性病</w:t>
      </w:r>
      <w:r w:rsidR="00186167">
        <w:rPr>
          <w:rStyle w:val="af3"/>
        </w:rPr>
        <w:t>老年人的健康</w:t>
      </w:r>
      <w:r w:rsidR="004F1C80">
        <w:rPr>
          <w:rStyle w:val="af3"/>
          <w:rFonts w:hint="eastAsia"/>
        </w:rPr>
        <w:t>能力。</w:t>
      </w:r>
    </w:p>
    <w:p w14:paraId="156EDAAB" w14:textId="77777777" w:rsidR="00B03CA8" w:rsidRDefault="00B03CA8" w:rsidP="00186167">
      <w:pPr>
        <w:pStyle w:val="af2"/>
        <w:rPr>
          <w:rFonts w:hint="eastAsia"/>
        </w:rPr>
      </w:pPr>
    </w:p>
    <w:p w14:paraId="14AAD157" w14:textId="7EC32A03" w:rsidR="00C177CA" w:rsidRDefault="00C177CA" w:rsidP="00C177CA">
      <w:pPr>
        <w:rPr>
          <w:rFonts w:ascii="宋体" w:eastAsia="宋体" w:hAnsi="宋体" w:hint="eastAsia"/>
          <w:color w:val="000000" w:themeColor="text1"/>
          <w:sz w:val="24"/>
        </w:rPr>
      </w:pPr>
      <w:r w:rsidRPr="00C177CA">
        <w:rPr>
          <w:rFonts w:ascii="宋体" w:eastAsia="宋体" w:hAnsi="宋体"/>
          <w:color w:val="000000" w:themeColor="text1"/>
          <w:sz w:val="24"/>
        </w:rPr>
        <w:t>数字基础设施具有公共资源属性，但并不意味着不同个体能够以相同方式获得和利用其收益。近年来研究开始使用数字脆弱性来刻画个体在日益数字化的社会中面临的多方面数字参与风险。与传统数字鸿沟主要区分“接入”与“未接入”不同，数字脆弱性强调个体即使并非完全处于数字排斥状态，也可能因设备、能力、社会环境等方面的限制而难以充分参与数字社会，并因此处于更容易发生数字排斥的位置。Sakariassen（2025）对老年人数字生活的研究即将 digital vulnerability 作为一个多维分析概念，并强调数字脆弱性可以由物质、社会等不同条件共同形成</w:t>
      </w:r>
      <w:commentRangeStart w:id="2"/>
      <w:r w:rsidRPr="00C177CA">
        <w:rPr>
          <w:rFonts w:ascii="宋体" w:eastAsia="宋体" w:hAnsi="宋体"/>
          <w:color w:val="000000" w:themeColor="text1"/>
          <w:sz w:val="24"/>
        </w:rPr>
        <w:t>。</w:t>
      </w:r>
      <w:commentRangeEnd w:id="2"/>
      <w:r w:rsidR="00C83157">
        <w:rPr>
          <w:rStyle w:val="af4"/>
          <w:rFonts w:ascii="宋体" w:eastAsia="宋体" w:hAnsi="宋体" w:hint="eastAsia"/>
          <w:color w:val="000000" w:themeColor="text1"/>
          <w:sz w:val="24"/>
          <w:szCs w:val="24"/>
        </w:rPr>
        <w:commentReference w:id="2"/>
      </w:r>
    </w:p>
    <w:p w14:paraId="251B09DC" w14:textId="4AACF8B1" w:rsidR="00EA76FD" w:rsidRPr="00C177CA" w:rsidRDefault="00EA76FD" w:rsidP="00C177CA">
      <w:pPr>
        <w:rPr>
          <w:rFonts w:ascii="宋体" w:eastAsia="宋体" w:hAnsi="宋体" w:hint="eastAsia"/>
          <w:color w:val="000000" w:themeColor="text1"/>
          <w:sz w:val="24"/>
        </w:rPr>
      </w:pPr>
      <w:r w:rsidRPr="00EA76FD">
        <w:rPr>
          <w:rFonts w:ascii="宋体" w:eastAsia="宋体" w:hAnsi="宋体"/>
          <w:color w:val="000000" w:themeColor="text1"/>
          <w:sz w:val="24"/>
        </w:rPr>
        <w:t>数字脆弱性不仅体现个体总体上面临的数字约束程度，也体现约束发生于哪些环节。数字基础设施扩张增加的是可获得的数字资源，但资源本身并不必然转化为实际的健康收益。根据 Sen 的能力方法，资源只有在个人特征、社会环境</w:t>
      </w:r>
      <w:r w:rsidRPr="00EA76FD">
        <w:rPr>
          <w:rFonts w:ascii="宋体" w:eastAsia="宋体" w:hAnsi="宋体"/>
          <w:color w:val="000000" w:themeColor="text1"/>
          <w:sz w:val="24"/>
        </w:rPr>
        <w:lastRenderedPageBreak/>
        <w:t>等转换因素作用下，才能进一步转化为实际的</w:t>
      </w:r>
      <w:r>
        <w:rPr>
          <w:rFonts w:ascii="宋体" w:eastAsia="宋体" w:hAnsi="宋体" w:hint="eastAsia"/>
          <w:color w:val="000000" w:themeColor="text1"/>
          <w:sz w:val="24"/>
        </w:rPr>
        <w:t>功能</w:t>
      </w:r>
      <w:r w:rsidRPr="00EA76FD">
        <w:rPr>
          <w:rFonts w:ascii="宋体" w:eastAsia="宋体" w:hAnsi="宋体"/>
          <w:color w:val="000000" w:themeColor="text1"/>
          <w:sz w:val="24"/>
        </w:rPr>
        <w:t>。因此，在总体数字脆弱程度不同的情况下，个体利用新增数字资源并将其转化为健康收益的能力可能存在差异；而即使总体脆弱程度相近，不同个体所面临的物质、技能或社会参与等约束组合不同，其资源转化条件也可能不同。由此，数字脆弱性可以被理解为一种多维的资源能力约束状态，其差异既体现在总体程度上，也体现在具体约束结构上，这为进一步考察数字基础设施健康回报的群体差异及其结构性差异提供了理论基础。</w:t>
      </w:r>
    </w:p>
    <w:p w14:paraId="21451D05" w14:textId="59A911A6" w:rsidR="00C177CA" w:rsidRPr="00C177CA" w:rsidRDefault="00C177CA" w:rsidP="00C177CA">
      <w:pPr>
        <w:rPr>
          <w:rFonts w:ascii="宋体" w:eastAsia="宋体" w:hAnsi="宋体" w:hint="eastAsia"/>
          <w:color w:val="000000" w:themeColor="text1"/>
          <w:sz w:val="24"/>
        </w:rPr>
      </w:pPr>
      <w:r w:rsidRPr="00C177CA">
        <w:rPr>
          <w:rFonts w:ascii="宋体" w:eastAsia="宋体" w:hAnsi="宋体"/>
          <w:color w:val="000000" w:themeColor="text1"/>
          <w:sz w:val="24"/>
        </w:rPr>
        <w:t>基于上述理论逻辑，本文</w:t>
      </w:r>
      <w:r w:rsidR="00EA76FD">
        <w:rPr>
          <w:rFonts w:ascii="宋体" w:eastAsia="宋体" w:hAnsi="宋体" w:hint="eastAsia"/>
          <w:color w:val="000000" w:themeColor="text1"/>
          <w:sz w:val="24"/>
        </w:rPr>
        <w:t>以</w:t>
      </w:r>
      <w:r w:rsidRPr="00C177CA">
        <w:rPr>
          <w:rFonts w:ascii="宋体" w:eastAsia="宋体" w:hAnsi="宋体"/>
          <w:color w:val="000000" w:themeColor="text1"/>
          <w:sz w:val="24"/>
        </w:rPr>
        <w:t>数字脆弱性</w:t>
      </w:r>
      <w:r w:rsidR="00EA76FD">
        <w:rPr>
          <w:rFonts w:ascii="宋体" w:eastAsia="宋体" w:hAnsi="宋体" w:hint="eastAsia"/>
          <w:color w:val="000000" w:themeColor="text1"/>
          <w:sz w:val="24"/>
        </w:rPr>
        <w:t>为视角考察其对</w:t>
      </w:r>
      <w:r w:rsidRPr="00C177CA">
        <w:rPr>
          <w:rFonts w:ascii="宋体" w:eastAsia="宋体" w:hAnsi="宋体"/>
          <w:color w:val="000000" w:themeColor="text1"/>
          <w:sz w:val="24"/>
        </w:rPr>
        <w:t>数字基础设施健康收益</w:t>
      </w:r>
      <w:r w:rsidR="00EA76FD">
        <w:rPr>
          <w:rFonts w:ascii="宋体" w:eastAsia="宋体" w:hAnsi="宋体" w:hint="eastAsia"/>
          <w:color w:val="000000" w:themeColor="text1"/>
          <w:sz w:val="24"/>
        </w:rPr>
        <w:t>的影响。由</w:t>
      </w:r>
      <w:r w:rsidR="00841FCE">
        <w:rPr>
          <w:rFonts w:ascii="宋体" w:eastAsia="宋体" w:hAnsi="宋体" w:hint="eastAsia"/>
          <w:color w:val="000000" w:themeColor="text1"/>
          <w:sz w:val="24"/>
        </w:rPr>
        <w:t>此本文</w:t>
      </w:r>
      <w:r w:rsidR="00EA76FD">
        <w:rPr>
          <w:rFonts w:ascii="宋体" w:eastAsia="宋体" w:hAnsi="宋体" w:hint="eastAsia"/>
          <w:color w:val="000000" w:themeColor="text1"/>
          <w:sz w:val="24"/>
        </w:rPr>
        <w:t>提出：</w:t>
      </w:r>
    </w:p>
    <w:p w14:paraId="737714CA" w14:textId="204AADD0" w:rsidR="00C177CA" w:rsidRPr="00C177CA" w:rsidRDefault="00841FCE" w:rsidP="00C177CA">
      <w:pPr>
        <w:rPr>
          <w:rFonts w:ascii="宋体" w:eastAsia="宋体" w:hAnsi="宋体" w:hint="eastAsia"/>
          <w:color w:val="000000" w:themeColor="text1"/>
          <w:sz w:val="24"/>
        </w:rPr>
      </w:pPr>
      <w:r>
        <w:rPr>
          <w:rFonts w:ascii="宋体" w:eastAsia="宋体" w:hAnsi="宋体" w:hint="eastAsia"/>
          <w:b/>
          <w:bCs/>
          <w:color w:val="000000" w:themeColor="text1"/>
          <w:sz w:val="24"/>
        </w:rPr>
        <w:t>H2</w:t>
      </w:r>
      <w:r w:rsidR="00C177CA" w:rsidRPr="00C177CA">
        <w:rPr>
          <w:rFonts w:ascii="宋体" w:eastAsia="宋体" w:hAnsi="宋体"/>
          <w:b/>
          <w:bCs/>
          <w:color w:val="000000" w:themeColor="text1"/>
          <w:sz w:val="24"/>
        </w:rPr>
        <w:t>：数字基础设施带来的健康收益因老年人基期数字脆弱程度不同而存在系统性差异</w:t>
      </w:r>
      <w:r>
        <w:rPr>
          <w:rFonts w:ascii="宋体" w:eastAsia="宋体" w:hAnsi="宋体" w:hint="eastAsia"/>
          <w:b/>
          <w:bCs/>
          <w:color w:val="000000" w:themeColor="text1"/>
          <w:sz w:val="24"/>
        </w:rPr>
        <w:t>。</w:t>
      </w:r>
    </w:p>
    <w:p w14:paraId="656A4515" w14:textId="1BF3BA7E" w:rsidR="00C177CA" w:rsidRPr="00C177CA" w:rsidRDefault="00841FCE" w:rsidP="00C177CA">
      <w:pPr>
        <w:rPr>
          <w:rFonts w:ascii="宋体" w:eastAsia="宋体" w:hAnsi="宋体" w:hint="eastAsia"/>
          <w:color w:val="000000" w:themeColor="text1"/>
          <w:sz w:val="24"/>
        </w:rPr>
      </w:pPr>
      <w:r>
        <w:rPr>
          <w:rFonts w:ascii="宋体" w:eastAsia="宋体" w:hAnsi="宋体" w:hint="eastAsia"/>
          <w:b/>
          <w:bCs/>
          <w:color w:val="000000" w:themeColor="text1"/>
          <w:sz w:val="24"/>
        </w:rPr>
        <w:t>H3</w:t>
      </w:r>
      <w:r w:rsidR="00C177CA" w:rsidRPr="00C177CA">
        <w:rPr>
          <w:rFonts w:ascii="宋体" w:eastAsia="宋体" w:hAnsi="宋体"/>
          <w:b/>
          <w:bCs/>
          <w:color w:val="000000" w:themeColor="text1"/>
          <w:sz w:val="24"/>
        </w:rPr>
        <w:t>：在总体数字脆弱程度相近的情况下，不同类型和组合的数字约束对应不同的健康政策回报</w:t>
      </w:r>
      <w:r>
        <w:rPr>
          <w:rFonts w:ascii="宋体" w:eastAsia="宋体" w:hAnsi="宋体" w:hint="eastAsia"/>
          <w:b/>
          <w:bCs/>
          <w:color w:val="000000" w:themeColor="text1"/>
          <w:sz w:val="24"/>
        </w:rPr>
        <w:t>。</w:t>
      </w:r>
    </w:p>
    <w:p w14:paraId="6B4D6259" w14:textId="77777777" w:rsidR="00BF2249" w:rsidRDefault="00BF2249">
      <w:pPr>
        <w:rPr>
          <w:rFonts w:ascii="宋体" w:eastAsia="宋体" w:hAnsi="宋体" w:hint="eastAsia"/>
          <w:color w:val="000000" w:themeColor="text1"/>
          <w:sz w:val="24"/>
        </w:rPr>
      </w:pPr>
    </w:p>
    <w:p w14:paraId="65CBFD6B" w14:textId="6978FFBB" w:rsidR="00555034" w:rsidRPr="00555034" w:rsidRDefault="00555034" w:rsidP="00555034">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555034">
        <w:rPr>
          <w:rFonts w:ascii="宋体" w:eastAsia="宋体" w:hAnsi="宋体" w:cs="宋体" w:hint="eastAsia"/>
          <w:b/>
          <w:bCs/>
          <w:kern w:val="36"/>
          <w:sz w:val="48"/>
          <w:szCs w:val="48"/>
          <w14:ligatures w14:val="none"/>
        </w:rPr>
        <w:t>Method</w:t>
      </w:r>
    </w:p>
    <w:p w14:paraId="6386317A" w14:textId="77777777" w:rsidR="00B36F87" w:rsidRPr="00B36F87" w:rsidRDefault="00B36F87" w:rsidP="00B36F87">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B36F87">
        <w:rPr>
          <w:rFonts w:ascii="宋体" w:eastAsia="宋体" w:hAnsi="宋体" w:cs="宋体"/>
          <w:b/>
          <w:bCs/>
          <w:kern w:val="0"/>
          <w:sz w:val="27"/>
          <w:szCs w:val="27"/>
          <w14:ligatures w14:val="none"/>
        </w:rPr>
        <w:t>3.1 数据来源与样本筛选</w:t>
      </w:r>
    </w:p>
    <w:p w14:paraId="2E24F1C9" w14:textId="77777777" w:rsidR="00B36F87" w:rsidRPr="00B36F87" w:rsidRDefault="00B36F87" w:rsidP="00B36F87">
      <w:pPr>
        <w:widowControl/>
        <w:spacing w:before="100" w:beforeAutospacing="1" w:after="100" w:afterAutospacing="1" w:line="240" w:lineRule="auto"/>
        <w:rPr>
          <w:rFonts w:ascii="宋体" w:eastAsia="宋体" w:hAnsi="宋体" w:cs="宋体" w:hint="eastAsia"/>
          <w:kern w:val="0"/>
          <w:sz w:val="24"/>
          <w14:ligatures w14:val="none"/>
        </w:rPr>
      </w:pPr>
      <w:r w:rsidRPr="00B36F87">
        <w:rPr>
          <w:rFonts w:ascii="宋体" w:eastAsia="宋体" w:hAnsi="宋体" w:cs="宋体"/>
          <w:kern w:val="0"/>
          <w:sz w:val="24"/>
          <w14:ligatures w14:val="none"/>
        </w:rPr>
        <w:t>本文使用中国健康与养老追踪调查（China Health and Retirement Longitudinal Study，CHARLS）数据。CHARLS 是由北京大学等机构组织实施的大型全国性纵向调查，旨在收集中国45岁及以上中老年居民的高质量微观数据。调查内容涵盖个人基本信息、家庭结构与经济支持、健康状况、医疗服务利用与医疗保险、工作与退休、收入消费与资产，以及社区等多个方面，能够同时提供个体健康状况、社会经济特征及家庭和社会环境等信息，为研究人口老龄化与健康问题提供了较为全面的微观数据基础。全国基线调查于2011年开展，此后分别于2013年、2015年和2018年开展全国追踪调查。</w:t>
      </w:r>
    </w:p>
    <w:p w14:paraId="5A5C650A" w14:textId="11428EE4" w:rsidR="00B36F87" w:rsidRPr="00B36F87" w:rsidRDefault="00B36F87" w:rsidP="00B36F87">
      <w:pPr>
        <w:widowControl/>
        <w:spacing w:before="100" w:beforeAutospacing="1" w:after="100" w:afterAutospacing="1" w:line="240" w:lineRule="auto"/>
        <w:rPr>
          <w:rFonts w:ascii="宋体" w:eastAsia="宋体" w:hAnsi="宋体" w:cs="宋体" w:hint="eastAsia"/>
          <w:kern w:val="0"/>
          <w:sz w:val="24"/>
          <w14:ligatures w14:val="none"/>
        </w:rPr>
      </w:pPr>
      <w:r w:rsidRPr="00B36F87">
        <w:rPr>
          <w:rFonts w:ascii="宋体" w:eastAsia="宋体" w:hAnsi="宋体" w:cs="宋体"/>
          <w:kern w:val="0"/>
          <w:sz w:val="24"/>
          <w14:ligatures w14:val="none"/>
        </w:rPr>
        <w:t>CHARLS 采用多阶段、分层的概率抽样设计，在县（区）和村（居）两个阶段均采用按人口规模比例概率抽样（PPS），全国基线调查覆盖28个省份、150个县（区）和450个村（居），调查约1万户家庭和1.77万</w:t>
      </w:r>
      <w:r w:rsidR="00C245EA">
        <w:rPr>
          <w:rFonts w:ascii="宋体" w:eastAsia="宋体" w:hAnsi="宋体" w:cs="宋体" w:hint="eastAsia"/>
          <w:kern w:val="0"/>
          <w:sz w:val="24"/>
          <w14:ligatures w14:val="none"/>
        </w:rPr>
        <w:t>人次</w:t>
      </w:r>
      <w:r w:rsidRPr="00B36F87">
        <w:rPr>
          <w:rFonts w:ascii="宋体" w:eastAsia="宋体" w:hAnsi="宋体" w:cs="宋体"/>
          <w:kern w:val="0"/>
          <w:sz w:val="24"/>
          <w14:ligatures w14:val="none"/>
        </w:rPr>
        <w:t>，因此具有较好的全国代表性。与此同时，CHARLS 采用统一的调查设计和标准化的数据收集流程，并持续对基线样本进行追踪，其数据内容丰富、纵向性较强，因而适用于从个体层面考察数字基础设施变化与老年健康之间的关系。</w:t>
      </w:r>
    </w:p>
    <w:p w14:paraId="259D133E" w14:textId="4ECB211B" w:rsidR="00B36F87" w:rsidRPr="00B36F87" w:rsidRDefault="00B36F87" w:rsidP="00B36F87">
      <w:pPr>
        <w:widowControl/>
        <w:spacing w:before="100" w:beforeAutospacing="1" w:after="100" w:afterAutospacing="1" w:line="240" w:lineRule="auto"/>
        <w:rPr>
          <w:rFonts w:ascii="宋体" w:eastAsia="宋体" w:hAnsi="宋体" w:cs="宋体" w:hint="eastAsia"/>
          <w:kern w:val="0"/>
          <w:sz w:val="24"/>
          <w14:ligatures w14:val="none"/>
        </w:rPr>
      </w:pPr>
      <w:r w:rsidRPr="00B36F87">
        <w:rPr>
          <w:rFonts w:ascii="宋体" w:eastAsia="宋体" w:hAnsi="宋体" w:cs="宋体"/>
          <w:kern w:val="0"/>
          <w:sz w:val="24"/>
          <w14:ligatures w14:val="none"/>
        </w:rPr>
        <w:t xml:space="preserve">本文使用CHARLS </w:t>
      </w:r>
      <w:r w:rsidRPr="00B36F87">
        <w:rPr>
          <w:rFonts w:ascii="宋体" w:eastAsia="宋体" w:hAnsi="宋体" w:cs="宋体"/>
          <w:b/>
          <w:bCs/>
          <w:kern w:val="0"/>
          <w:sz w:val="24"/>
          <w14:ligatures w14:val="none"/>
        </w:rPr>
        <w:t>2011、2013、2015和2018年</w:t>
      </w:r>
      <w:r w:rsidRPr="00B36F87">
        <w:rPr>
          <w:rFonts w:ascii="宋体" w:eastAsia="宋体" w:hAnsi="宋体" w:cs="宋体"/>
          <w:kern w:val="0"/>
          <w:sz w:val="24"/>
          <w14:ligatures w14:val="none"/>
        </w:rPr>
        <w:t>四期全国调查数据，并以2011年调查作为基期确定研究对象，随后追踪其在后续各期中的观测。研究未纳入2020年第五期数据，考虑到2020年调查处于新冠疫情特殊时期，疫情及相应</w:t>
      </w:r>
      <w:r w:rsidRPr="00B36F87">
        <w:rPr>
          <w:rFonts w:ascii="宋体" w:eastAsia="宋体" w:hAnsi="宋体" w:cs="宋体"/>
          <w:kern w:val="0"/>
          <w:sz w:val="24"/>
          <w14:ligatures w14:val="none"/>
        </w:rPr>
        <w:lastRenderedPageBreak/>
        <w:t>防控措施可能同时影响居民健康状况、医疗服务利用、社会交往以及数字技术使用等，与本文关注的数字基础设施政策效应存在较强的潜在混杂，从而不利于识别政策的独立影响。</w:t>
      </w:r>
    </w:p>
    <w:p w14:paraId="15F7E680" w14:textId="37078C98" w:rsidR="00B36F87" w:rsidRDefault="00D160B3" w:rsidP="00B36F87">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本文</w:t>
      </w:r>
      <w:r w:rsidR="00B36F87" w:rsidRPr="00B36F87">
        <w:rPr>
          <w:rFonts w:ascii="宋体" w:eastAsia="宋体" w:hAnsi="宋体" w:cs="宋体"/>
          <w:kern w:val="0"/>
          <w:sz w:val="24"/>
          <w14:ligatures w14:val="none"/>
        </w:rPr>
        <w:t>首先保留2011年基期</w:t>
      </w:r>
      <w:r w:rsidR="00B36F87" w:rsidRPr="00B36F87">
        <w:rPr>
          <w:rFonts w:ascii="宋体" w:eastAsia="宋体" w:hAnsi="宋体" w:cs="宋体"/>
          <w:b/>
          <w:bCs/>
          <w:kern w:val="0"/>
          <w:sz w:val="24"/>
          <w14:ligatures w14:val="none"/>
        </w:rPr>
        <w:t>年龄≥60岁</w:t>
      </w:r>
      <w:r w:rsidR="00B36F87" w:rsidRPr="00B36F87">
        <w:rPr>
          <w:rFonts w:ascii="宋体" w:eastAsia="宋体" w:hAnsi="宋体" w:cs="宋体"/>
          <w:kern w:val="0"/>
          <w:sz w:val="24"/>
          <w14:ligatures w14:val="none"/>
        </w:rPr>
        <w:t>且能够匹配地级市信息的受访者，在此基础上，进一步保留基期已确诊患有慢性疾病的个体，将其作为本文的主要研究对象。随后，将这些基期个体与2013年、2015年和2018年的追踪数据进行匹配，并限定于2011—2018年的研究窗口。经过筛选，基期60岁以上且成功匹配城市信息的老年人共</w:t>
      </w:r>
      <w:r w:rsidR="00B36F87" w:rsidRPr="00B36F87">
        <w:rPr>
          <w:rFonts w:ascii="宋体" w:eastAsia="宋体" w:hAnsi="宋体" w:cs="宋体"/>
          <w:b/>
          <w:bCs/>
          <w:kern w:val="0"/>
          <w:sz w:val="24"/>
          <w14:ligatures w14:val="none"/>
        </w:rPr>
        <w:t>7,088人</w:t>
      </w:r>
      <w:r w:rsidR="00B36F87" w:rsidRPr="00B36F87">
        <w:rPr>
          <w:rFonts w:ascii="宋体" w:eastAsia="宋体" w:hAnsi="宋体" w:cs="宋体"/>
          <w:kern w:val="0"/>
          <w:sz w:val="24"/>
          <w14:ligatures w14:val="none"/>
        </w:rPr>
        <w:t>，其中基期患有慢性疾病者</w:t>
      </w:r>
      <w:r w:rsidR="00B36F87" w:rsidRPr="00B36F87">
        <w:rPr>
          <w:rFonts w:ascii="宋体" w:eastAsia="宋体" w:hAnsi="宋体" w:cs="宋体"/>
          <w:b/>
          <w:bCs/>
          <w:kern w:val="0"/>
          <w:sz w:val="24"/>
          <w14:ligatures w14:val="none"/>
        </w:rPr>
        <w:t>5,299人</w:t>
      </w:r>
      <w:r w:rsidR="00B36F87" w:rsidRPr="00B36F87">
        <w:rPr>
          <w:rFonts w:ascii="宋体" w:eastAsia="宋体" w:hAnsi="宋体" w:cs="宋体"/>
          <w:kern w:val="0"/>
          <w:sz w:val="24"/>
          <w14:ligatures w14:val="none"/>
        </w:rPr>
        <w:t>；对应的2011—2018年面板数据形成</w:t>
      </w:r>
      <w:r w:rsidR="000B3561">
        <w:rPr>
          <w:rFonts w:ascii="宋体" w:eastAsia="宋体" w:hAnsi="宋体" w:cs="宋体" w:hint="eastAsia"/>
          <w:kern w:val="0"/>
          <w:sz w:val="24"/>
          <w14:ligatures w14:val="none"/>
        </w:rPr>
        <w:t>观测值</w:t>
      </w:r>
      <w:r w:rsidR="00B36F87" w:rsidRPr="00B36F87">
        <w:rPr>
          <w:rFonts w:ascii="宋体" w:eastAsia="宋体" w:hAnsi="宋体" w:cs="宋体"/>
          <w:b/>
          <w:bCs/>
          <w:kern w:val="0"/>
          <w:sz w:val="24"/>
          <w14:ligatures w14:val="none"/>
        </w:rPr>
        <w:t>17,723</w:t>
      </w:r>
      <w:r w:rsidR="000B3561">
        <w:rPr>
          <w:rFonts w:ascii="宋体" w:eastAsia="宋体" w:hAnsi="宋体" w:cs="宋体" w:hint="eastAsia"/>
          <w:b/>
          <w:bCs/>
          <w:kern w:val="0"/>
          <w:sz w:val="24"/>
          <w14:ligatures w14:val="none"/>
        </w:rPr>
        <w:t>人</w:t>
      </w:r>
      <w:r w:rsidR="00B36F87" w:rsidRPr="00B36F87">
        <w:rPr>
          <w:rFonts w:ascii="宋体" w:eastAsia="宋体" w:hAnsi="宋体" w:cs="宋体"/>
          <w:kern w:val="0"/>
          <w:sz w:val="24"/>
          <w14:ligatures w14:val="none"/>
        </w:rPr>
        <w:t>，构成本文的分析样本。</w:t>
      </w:r>
    </w:p>
    <w:p w14:paraId="49E05212" w14:textId="0FF53AD2" w:rsidR="00555034" w:rsidRDefault="00555034" w:rsidP="00555034">
      <w:pPr>
        <w:widowControl/>
        <w:spacing w:before="100" w:beforeAutospacing="1" w:after="100" w:afterAutospacing="1" w:line="240" w:lineRule="auto"/>
        <w:outlineLvl w:val="0"/>
        <w:rPr>
          <w:rFonts w:ascii="宋体" w:eastAsia="宋体" w:hAnsi="宋体" w:cs="宋体" w:hint="eastAsia"/>
          <w:b/>
          <w:bCs/>
          <w:kern w:val="36"/>
          <w:sz w:val="36"/>
          <w:szCs w:val="36"/>
          <w14:ligatures w14:val="none"/>
        </w:rPr>
      </w:pPr>
    </w:p>
    <w:p w14:paraId="174FC6E2" w14:textId="5944385F" w:rsidR="00526C2B" w:rsidRPr="00146786" w:rsidRDefault="00526C2B" w:rsidP="00526C2B">
      <w:pPr>
        <w:widowControl/>
        <w:spacing w:before="100" w:beforeAutospacing="1" w:after="100" w:afterAutospacing="1" w:line="240" w:lineRule="auto"/>
        <w:outlineLvl w:val="2"/>
        <w:rPr>
          <w:rFonts w:ascii="宋体" w:eastAsia="宋体" w:hAnsi="宋体" w:cs="宋体" w:hint="eastAsia"/>
          <w:b/>
          <w:bCs/>
          <w:color w:val="EE0000"/>
          <w:kern w:val="0"/>
          <w:sz w:val="27"/>
          <w:szCs w:val="27"/>
          <w14:ligatures w14:val="none"/>
        </w:rPr>
      </w:pPr>
      <w:r w:rsidRPr="00526C2B">
        <w:rPr>
          <w:rFonts w:ascii="宋体" w:eastAsia="宋体" w:hAnsi="宋体" w:cs="宋体"/>
          <w:b/>
          <w:bCs/>
          <w:kern w:val="0"/>
          <w:sz w:val="27"/>
          <w:szCs w:val="27"/>
          <w14:ligatures w14:val="none"/>
        </w:rPr>
        <w:t>3.2.1 被解释变量</w:t>
      </w:r>
      <w:r w:rsidR="00DD28FB" w:rsidRPr="00146786">
        <w:rPr>
          <w:rFonts w:ascii="宋体" w:eastAsia="宋体" w:hAnsi="宋体" w:cs="宋体" w:hint="eastAsia"/>
          <w:b/>
          <w:bCs/>
          <w:color w:val="EE0000"/>
          <w:kern w:val="0"/>
          <w:sz w:val="27"/>
          <w:szCs w:val="27"/>
          <w14:ligatures w14:val="none"/>
        </w:rPr>
        <w:t>（记得加上文献引用）</w:t>
      </w:r>
    </w:p>
    <w:p w14:paraId="6A8D9A2D" w14:textId="43ED394E" w:rsidR="00526C2B" w:rsidRPr="00526C2B" w:rsidRDefault="00526C2B" w:rsidP="00526C2B">
      <w:pPr>
        <w:widowControl/>
        <w:spacing w:before="100" w:beforeAutospacing="1" w:after="100" w:afterAutospacing="1" w:line="240" w:lineRule="auto"/>
        <w:rPr>
          <w:rFonts w:ascii="宋体" w:eastAsia="宋体" w:hAnsi="宋体" w:cs="宋体" w:hint="eastAsia"/>
          <w:kern w:val="0"/>
          <w:sz w:val="24"/>
          <w14:ligatures w14:val="none"/>
        </w:rPr>
      </w:pPr>
      <w:r w:rsidRPr="00526C2B">
        <w:rPr>
          <w:rFonts w:ascii="宋体" w:eastAsia="宋体" w:hAnsi="宋体" w:cs="宋体"/>
          <w:kern w:val="0"/>
          <w:sz w:val="24"/>
          <w14:ligatures w14:val="none"/>
        </w:rPr>
        <w:t>本文的被解释变量为老年人的健康状况。</w:t>
      </w:r>
      <w:r w:rsidR="00542A3C" w:rsidRPr="00542A3C">
        <w:rPr>
          <w:rFonts w:ascii="宋体" w:eastAsia="宋体" w:hAnsi="宋体" w:cs="宋体"/>
          <w:kern w:val="0"/>
          <w:sz w:val="24"/>
          <w14:ligatures w14:val="none"/>
        </w:rPr>
        <w:t>老年人的健康状况具有明显的多维属性，单一健康指标难以全面反映个体的总体健康状态。WHO 将健康老龄化界定为维持和发展使老年人能够实现福祉的功能能力，其相关能力同时涉及身体和心理等多个方面；因此，老年健康的测量不宜局限于疾病状态或单一维度</w:t>
      </w:r>
      <w:commentRangeStart w:id="3"/>
      <w:r w:rsidR="00542A3C" w:rsidRPr="00542A3C">
        <w:rPr>
          <w:rFonts w:ascii="宋体" w:eastAsia="宋体" w:hAnsi="宋体" w:cs="宋体"/>
          <w:kern w:val="0"/>
          <w:sz w:val="24"/>
          <w14:ligatures w14:val="none"/>
        </w:rPr>
        <w:t>。</w:t>
      </w:r>
      <w:commentRangeEnd w:id="3"/>
      <w:r w:rsidR="00542A3C" w:rsidRPr="00526C2B">
        <w:rPr>
          <w:rStyle w:val="af4"/>
          <w:rFonts w:ascii="宋体" w:eastAsia="宋体" w:hAnsi="宋体" w:cs="宋体"/>
          <w:kern w:val="0"/>
          <w:sz w:val="24"/>
          <w:szCs w:val="24"/>
          <w14:ligatures w14:val="none"/>
        </w:rPr>
        <w:commentReference w:id="3"/>
      </w:r>
      <w:r w:rsidRPr="00526C2B">
        <w:rPr>
          <w:rFonts w:ascii="宋体" w:eastAsia="宋体" w:hAnsi="宋体" w:cs="宋体"/>
          <w:kern w:val="0"/>
          <w:sz w:val="24"/>
          <w14:ligatures w14:val="none"/>
        </w:rPr>
        <w:t>已有研究基于 CHARLS</w:t>
      </w:r>
      <w:r w:rsidR="00AD509E">
        <w:rPr>
          <w:rFonts w:ascii="宋体" w:eastAsia="宋体" w:hAnsi="宋体" w:cs="宋体" w:hint="eastAsia"/>
          <w:kern w:val="0"/>
          <w:sz w:val="24"/>
          <w14:ligatures w14:val="none"/>
        </w:rPr>
        <w:t>数据</w:t>
      </w:r>
      <w:r w:rsidR="00F016E2">
        <w:rPr>
          <w:rFonts w:ascii="宋体" w:eastAsia="宋体" w:hAnsi="宋体" w:cs="宋体" w:hint="eastAsia"/>
          <w:kern w:val="0"/>
          <w:sz w:val="24"/>
          <w14:ligatures w14:val="none"/>
        </w:rPr>
        <w:t>使用</w:t>
      </w:r>
      <w:r w:rsidRPr="00526C2B">
        <w:rPr>
          <w:rFonts w:ascii="宋体" w:eastAsia="宋体" w:hAnsi="宋体" w:cs="宋体"/>
          <w:kern w:val="0"/>
          <w:sz w:val="24"/>
          <w14:ligatures w14:val="none"/>
        </w:rPr>
        <w:t xml:space="preserve"> ADL、IADL、抑郁症状、认知功能及社会参与等指标刻画老年人的多维健康状况，并发现不同健康维度之间存在明显的异质性</w:t>
      </w:r>
      <w:commentRangeStart w:id="4"/>
      <w:r w:rsidRPr="00526C2B">
        <w:rPr>
          <w:rFonts w:ascii="宋体" w:eastAsia="宋体" w:hAnsi="宋体" w:cs="宋体"/>
          <w:kern w:val="0"/>
          <w:sz w:val="24"/>
          <w14:ligatures w14:val="none"/>
        </w:rPr>
        <w:t>。</w:t>
      </w:r>
      <w:commentRangeEnd w:id="4"/>
      <w:r w:rsidR="00AD509E" w:rsidRPr="00526C2B">
        <w:rPr>
          <w:rStyle w:val="af4"/>
          <w:rFonts w:ascii="宋体" w:eastAsia="宋体" w:hAnsi="宋体" w:cs="宋体"/>
          <w:kern w:val="0"/>
          <w:sz w:val="24"/>
          <w:szCs w:val="24"/>
          <w14:ligatures w14:val="none"/>
        </w:rPr>
        <w:commentReference w:id="4"/>
      </w:r>
      <w:r w:rsidRPr="00526C2B">
        <w:rPr>
          <w:rFonts w:ascii="宋体" w:eastAsia="宋体" w:hAnsi="宋体" w:cs="宋体"/>
          <w:kern w:val="0"/>
          <w:sz w:val="24"/>
          <w14:ligatures w14:val="none"/>
        </w:rPr>
        <w:t>因此，本文从</w:t>
      </w:r>
      <w:r w:rsidRPr="00526C2B">
        <w:rPr>
          <w:rFonts w:ascii="宋体" w:eastAsia="宋体" w:hAnsi="宋体" w:cs="宋体"/>
          <w:b/>
          <w:bCs/>
          <w:kern w:val="0"/>
          <w:sz w:val="24"/>
          <w14:ligatures w14:val="none"/>
        </w:rPr>
        <w:t>功能健康、心理健康和自评健康</w:t>
      </w:r>
      <w:r w:rsidRPr="00526C2B">
        <w:rPr>
          <w:rFonts w:ascii="宋体" w:eastAsia="宋体" w:hAnsi="宋体" w:cs="宋体"/>
          <w:kern w:val="0"/>
          <w:sz w:val="24"/>
          <w14:ligatures w14:val="none"/>
        </w:rPr>
        <w:t>三个维度对老年人的健康状况进行测量。</w:t>
      </w:r>
    </w:p>
    <w:p w14:paraId="72507888" w14:textId="218DF592" w:rsidR="00FC74C0" w:rsidRPr="00FC74C0" w:rsidRDefault="001550A7" w:rsidP="00FC74C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1.</w:t>
      </w:r>
      <w:r w:rsidR="00526C2B" w:rsidRPr="00526C2B">
        <w:rPr>
          <w:rFonts w:ascii="宋体" w:eastAsia="宋体" w:hAnsi="宋体" w:cs="宋体"/>
          <w:kern w:val="0"/>
          <w:sz w:val="24"/>
          <w14:ligatures w14:val="none"/>
        </w:rPr>
        <w:t>功能健康</w:t>
      </w:r>
      <w:r w:rsidR="00682364">
        <w:rPr>
          <w:rFonts w:ascii="宋体" w:eastAsia="宋体" w:hAnsi="宋体" w:cs="宋体" w:hint="eastAsia"/>
          <w:kern w:val="0"/>
          <w:sz w:val="24"/>
          <w14:ligatures w14:val="none"/>
        </w:rPr>
        <w:t>：</w:t>
      </w:r>
      <w:r w:rsidR="00526C2B" w:rsidRPr="00526C2B">
        <w:rPr>
          <w:rFonts w:ascii="宋体" w:eastAsia="宋体" w:hAnsi="宋体" w:cs="宋体"/>
          <w:kern w:val="0"/>
          <w:sz w:val="24"/>
          <w14:ligatures w14:val="none"/>
        </w:rPr>
        <w:t>用于衡量老年人的日常生活和独立生活能力。本文根据CHARLS的ADL和IADL项目构建功能健康指标，共包含</w:t>
      </w:r>
      <w:r w:rsidR="00134653">
        <w:rPr>
          <w:rFonts w:ascii="宋体" w:eastAsia="宋体" w:hAnsi="宋体" w:cs="宋体" w:hint="eastAsia"/>
          <w:kern w:val="0"/>
          <w:sz w:val="24"/>
          <w14:ligatures w14:val="none"/>
        </w:rPr>
        <w:t xml:space="preserve"> </w:t>
      </w:r>
      <w:r w:rsidR="00526C2B" w:rsidRPr="00526C2B">
        <w:rPr>
          <w:rFonts w:ascii="宋体" w:eastAsia="宋体" w:hAnsi="宋体" w:cs="宋体"/>
          <w:kern w:val="0"/>
          <w:sz w:val="24"/>
          <w14:ligatures w14:val="none"/>
        </w:rPr>
        <w:t>ADL</w:t>
      </w:r>
      <w:r w:rsidR="00134653">
        <w:rPr>
          <w:rFonts w:ascii="宋体" w:eastAsia="宋体" w:hAnsi="宋体" w:cs="宋体" w:hint="eastAsia"/>
          <w:kern w:val="0"/>
          <w:sz w:val="24"/>
          <w14:ligatures w14:val="none"/>
        </w:rPr>
        <w:t xml:space="preserve"> 6项（</w:t>
      </w:r>
      <w:r w:rsidR="00134653" w:rsidRPr="00134653">
        <w:rPr>
          <w:rFonts w:ascii="宋体" w:eastAsia="宋体" w:hAnsi="宋体" w:cs="宋体"/>
          <w:kern w:val="0"/>
          <w:sz w:val="24"/>
          <w14:ligatures w14:val="none"/>
        </w:rPr>
        <w:t>穿衣、洗澡、吃饭、起床、</w:t>
      </w:r>
      <w:r w:rsidR="00E5009D">
        <w:rPr>
          <w:rFonts w:ascii="宋体" w:eastAsia="宋体" w:hAnsi="宋体" w:cs="宋体" w:hint="eastAsia"/>
          <w:kern w:val="0"/>
          <w:sz w:val="24"/>
          <w14:ligatures w14:val="none"/>
        </w:rPr>
        <w:t>上</w:t>
      </w:r>
      <w:r w:rsidR="00134653" w:rsidRPr="00134653">
        <w:rPr>
          <w:rFonts w:ascii="宋体" w:eastAsia="宋体" w:hAnsi="宋体" w:cs="宋体"/>
          <w:kern w:val="0"/>
          <w:sz w:val="24"/>
          <w14:ligatures w14:val="none"/>
        </w:rPr>
        <w:t>厕</w:t>
      </w:r>
      <w:r w:rsidR="00E5009D">
        <w:rPr>
          <w:rFonts w:ascii="宋体" w:eastAsia="宋体" w:hAnsi="宋体" w:cs="宋体" w:hint="eastAsia"/>
          <w:kern w:val="0"/>
          <w:sz w:val="24"/>
          <w14:ligatures w14:val="none"/>
        </w:rPr>
        <w:t>所</w:t>
      </w:r>
      <w:r w:rsidR="00134653" w:rsidRPr="00134653">
        <w:rPr>
          <w:rFonts w:ascii="宋体" w:eastAsia="宋体" w:hAnsi="宋体" w:cs="宋体"/>
          <w:kern w:val="0"/>
          <w:sz w:val="24"/>
          <w14:ligatures w14:val="none"/>
        </w:rPr>
        <w:t>、控制大小便</w:t>
      </w:r>
      <w:r w:rsidR="00134653">
        <w:rPr>
          <w:rFonts w:ascii="宋体" w:eastAsia="宋体" w:hAnsi="宋体" w:cs="宋体" w:hint="eastAsia"/>
          <w:kern w:val="0"/>
          <w:sz w:val="24"/>
          <w14:ligatures w14:val="none"/>
        </w:rPr>
        <w:t>）</w:t>
      </w:r>
      <w:r w:rsidR="00526C2B" w:rsidRPr="00526C2B">
        <w:rPr>
          <w:rFonts w:ascii="宋体" w:eastAsia="宋体" w:hAnsi="宋体" w:cs="宋体"/>
          <w:kern w:val="0"/>
          <w:sz w:val="24"/>
          <w14:ligatures w14:val="none"/>
        </w:rPr>
        <w:t>和</w:t>
      </w:r>
      <w:r w:rsidR="00134653">
        <w:rPr>
          <w:rFonts w:ascii="宋体" w:eastAsia="宋体" w:hAnsi="宋体" w:cs="宋体" w:hint="eastAsia"/>
          <w:kern w:val="0"/>
          <w:sz w:val="24"/>
          <w14:ligatures w14:val="none"/>
        </w:rPr>
        <w:t xml:space="preserve"> </w:t>
      </w:r>
      <w:r w:rsidR="00526C2B" w:rsidRPr="00526C2B">
        <w:rPr>
          <w:rFonts w:ascii="宋体" w:eastAsia="宋体" w:hAnsi="宋体" w:cs="宋体"/>
          <w:kern w:val="0"/>
          <w:sz w:val="24"/>
          <w14:ligatures w14:val="none"/>
        </w:rPr>
        <w:t>IADL</w:t>
      </w:r>
      <w:r w:rsidR="00134653">
        <w:rPr>
          <w:rFonts w:ascii="宋体" w:eastAsia="宋体" w:hAnsi="宋体" w:cs="宋体" w:hint="eastAsia"/>
          <w:kern w:val="0"/>
          <w:sz w:val="24"/>
          <w14:ligatures w14:val="none"/>
        </w:rPr>
        <w:t xml:space="preserve"> </w:t>
      </w:r>
      <w:r w:rsidR="00033816">
        <w:rPr>
          <w:rFonts w:ascii="宋体" w:eastAsia="宋体" w:hAnsi="宋体" w:cs="宋体" w:hint="eastAsia"/>
          <w:kern w:val="0"/>
          <w:sz w:val="24"/>
          <w14:ligatures w14:val="none"/>
        </w:rPr>
        <w:t>5</w:t>
      </w:r>
      <w:r w:rsidR="00134653">
        <w:rPr>
          <w:rFonts w:ascii="宋体" w:eastAsia="宋体" w:hAnsi="宋体" w:cs="宋体" w:hint="eastAsia"/>
          <w:kern w:val="0"/>
          <w:sz w:val="24"/>
          <w14:ligatures w14:val="none"/>
        </w:rPr>
        <w:t>项（</w:t>
      </w:r>
      <w:r w:rsidR="00134653" w:rsidRPr="00134653">
        <w:rPr>
          <w:rFonts w:ascii="宋体" w:eastAsia="宋体" w:hAnsi="宋体" w:cs="宋体"/>
          <w:kern w:val="0"/>
          <w:sz w:val="24"/>
          <w14:ligatures w14:val="none"/>
        </w:rPr>
        <w:t>家务、做饭、购物、管理钱物、吃药</w:t>
      </w:r>
      <w:r w:rsidR="00134653">
        <w:rPr>
          <w:rFonts w:ascii="宋体" w:eastAsia="宋体" w:hAnsi="宋体" w:cs="宋体" w:hint="eastAsia"/>
          <w:kern w:val="0"/>
          <w:sz w:val="24"/>
          <w14:ligatures w14:val="none"/>
        </w:rPr>
        <w:t>）</w:t>
      </w:r>
      <w:r w:rsidR="00526C2B" w:rsidRPr="00526C2B">
        <w:rPr>
          <w:rFonts w:ascii="宋体" w:eastAsia="宋体" w:hAnsi="宋体" w:cs="宋体"/>
          <w:kern w:val="0"/>
          <w:sz w:val="24"/>
          <w14:ligatures w14:val="none"/>
        </w:rPr>
        <w:t>共</w:t>
      </w:r>
      <w:r w:rsidR="008F678D">
        <w:rPr>
          <w:rFonts w:ascii="宋体" w:eastAsia="宋体" w:hAnsi="宋体" w:cs="宋体" w:hint="eastAsia"/>
          <w:kern w:val="0"/>
          <w:sz w:val="24"/>
          <w14:ligatures w14:val="none"/>
        </w:rPr>
        <w:t>1</w:t>
      </w:r>
      <w:r w:rsidR="00033816">
        <w:rPr>
          <w:rFonts w:ascii="宋体" w:eastAsia="宋体" w:hAnsi="宋体" w:cs="宋体" w:hint="eastAsia"/>
          <w:kern w:val="0"/>
          <w:sz w:val="24"/>
          <w14:ligatures w14:val="none"/>
        </w:rPr>
        <w:t>1</w:t>
      </w:r>
      <w:r w:rsidR="00526C2B" w:rsidRPr="00526C2B">
        <w:rPr>
          <w:rFonts w:ascii="宋体" w:eastAsia="宋体" w:hAnsi="宋体" w:cs="宋体"/>
          <w:kern w:val="0"/>
          <w:sz w:val="24"/>
          <w14:ligatures w14:val="none"/>
        </w:rPr>
        <w:t>项活动。若受访者报告在某项活动中存在困难或无法完成，则将该项记为1，否则记为0</w:t>
      </w:r>
      <w:r w:rsidR="00075A60">
        <w:rPr>
          <w:rFonts w:ascii="宋体" w:eastAsia="宋体" w:hAnsi="宋体" w:cs="宋体" w:hint="eastAsia"/>
          <w:kern w:val="0"/>
          <w:sz w:val="24"/>
          <w14:ligatures w14:val="none"/>
        </w:rPr>
        <w:t>。最后将ADL和IADL项目得分相加得到功能</w:t>
      </w:r>
      <w:r w:rsidR="00482638">
        <w:rPr>
          <w:rFonts w:ascii="宋体" w:eastAsia="宋体" w:hAnsi="宋体" w:cs="宋体" w:hint="eastAsia"/>
          <w:kern w:val="0"/>
          <w:sz w:val="24"/>
          <w14:ligatures w14:val="none"/>
        </w:rPr>
        <w:t>受限</w:t>
      </w:r>
      <w:r w:rsidR="00075A60">
        <w:rPr>
          <w:rFonts w:ascii="宋体" w:eastAsia="宋体" w:hAnsi="宋体" w:cs="宋体" w:hint="eastAsia"/>
          <w:kern w:val="0"/>
          <w:sz w:val="24"/>
          <w14:ligatures w14:val="none"/>
        </w:rPr>
        <w:t>总分，</w:t>
      </w:r>
      <w:r w:rsidR="00482638" w:rsidRPr="00482638">
        <w:rPr>
          <w:rFonts w:ascii="宋体" w:eastAsia="宋体" w:hAnsi="宋体" w:cs="宋体"/>
          <w:kern w:val="0"/>
          <w:sz w:val="24"/>
          <w14:ligatures w14:val="none"/>
        </w:rPr>
        <w:t>取值范围为0—11，</w:t>
      </w:r>
      <w:r w:rsidR="00FC74C0" w:rsidRPr="00FC74C0">
        <w:rPr>
          <w:rFonts w:ascii="宋体" w:eastAsia="宋体" w:hAnsi="宋体" w:cs="宋体"/>
          <w:kern w:val="0"/>
          <w:sz w:val="24"/>
          <w14:ligatures w14:val="none"/>
        </w:rPr>
        <w:t xml:space="preserve">进一步将功能受限总分反向转换为 </w:t>
      </w:r>
      <m:oMath>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1</m:t>
            </m:r>
          </m:e>
        </m:d>
      </m:oMath>
      <w:r w:rsidR="00FC74C0" w:rsidRPr="00FC74C0">
        <w:rPr>
          <w:rFonts w:ascii="宋体" w:eastAsia="宋体" w:hAnsi="宋体" w:cs="宋体"/>
          <w:kern w:val="0"/>
          <w:sz w:val="24"/>
          <w14:ligatures w14:val="none"/>
        </w:rPr>
        <w:t>区间的功能健康指标</w:t>
      </w:r>
      <w:r w:rsidR="00FC74C0">
        <w:rPr>
          <w:rFonts w:ascii="宋体" w:eastAsia="宋体" w:hAnsi="宋体" w:cs="宋体" w:hint="eastAsia"/>
          <w:kern w:val="0"/>
          <w:sz w:val="24"/>
          <w14:ligatures w14:val="none"/>
        </w:rPr>
        <w:t>，</w:t>
      </w:r>
      <w:r w:rsidR="00FC74C0" w:rsidRPr="00FC74C0">
        <w:rPr>
          <w:rFonts w:ascii="宋体" w:eastAsia="宋体" w:hAnsi="宋体" w:cs="宋体"/>
          <w:b/>
          <w:bCs/>
          <w:kern w:val="0"/>
          <w:sz w:val="24"/>
          <w14:ligatures w14:val="none"/>
        </w:rPr>
        <w:t>Func 数值越高表示老年人的功能健康状况越好</w:t>
      </w:r>
      <w:r w:rsidR="00FC74C0">
        <w:rPr>
          <w:rFonts w:ascii="宋体" w:eastAsia="宋体" w:hAnsi="宋体" w:cs="宋体" w:hint="eastAsia"/>
          <w:b/>
          <w:bCs/>
          <w:kern w:val="0"/>
          <w:sz w:val="24"/>
          <w14:ligatures w14:val="none"/>
        </w:rPr>
        <w:t>：</w:t>
      </w:r>
    </w:p>
    <w:p w14:paraId="5560AB87" w14:textId="3B0A70C9" w:rsidR="00526C2B" w:rsidRPr="000922E2" w:rsidRDefault="00FC74C0" w:rsidP="00526C2B">
      <w:pPr>
        <w:widowControl/>
        <w:spacing w:before="100" w:beforeAutospacing="1" w:after="100" w:afterAutospacing="1" w:line="240" w:lineRule="auto"/>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Func=1-</m:t>
          </m:r>
          <m:f>
            <m:fPr>
              <m:ctrlPr>
                <w:rPr>
                  <w:rFonts w:ascii="Cambria Math" w:eastAsia="宋体" w:hAnsi="Cambria Math" w:cs="宋体"/>
                  <w:kern w:val="0"/>
                  <w:sz w:val="24"/>
                  <w14:ligatures w14:val="none"/>
                </w:rPr>
              </m:ctrlPr>
            </m:fPr>
            <m:num>
              <m:r>
                <m:rPr>
                  <m:nor/>
                </m:rPr>
                <w:rPr>
                  <w:rFonts w:ascii="宋体" w:eastAsia="宋体" w:hAnsi="宋体" w:cs="宋体"/>
                  <w:kern w:val="0"/>
                  <w:sz w:val="24"/>
                  <w14:ligatures w14:val="none"/>
                </w:rPr>
                <m:t>功能受限总项数</m:t>
              </m:r>
            </m:num>
            <m:den>
              <m:r>
                <w:rPr>
                  <w:rFonts w:ascii="Cambria Math" w:eastAsia="宋体" w:hAnsi="Cambria Math" w:cs="宋体"/>
                  <w:kern w:val="0"/>
                  <w:sz w:val="24"/>
                  <w14:ligatures w14:val="none"/>
                </w:rPr>
                <m:t>11</m:t>
              </m:r>
            </m:den>
          </m:f>
          <m:r>
            <w:rPr>
              <w:rFonts w:ascii="Cambria Math" w:eastAsia="宋体" w:hAnsi="Cambria Math" w:cs="宋体"/>
              <w:kern w:val="0"/>
              <w:sz w:val="24"/>
              <w14:ligatures w14:val="none"/>
            </w:rPr>
            <m:t>.</m:t>
          </m:r>
        </m:oMath>
      </m:oMathPara>
    </w:p>
    <w:p w14:paraId="79931312" w14:textId="77777777" w:rsidR="000922E2" w:rsidRPr="00FC74C0" w:rsidRDefault="000922E2" w:rsidP="00526C2B">
      <w:pPr>
        <w:widowControl/>
        <w:spacing w:before="100" w:beforeAutospacing="1" w:after="100" w:afterAutospacing="1" w:line="240" w:lineRule="auto"/>
        <w:rPr>
          <w:rFonts w:ascii="宋体" w:eastAsia="宋体" w:hAnsi="宋体" w:cs="宋体" w:hint="eastAsia"/>
          <w:kern w:val="0"/>
          <w:sz w:val="24"/>
          <w14:ligatures w14:val="none"/>
        </w:rPr>
      </w:pPr>
    </w:p>
    <w:p w14:paraId="6278B00B" w14:textId="1DB2A12F" w:rsidR="000922E2" w:rsidRPr="000922E2" w:rsidRDefault="004C6A5C" w:rsidP="000922E2">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2.</w:t>
      </w:r>
      <w:r w:rsidR="000922E2" w:rsidRPr="000922E2">
        <w:rPr>
          <w:rFonts w:ascii="宋体" w:eastAsia="宋体" w:hAnsi="宋体" w:cs="宋体"/>
          <w:kern w:val="0"/>
          <w:sz w:val="24"/>
          <w14:ligatures w14:val="none"/>
        </w:rPr>
        <w:t xml:space="preserve"> 心理健康</w:t>
      </w:r>
      <w:r w:rsidR="000922E2">
        <w:rPr>
          <w:rFonts w:ascii="宋体" w:eastAsia="宋体" w:hAnsi="宋体" w:cs="宋体" w:hint="eastAsia"/>
          <w:kern w:val="0"/>
          <w:sz w:val="24"/>
          <w14:ligatures w14:val="none"/>
        </w:rPr>
        <w:t>：用于衡量老年人的抑郁症状。</w:t>
      </w:r>
      <w:r w:rsidR="00DD4A49">
        <w:rPr>
          <w:rFonts w:ascii="宋体" w:eastAsia="宋体" w:hAnsi="宋体" w:cs="宋体" w:hint="eastAsia"/>
          <w:kern w:val="0"/>
          <w:sz w:val="24"/>
          <w14:ligatures w14:val="none"/>
        </w:rPr>
        <w:t>本文</w:t>
      </w:r>
      <w:r w:rsidR="000922E2">
        <w:rPr>
          <w:rFonts w:ascii="宋体" w:eastAsia="宋体" w:hAnsi="宋体" w:cs="宋体" w:hint="eastAsia"/>
          <w:kern w:val="0"/>
          <w:sz w:val="24"/>
          <w14:ligatures w14:val="none"/>
        </w:rPr>
        <w:t>使用</w:t>
      </w:r>
      <w:r w:rsidR="000922E2" w:rsidRPr="000922E2">
        <w:rPr>
          <w:rFonts w:ascii="宋体" w:eastAsia="宋体" w:hAnsi="宋体" w:cs="宋体"/>
          <w:kern w:val="0"/>
          <w:sz w:val="24"/>
          <w14:ligatures w14:val="none"/>
        </w:rPr>
        <w:t>CHARLS 中的 CES-D10</w:t>
      </w:r>
      <w:r w:rsidR="000922E2">
        <w:rPr>
          <w:rFonts w:ascii="宋体" w:eastAsia="宋体" w:hAnsi="宋体" w:cs="宋体" w:hint="eastAsia"/>
          <w:kern w:val="0"/>
          <w:sz w:val="24"/>
          <w14:ligatures w14:val="none"/>
        </w:rPr>
        <w:t>量表</w:t>
      </w:r>
      <w:r w:rsidR="000922E2" w:rsidRPr="000922E2">
        <w:rPr>
          <w:rFonts w:ascii="宋体" w:eastAsia="宋体" w:hAnsi="宋体" w:cs="宋体"/>
          <w:kern w:val="0"/>
          <w:sz w:val="24"/>
          <w14:ligatures w14:val="none"/>
        </w:rPr>
        <w:t>进行测量。CES-D</w:t>
      </w:r>
      <w:r w:rsidR="00493B65">
        <w:rPr>
          <w:rFonts w:ascii="宋体" w:eastAsia="宋体" w:hAnsi="宋体" w:cs="宋体" w:hint="eastAsia"/>
          <w:kern w:val="0"/>
          <w:sz w:val="24"/>
          <w14:ligatures w14:val="none"/>
        </w:rPr>
        <w:t>10</w:t>
      </w:r>
      <w:r w:rsidR="000922E2" w:rsidRPr="000922E2">
        <w:rPr>
          <w:rFonts w:ascii="宋体" w:eastAsia="宋体" w:hAnsi="宋体" w:cs="宋体"/>
          <w:kern w:val="0"/>
          <w:sz w:val="24"/>
          <w14:ligatures w14:val="none"/>
        </w:rPr>
        <w:t xml:space="preserve"> 是用于衡量抑郁症状的经典量表，</w:t>
      </w:r>
      <w:r w:rsidR="00275874">
        <w:rPr>
          <w:rFonts w:ascii="宋体" w:eastAsia="宋体" w:hAnsi="宋体" w:cs="宋体" w:hint="eastAsia"/>
          <w:kern w:val="0"/>
          <w:sz w:val="24"/>
          <w14:ligatures w14:val="none"/>
        </w:rPr>
        <w:t>具有良好的</w:t>
      </w:r>
      <w:r w:rsidR="000922E2" w:rsidRPr="000922E2">
        <w:rPr>
          <w:rFonts w:ascii="宋体" w:eastAsia="宋体" w:hAnsi="宋体" w:cs="宋体"/>
          <w:kern w:val="0"/>
          <w:sz w:val="24"/>
          <w14:ligatures w14:val="none"/>
        </w:rPr>
        <w:t>的可靠性和效度</w:t>
      </w:r>
      <w:commentRangeStart w:id="5"/>
      <w:r w:rsidR="000922E2" w:rsidRPr="000922E2">
        <w:rPr>
          <w:rFonts w:ascii="宋体" w:eastAsia="宋体" w:hAnsi="宋体" w:cs="宋体"/>
          <w:kern w:val="0"/>
          <w:sz w:val="24"/>
          <w14:ligatures w14:val="none"/>
        </w:rPr>
        <w:t>。</w:t>
      </w:r>
      <w:commentRangeEnd w:id="5"/>
      <w:r w:rsidR="00DD4A49" w:rsidRPr="000922E2">
        <w:rPr>
          <w:rStyle w:val="af4"/>
          <w:rFonts w:ascii="宋体" w:eastAsia="宋体" w:hAnsi="宋体" w:cs="宋体"/>
          <w:kern w:val="0"/>
          <w:sz w:val="24"/>
          <w:szCs w:val="24"/>
          <w14:ligatures w14:val="none"/>
        </w:rPr>
        <w:commentReference w:id="5"/>
      </w:r>
      <w:r w:rsidR="000922E2" w:rsidRPr="000922E2">
        <w:rPr>
          <w:rFonts w:ascii="宋体" w:eastAsia="宋体" w:hAnsi="宋体" w:cs="宋体"/>
          <w:kern w:val="0"/>
          <w:sz w:val="24"/>
          <w14:ligatures w14:val="none"/>
        </w:rPr>
        <w:t>CHARLS 的 CES-D10 包含10个关于近期情绪和心理状态的问题，</w:t>
      </w:r>
      <w:r w:rsidR="00115F8B">
        <w:rPr>
          <w:rFonts w:ascii="宋体" w:eastAsia="宋体" w:hAnsi="宋体" w:cs="宋体" w:hint="eastAsia"/>
          <w:kern w:val="0"/>
          <w:sz w:val="24"/>
          <w14:ligatures w14:val="none"/>
        </w:rPr>
        <w:t>包括：“</w:t>
      </w:r>
      <w:r w:rsidR="00115F8B" w:rsidRPr="00115F8B">
        <w:rPr>
          <w:rFonts w:ascii="宋体" w:eastAsia="宋体" w:hAnsi="宋体" w:cs="宋体"/>
          <w:kern w:val="0"/>
          <w:sz w:val="24"/>
          <w14:ligatures w14:val="none"/>
        </w:rPr>
        <w:t>我因一些小事而烦恼</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我在做事时很难集中精力</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我感到情绪低落</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我觉得做任何事都很费劲</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我对未来充满希望</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我感到害怕</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我的睡眠不好</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我很愉快</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我感到孤独</w:t>
      </w:r>
      <w:r w:rsidR="00115F8B" w:rsidRPr="00115F8B">
        <w:rPr>
          <w:rFonts w:ascii="宋体" w:eastAsia="宋体" w:hAnsi="宋体" w:cs="宋体" w:hint="eastAsia"/>
          <w:kern w:val="0"/>
          <w:sz w:val="24"/>
          <w14:ligatures w14:val="none"/>
        </w:rPr>
        <w:t>”、“</w:t>
      </w:r>
      <w:r w:rsidR="00115F8B" w:rsidRPr="00115F8B">
        <w:rPr>
          <w:rFonts w:ascii="宋体" w:eastAsia="宋体" w:hAnsi="宋体" w:cs="宋体"/>
          <w:kern w:val="0"/>
          <w:sz w:val="24"/>
          <w14:ligatures w14:val="none"/>
        </w:rPr>
        <w:t xml:space="preserve"> 我觉</w:t>
      </w:r>
      <w:r w:rsidR="00115F8B" w:rsidRPr="00115F8B">
        <w:rPr>
          <w:rFonts w:ascii="宋体" w:eastAsia="宋体" w:hAnsi="宋体" w:cs="宋体"/>
          <w:kern w:val="0"/>
          <w:sz w:val="24"/>
          <w14:ligatures w14:val="none"/>
        </w:rPr>
        <w:lastRenderedPageBreak/>
        <w:t>得我无法继续我的生活</w:t>
      </w:r>
      <w:r w:rsidR="00115F8B" w:rsidRPr="00115F8B">
        <w:rPr>
          <w:rFonts w:ascii="宋体" w:eastAsia="宋体" w:hAnsi="宋体" w:cs="宋体" w:hint="eastAsia"/>
          <w:kern w:val="0"/>
          <w:sz w:val="24"/>
          <w14:ligatures w14:val="none"/>
        </w:rPr>
        <w:t>”</w:t>
      </w:r>
      <w:r w:rsidR="00115F8B" w:rsidRPr="009B0F3A">
        <w:rPr>
          <w:rFonts w:ascii="宋体" w:eastAsia="宋体" w:hAnsi="宋体" w:cs="宋体" w:hint="eastAsia"/>
          <w:kern w:val="0"/>
          <w:sz w:val="24"/>
          <w14:ligatures w14:val="none"/>
        </w:rPr>
        <w:t>。</w:t>
      </w:r>
      <w:r w:rsidR="000922E2" w:rsidRPr="000922E2">
        <w:rPr>
          <w:rFonts w:ascii="宋体" w:eastAsia="宋体" w:hAnsi="宋体" w:cs="宋体"/>
          <w:kern w:val="0"/>
          <w:sz w:val="24"/>
          <w14:ligatures w14:val="none"/>
        </w:rPr>
        <w:t>各题按照症状出现频率进行0—3分赋值，并对其中的正向情绪题进行反向计分，最终加总得到心理健康原始得分，取值范围为0—30分。</w:t>
      </w:r>
      <w:r w:rsidR="00DD4A49">
        <w:rPr>
          <w:rFonts w:ascii="宋体" w:eastAsia="宋体" w:hAnsi="宋体" w:cs="宋体" w:hint="eastAsia"/>
          <w:kern w:val="0"/>
          <w:sz w:val="24"/>
          <w14:ligatures w14:val="none"/>
        </w:rPr>
        <w:t>进一步</w:t>
      </w:r>
      <w:r w:rsidR="000922E2" w:rsidRPr="000922E2">
        <w:rPr>
          <w:rFonts w:ascii="宋体" w:eastAsia="宋体" w:hAnsi="宋体" w:cs="宋体"/>
          <w:kern w:val="0"/>
          <w:sz w:val="24"/>
          <w14:ligatures w14:val="none"/>
        </w:rPr>
        <w:t xml:space="preserve">对 CES-D10 原始得分进行反向标准化处理，构建取值范围为 </w:t>
      </w:r>
      <m:oMath>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1</m:t>
            </m:r>
          </m:e>
        </m:d>
      </m:oMath>
      <w:r w:rsidR="000922E2" w:rsidRPr="000922E2">
        <w:rPr>
          <w:rFonts w:ascii="宋体" w:eastAsia="宋体" w:hAnsi="宋体" w:cs="宋体"/>
          <w:kern w:val="0"/>
          <w:sz w:val="24"/>
          <w14:ligatures w14:val="none"/>
        </w:rPr>
        <w:t>的心理健康指标</w:t>
      </w:r>
      <w:r w:rsidR="00D55BB1">
        <w:rPr>
          <w:rFonts w:ascii="宋体" w:eastAsia="宋体" w:hAnsi="宋体" w:cs="宋体" w:hint="eastAsia"/>
          <w:kern w:val="0"/>
          <w:sz w:val="24"/>
          <w14:ligatures w14:val="none"/>
        </w:rPr>
        <w:t>，</w:t>
      </w:r>
      <w:r w:rsidR="00D55BB1" w:rsidRPr="000922E2">
        <w:rPr>
          <w:rFonts w:ascii="宋体" w:eastAsia="宋体" w:hAnsi="宋体" w:cs="宋体"/>
          <w:b/>
          <w:bCs/>
          <w:kern w:val="0"/>
          <w:sz w:val="24"/>
          <w14:ligatures w14:val="none"/>
        </w:rPr>
        <w:t>Psych 数值越高表示心理健康状况越好</w:t>
      </w:r>
      <w:r w:rsidR="000922E2" w:rsidRPr="000922E2">
        <w:rPr>
          <w:rFonts w:ascii="宋体" w:eastAsia="宋体" w:hAnsi="宋体" w:cs="宋体"/>
          <w:kern w:val="0"/>
          <w:sz w:val="24"/>
          <w14:ligatures w14:val="none"/>
        </w:rPr>
        <w:t>：</w:t>
      </w:r>
    </w:p>
    <w:p w14:paraId="78A14B8E" w14:textId="591BAF09" w:rsidR="00526C2B" w:rsidRPr="00115F8B" w:rsidRDefault="000922E2" w:rsidP="00526C2B">
      <w:pPr>
        <w:widowControl/>
        <w:spacing w:before="100" w:beforeAutospacing="1" w:after="100" w:afterAutospacing="1" w:line="240" w:lineRule="auto"/>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Psych==1-</m:t>
          </m:r>
          <m:f>
            <m:fPr>
              <m:ctrlPr>
                <w:rPr>
                  <w:rFonts w:ascii="Cambria Math" w:eastAsia="宋体" w:hAnsi="Cambria Math" w:cs="宋体"/>
                  <w:kern w:val="0"/>
                  <w:sz w:val="24"/>
                  <w14:ligatures w14:val="none"/>
                </w:rPr>
              </m:ctrlPr>
            </m:fPr>
            <m:num>
              <m:r>
                <m:rPr>
                  <m:nor/>
                </m:rPr>
                <w:rPr>
                  <w:rFonts w:ascii="宋体" w:eastAsia="宋体" w:hAnsi="宋体" w:cs="宋体"/>
                  <w:kern w:val="0"/>
                  <w:sz w:val="24"/>
                  <w14:ligatures w14:val="none"/>
                </w:rPr>
                <m:t>CES-D10原始得分</m:t>
              </m:r>
            </m:num>
            <m:den>
              <m:r>
                <w:rPr>
                  <w:rFonts w:ascii="Cambria Math" w:eastAsia="宋体" w:hAnsi="Cambria Math" w:cs="宋体"/>
                  <w:kern w:val="0"/>
                  <w:sz w:val="24"/>
                  <w14:ligatures w14:val="none"/>
                </w:rPr>
                <m:t>30</m:t>
              </m:r>
            </m:den>
          </m:f>
          <m:r>
            <w:rPr>
              <w:rFonts w:ascii="Cambria Math" w:eastAsia="宋体" w:hAnsi="Cambria Math" w:cs="宋体"/>
              <w:kern w:val="0"/>
              <w:sz w:val="24"/>
              <w14:ligatures w14:val="none"/>
            </w:rPr>
            <m:t>.</m:t>
          </m:r>
        </m:oMath>
      </m:oMathPara>
    </w:p>
    <w:p w14:paraId="6A623943" w14:textId="1BC63FC6" w:rsidR="002323CC" w:rsidRDefault="00335A8F" w:rsidP="002323CC">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3.</w:t>
      </w:r>
      <w:r w:rsidR="00115F8B" w:rsidRPr="00115F8B">
        <w:rPr>
          <w:rFonts w:ascii="宋体" w:eastAsia="宋体" w:hAnsi="宋体" w:cs="宋体"/>
          <w:kern w:val="0"/>
          <w:sz w:val="24"/>
          <w14:ligatures w14:val="none"/>
        </w:rPr>
        <w:t>自评健康</w:t>
      </w:r>
      <w:r>
        <w:rPr>
          <w:rFonts w:ascii="宋体" w:eastAsia="宋体" w:hAnsi="宋体" w:cs="宋体" w:hint="eastAsia"/>
          <w:kern w:val="0"/>
          <w:sz w:val="24"/>
          <w14:ligatures w14:val="none"/>
        </w:rPr>
        <w:t>：用于衡量老年人对自身总体健康情况的评价。</w:t>
      </w:r>
      <w:r w:rsidR="00115F8B" w:rsidRPr="00115F8B">
        <w:rPr>
          <w:rFonts w:ascii="宋体" w:eastAsia="宋体" w:hAnsi="宋体" w:cs="宋体"/>
          <w:kern w:val="0"/>
          <w:sz w:val="24"/>
          <w14:ligatures w14:val="none"/>
        </w:rPr>
        <w:t>采用 CHARLS 健康状况模块中的自评健康问题</w:t>
      </w:r>
      <w:r w:rsidR="00C120E5" w:rsidRPr="00115F8B">
        <w:rPr>
          <w:rFonts w:ascii="宋体" w:eastAsia="宋体" w:hAnsi="宋体" w:cs="宋体"/>
          <w:kern w:val="0"/>
          <w:sz w:val="24"/>
          <w14:ligatures w14:val="none"/>
        </w:rPr>
        <w:t>“您觉得您的身体健康状况怎么样？”</w:t>
      </w:r>
      <w:r w:rsidR="00115F8B" w:rsidRPr="00115F8B">
        <w:rPr>
          <w:rFonts w:ascii="宋体" w:eastAsia="宋体" w:hAnsi="宋体" w:cs="宋体"/>
          <w:kern w:val="0"/>
          <w:sz w:val="24"/>
          <w14:ligatures w14:val="none"/>
        </w:rPr>
        <w:t>进行测量。</w:t>
      </w:r>
      <w:r w:rsidR="002323CC" w:rsidRPr="00115F8B">
        <w:rPr>
          <w:rFonts w:ascii="宋体" w:eastAsia="宋体" w:hAnsi="宋体" w:cs="宋体"/>
          <w:kern w:val="0"/>
          <w:sz w:val="24"/>
          <w14:ligatures w14:val="none"/>
        </w:rPr>
        <w:t xml:space="preserve"> </w:t>
      </w:r>
      <w:r w:rsidR="00115F8B" w:rsidRPr="00115F8B">
        <w:rPr>
          <w:rFonts w:ascii="宋体" w:eastAsia="宋体" w:hAnsi="宋体" w:cs="宋体"/>
          <w:kern w:val="0"/>
          <w:sz w:val="24"/>
          <w14:ligatures w14:val="none"/>
        </w:rPr>
        <w:t xml:space="preserve">CHARLS 的原始编码为1—5分，其中1表示“很好”，5表示“很不好”。对自评健康进行反向处理，随后进一步进行 </w:t>
      </w:r>
      <m:oMath>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1</m:t>
            </m:r>
          </m:e>
        </m:d>
      </m:oMath>
      <w:r w:rsidR="00115F8B" w:rsidRPr="00115F8B">
        <w:rPr>
          <w:rFonts w:ascii="宋体" w:eastAsia="宋体" w:hAnsi="宋体" w:cs="宋体"/>
          <w:kern w:val="0"/>
          <w:sz w:val="24"/>
          <w14:ligatures w14:val="none"/>
        </w:rPr>
        <w:t>标准化</w:t>
      </w:r>
      <w:r w:rsidR="002323CC">
        <w:rPr>
          <w:rFonts w:ascii="宋体" w:eastAsia="宋体" w:hAnsi="宋体" w:cs="宋体" w:hint="eastAsia"/>
          <w:kern w:val="0"/>
          <w:sz w:val="24"/>
          <w14:ligatures w14:val="none"/>
        </w:rPr>
        <w:t>，</w:t>
      </w:r>
      <w:r w:rsidR="00C1460E">
        <w:rPr>
          <w:rFonts w:ascii="宋体" w:eastAsia="宋体" w:hAnsi="宋体" w:cs="宋体" w:hint="eastAsia"/>
          <w:kern w:val="0"/>
          <w:sz w:val="24"/>
          <w14:ligatures w14:val="none"/>
        </w:rPr>
        <w:t>SRH</w:t>
      </w:r>
      <w:r w:rsidR="002323CC" w:rsidRPr="00115F8B">
        <w:rPr>
          <w:rFonts w:ascii="宋体" w:eastAsia="宋体" w:hAnsi="宋体" w:cs="宋体"/>
          <w:b/>
          <w:bCs/>
          <w:kern w:val="0"/>
          <w:sz w:val="24"/>
          <w14:ligatures w14:val="none"/>
        </w:rPr>
        <w:t>值越高表示受访者对自身总体健康状况的评价越好</w:t>
      </w:r>
      <w:r w:rsidR="002323CC">
        <w:rPr>
          <w:rFonts w:ascii="宋体" w:eastAsia="宋体" w:hAnsi="宋体" w:cs="宋体" w:hint="eastAsia"/>
          <w:kern w:val="0"/>
          <w:sz w:val="24"/>
          <w14:ligatures w14:val="none"/>
        </w:rPr>
        <w:t>：</w:t>
      </w:r>
    </w:p>
    <w:p w14:paraId="48968AAA" w14:textId="74E4035F" w:rsidR="00115F8B" w:rsidRPr="00115F8B" w:rsidRDefault="00115F8B" w:rsidP="002323CC">
      <w:pPr>
        <w:widowControl/>
        <w:spacing w:before="100" w:beforeAutospacing="1" w:after="100" w:afterAutospacing="1" w:line="240" w:lineRule="auto"/>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SRH=</m:t>
          </m:r>
          <m:f>
            <m:fPr>
              <m:ctrlPr>
                <w:rPr>
                  <w:rFonts w:ascii="Cambria Math" w:eastAsia="宋体" w:hAnsi="Cambria Math" w:cs="宋体"/>
                  <w:kern w:val="0"/>
                  <w:sz w:val="24"/>
                  <w14:ligatures w14:val="none"/>
                </w:rPr>
              </m:ctrlPr>
            </m:fPr>
            <m:num>
              <m:r>
                <m:rPr>
                  <m:nor/>
                </m:rPr>
                <w:rPr>
                  <w:rFonts w:ascii="宋体" w:eastAsia="宋体" w:hAnsi="宋体" w:cs="宋体"/>
                  <w:kern w:val="0"/>
                  <w:sz w:val="24"/>
                  <w14:ligatures w14:val="none"/>
                </w:rPr>
                <m:t>反向后的自评健康得分</m:t>
              </m:r>
              <m:r>
                <w:rPr>
                  <w:rFonts w:ascii="Cambria Math" w:eastAsia="宋体" w:hAnsi="Cambria Math" w:cs="宋体"/>
                  <w:kern w:val="0"/>
                  <w:sz w:val="24"/>
                  <w14:ligatures w14:val="none"/>
                </w:rPr>
                <m:t>-1</m:t>
              </m:r>
            </m:num>
            <m:den>
              <m:r>
                <w:rPr>
                  <w:rFonts w:ascii="Cambria Math" w:eastAsia="宋体" w:hAnsi="Cambria Math" w:cs="宋体"/>
                  <w:kern w:val="0"/>
                  <w:sz w:val="24"/>
                  <w14:ligatures w14:val="none"/>
                </w:rPr>
                <m:t>4</m:t>
              </m:r>
            </m:den>
          </m:f>
          <m:r>
            <w:rPr>
              <w:rFonts w:ascii="Cambria Math" w:eastAsia="宋体" w:hAnsi="Cambria Math" w:cs="宋体"/>
              <w:kern w:val="0"/>
              <w:sz w:val="24"/>
              <w14:ligatures w14:val="none"/>
            </w:rPr>
            <m:t>.</m:t>
          </m:r>
          <m:r>
            <m:rPr>
              <m:sty m:val="p"/>
            </m:rPr>
            <w:rPr>
              <w:rFonts w:ascii="宋体" w:eastAsia="宋体" w:hAnsi="宋体" w:cs="宋体"/>
              <w:kern w:val="0"/>
              <w:sz w:val="24"/>
              <w14:ligatures w14:val="none"/>
            </w:rPr>
            <w:br/>
          </m:r>
        </m:oMath>
      </m:oMathPara>
    </w:p>
    <w:p w14:paraId="05860E68" w14:textId="3427B7AF" w:rsidR="00B37677" w:rsidRPr="00B37677" w:rsidRDefault="00B37677" w:rsidP="00B37677">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4.</w:t>
      </w:r>
      <w:r w:rsidRPr="00B37677">
        <w:rPr>
          <w:rFonts w:ascii="宋体" w:eastAsia="宋体" w:hAnsi="宋体" w:cs="宋体"/>
          <w:kern w:val="0"/>
          <w:sz w:val="24"/>
          <w14:ligatures w14:val="none"/>
        </w:rPr>
        <w:t>综合健康指数</w:t>
      </w:r>
      <w:r>
        <w:rPr>
          <w:rFonts w:ascii="宋体" w:eastAsia="宋体" w:hAnsi="宋体" w:cs="宋体" w:hint="eastAsia"/>
          <w:kern w:val="0"/>
          <w:sz w:val="24"/>
          <w14:ligatures w14:val="none"/>
        </w:rPr>
        <w:t>：</w:t>
      </w:r>
      <w:r w:rsidRPr="00B37677">
        <w:rPr>
          <w:rFonts w:ascii="宋体" w:eastAsia="宋体" w:hAnsi="宋体" w:cs="宋体"/>
          <w:kern w:val="0"/>
          <w:sz w:val="24"/>
          <w14:ligatures w14:val="none"/>
        </w:rPr>
        <w:t>将</w:t>
      </w:r>
      <w:r w:rsidRPr="00B37677">
        <w:rPr>
          <w:rFonts w:ascii="宋体" w:eastAsia="宋体" w:hAnsi="宋体" w:cs="宋体"/>
          <w:b/>
          <w:bCs/>
          <w:kern w:val="0"/>
          <w:sz w:val="24"/>
          <w14:ligatures w14:val="none"/>
        </w:rPr>
        <w:t>功能健康、心理健康和自评健康</w:t>
      </w:r>
      <w:r w:rsidRPr="00B37677">
        <w:rPr>
          <w:rFonts w:ascii="宋体" w:eastAsia="宋体" w:hAnsi="宋体" w:cs="宋体"/>
          <w:kern w:val="0"/>
          <w:sz w:val="24"/>
          <w14:ligatures w14:val="none"/>
        </w:rPr>
        <w:t>三个维度进行整合</w:t>
      </w:r>
      <w:r>
        <w:rPr>
          <w:rFonts w:ascii="宋体" w:eastAsia="宋体" w:hAnsi="宋体" w:cs="宋体" w:hint="eastAsia"/>
          <w:kern w:val="0"/>
          <w:sz w:val="24"/>
          <w14:ligatures w14:val="none"/>
        </w:rPr>
        <w:t>，</w:t>
      </w:r>
      <w:r w:rsidRPr="00B37677">
        <w:rPr>
          <w:rFonts w:ascii="宋体" w:eastAsia="宋体" w:hAnsi="宋体" w:cs="宋体"/>
          <w:kern w:val="0"/>
          <w:sz w:val="24"/>
          <w14:ligatures w14:val="none"/>
        </w:rPr>
        <w:t>用于衡量老年人的总体健康状况。具体而言，功能健康反映老年人的日常生活及独立生活能力，心理健康反映其抑郁症状及心理状态，自评健康则从个体主观评价角度反映其对自身总体健康状况的判断</w:t>
      </w:r>
      <w:r w:rsidR="00542A3C">
        <w:rPr>
          <w:rFonts w:ascii="宋体" w:eastAsia="宋体" w:hAnsi="宋体" w:cs="宋体" w:hint="eastAsia"/>
          <w:kern w:val="0"/>
          <w:sz w:val="24"/>
          <w14:ligatures w14:val="none"/>
        </w:rPr>
        <w:t>，三个维度具有较强的互补性</w:t>
      </w:r>
      <w:r w:rsidRPr="00B37677">
        <w:rPr>
          <w:rFonts w:ascii="宋体" w:eastAsia="宋体" w:hAnsi="宋体" w:cs="宋体"/>
          <w:kern w:val="0"/>
          <w:sz w:val="24"/>
          <w14:ligatures w14:val="none"/>
        </w:rPr>
        <w:t xml:space="preserve">。首先将三个维度分别标准化至 </w:t>
      </w:r>
      <m:oMath>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1</m:t>
            </m:r>
          </m:e>
        </m:d>
      </m:oMath>
      <w:r w:rsidRPr="00B37677">
        <w:rPr>
          <w:rFonts w:ascii="宋体" w:eastAsia="宋体" w:hAnsi="宋体" w:cs="宋体"/>
          <w:kern w:val="0"/>
          <w:sz w:val="24"/>
          <w14:ligatures w14:val="none"/>
        </w:rPr>
        <w:t>区间，采用等权平均方法构建综合健康指数：</w:t>
      </w:r>
    </w:p>
    <w:p w14:paraId="02E35A04" w14:textId="6DCAB5DB" w:rsidR="00B37677" w:rsidRPr="00B37677" w:rsidRDefault="00B37677" w:rsidP="00B37677">
      <w:pPr>
        <w:widowControl/>
        <w:spacing w:before="100" w:beforeAutospacing="1" w:after="100" w:afterAutospacing="1" w:line="240" w:lineRule="auto"/>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CH</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I</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Fun</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+Psyc</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+SR</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it</m:t>
                  </m:r>
                </m:sub>
              </m:sSub>
            </m:num>
            <m:den>
              <m:r>
                <w:rPr>
                  <w:rFonts w:ascii="Cambria Math" w:eastAsia="宋体" w:hAnsi="Cambria Math" w:cs="宋体"/>
                  <w:kern w:val="0"/>
                  <w:sz w:val="24"/>
                  <w14:ligatures w14:val="none"/>
                </w:rPr>
                <m:t>3</m:t>
              </m:r>
            </m:den>
          </m:f>
          <m:r>
            <m:rPr>
              <m:sty m:val="p"/>
            </m:rPr>
            <w:rPr>
              <w:rFonts w:ascii="宋体" w:eastAsia="宋体" w:hAnsi="宋体" w:cs="宋体"/>
              <w:kern w:val="0"/>
              <w:sz w:val="24"/>
              <w14:ligatures w14:val="none"/>
            </w:rPr>
            <w:br/>
          </m:r>
        </m:oMath>
      </m:oMathPara>
    </w:p>
    <w:p w14:paraId="670101B3" w14:textId="01C3ABF6" w:rsidR="00B37677" w:rsidRPr="00B37677" w:rsidRDefault="00B37677" w:rsidP="00B37677">
      <w:pPr>
        <w:widowControl/>
        <w:spacing w:before="100" w:beforeAutospacing="1" w:after="100" w:afterAutospacing="1" w:line="240" w:lineRule="auto"/>
        <w:rPr>
          <w:rFonts w:ascii="宋体" w:eastAsia="宋体" w:hAnsi="宋体" w:cs="宋体" w:hint="eastAsia"/>
          <w:kern w:val="0"/>
          <w:sz w:val="24"/>
          <w14:ligatures w14:val="none"/>
        </w:rPr>
      </w:pPr>
      <w:r w:rsidRPr="00B37677">
        <w:rPr>
          <w:rFonts w:ascii="宋体" w:eastAsia="宋体" w:hAnsi="宋体" w:cs="宋体"/>
          <w:kern w:val="0"/>
          <w:sz w:val="24"/>
          <w14:ligatures w14:val="none"/>
        </w:rPr>
        <w:t>其中，</w:t>
      </w:r>
      <m:oMath>
        <m:r>
          <w:rPr>
            <w:rFonts w:ascii="Cambria Math" w:eastAsia="宋体" w:hAnsi="Cambria Math" w:cs="宋体"/>
            <w:kern w:val="0"/>
            <w:sz w:val="24"/>
            <w14:ligatures w14:val="none"/>
          </w:rPr>
          <m:t>Fun</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m:t>
            </m:r>
          </m:sub>
        </m:sSub>
      </m:oMath>
      <w:r w:rsidRPr="00B37677">
        <w:rPr>
          <w:rFonts w:ascii="宋体" w:eastAsia="宋体" w:hAnsi="宋体" w:cs="宋体"/>
          <w:kern w:val="0"/>
          <w:sz w:val="24"/>
          <w14:ligatures w14:val="none"/>
        </w:rPr>
        <w:t>、</w:t>
      </w:r>
      <m:oMath>
        <m:r>
          <w:rPr>
            <w:rFonts w:ascii="Cambria Math" w:eastAsia="宋体" w:hAnsi="Cambria Math" w:cs="宋体"/>
            <w:kern w:val="0"/>
            <w:sz w:val="24"/>
            <w14:ligatures w14:val="none"/>
          </w:rPr>
          <m:t>Psyc</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it</m:t>
            </m:r>
          </m:sub>
        </m:sSub>
      </m:oMath>
      <w:r w:rsidRPr="00B37677">
        <w:rPr>
          <w:rFonts w:ascii="宋体" w:eastAsia="宋体" w:hAnsi="宋体" w:cs="宋体"/>
          <w:kern w:val="0"/>
          <w:sz w:val="24"/>
          <w14:ligatures w14:val="none"/>
        </w:rPr>
        <w:t xml:space="preserve"> 和 </w:t>
      </w:r>
      <m:oMath>
        <m:r>
          <w:rPr>
            <w:rFonts w:ascii="Cambria Math" w:eastAsia="宋体" w:hAnsi="Cambria Math" w:cs="宋体"/>
            <w:kern w:val="0"/>
            <w:sz w:val="24"/>
            <w14:ligatures w14:val="none"/>
          </w:rPr>
          <m:t>SR</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it</m:t>
            </m:r>
          </m:sub>
        </m:sSub>
      </m:oMath>
      <w:r w:rsidRPr="00B37677">
        <w:rPr>
          <w:rFonts w:ascii="宋体" w:eastAsia="宋体" w:hAnsi="宋体" w:cs="宋体"/>
          <w:kern w:val="0"/>
          <w:sz w:val="24"/>
          <w14:ligatures w14:val="none"/>
        </w:rPr>
        <w:t xml:space="preserve">分别表示个体 </w:t>
      </w:r>
      <m:oMath>
        <m:r>
          <w:rPr>
            <w:rFonts w:ascii="Cambria Math" w:eastAsia="宋体" w:hAnsi="Cambria Math" w:cs="宋体"/>
            <w:kern w:val="0"/>
            <w:sz w:val="24"/>
            <w14:ligatures w14:val="none"/>
          </w:rPr>
          <m:t>i</m:t>
        </m:r>
      </m:oMath>
      <w:r w:rsidRPr="00B37677">
        <w:rPr>
          <w:rFonts w:ascii="宋体" w:eastAsia="宋体" w:hAnsi="宋体" w:cs="宋体"/>
          <w:kern w:val="0"/>
          <w:sz w:val="24"/>
          <w14:ligatures w14:val="none"/>
        </w:rPr>
        <w:t xml:space="preserve">在 </w:t>
      </w:r>
      <m:oMath>
        <m:r>
          <w:rPr>
            <w:rFonts w:ascii="Cambria Math" w:eastAsia="宋体" w:hAnsi="Cambria Math" w:cs="宋体"/>
            <w:kern w:val="0"/>
            <w:sz w:val="24"/>
            <w14:ligatures w14:val="none"/>
          </w:rPr>
          <m:t>t</m:t>
        </m:r>
      </m:oMath>
      <w:r w:rsidRPr="00B37677">
        <w:rPr>
          <w:rFonts w:ascii="宋体" w:eastAsia="宋体" w:hAnsi="宋体" w:cs="宋体"/>
          <w:kern w:val="0"/>
          <w:sz w:val="24"/>
          <w14:ligatures w14:val="none"/>
        </w:rPr>
        <w:t xml:space="preserve">期的功能健康、心理健康和自评健康指标。由此得到的 </w:t>
      </w:r>
      <m:oMath>
        <m:r>
          <w:rPr>
            <w:rFonts w:ascii="Cambria Math" w:eastAsia="宋体" w:hAnsi="Cambria Math" w:cs="宋体"/>
            <w:kern w:val="0"/>
            <w:sz w:val="24"/>
            <w14:ligatures w14:val="none"/>
          </w:rPr>
          <m:t>CHI</m:t>
        </m:r>
      </m:oMath>
      <w:r w:rsidRPr="00B37677">
        <w:rPr>
          <w:rFonts w:ascii="宋体" w:eastAsia="宋体" w:hAnsi="宋体" w:cs="宋体"/>
          <w:kern w:val="0"/>
          <w:sz w:val="24"/>
          <w14:ligatures w14:val="none"/>
        </w:rPr>
        <w:t xml:space="preserve">取值范围为 </w:t>
      </w:r>
      <m:oMath>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1</m:t>
            </m:r>
          </m:e>
        </m:d>
      </m:oMath>
      <w:r w:rsidRPr="00B37677">
        <w:rPr>
          <w:rFonts w:ascii="宋体" w:eastAsia="宋体" w:hAnsi="宋体" w:cs="宋体"/>
          <w:kern w:val="0"/>
          <w:sz w:val="24"/>
          <w14:ligatures w14:val="none"/>
        </w:rPr>
        <w:t>，指数值越高表示老年人的总体健康状况越好。</w:t>
      </w:r>
    </w:p>
    <w:p w14:paraId="369AB357" w14:textId="77777777" w:rsidR="00115F8B" w:rsidRPr="00B37677" w:rsidRDefault="00115F8B" w:rsidP="00526C2B">
      <w:pPr>
        <w:widowControl/>
        <w:spacing w:before="100" w:beforeAutospacing="1" w:after="100" w:afterAutospacing="1" w:line="240" w:lineRule="auto"/>
        <w:rPr>
          <w:rFonts w:ascii="宋体" w:eastAsia="宋体" w:hAnsi="宋体" w:cs="宋体" w:hint="eastAsia"/>
          <w:kern w:val="0"/>
          <w:sz w:val="24"/>
          <w14:ligatures w14:val="none"/>
        </w:rPr>
      </w:pPr>
    </w:p>
    <w:p w14:paraId="5FFB2F56" w14:textId="77777777" w:rsidR="00F67CA8" w:rsidRPr="00F67CA8" w:rsidRDefault="00F67CA8" w:rsidP="00F67CA8">
      <w:pPr>
        <w:widowControl/>
        <w:spacing w:before="100" w:beforeAutospacing="1" w:after="100" w:afterAutospacing="1" w:line="240" w:lineRule="auto"/>
        <w:rPr>
          <w:rFonts w:ascii="宋体" w:eastAsia="宋体" w:hAnsi="宋体" w:cs="宋体" w:hint="eastAsia"/>
          <w:b/>
          <w:bCs/>
          <w:kern w:val="0"/>
          <w:sz w:val="24"/>
          <w14:ligatures w14:val="none"/>
        </w:rPr>
      </w:pPr>
      <w:r w:rsidRPr="00F67CA8">
        <w:rPr>
          <w:rFonts w:ascii="宋体" w:eastAsia="宋体" w:hAnsi="宋体" w:cs="宋体"/>
          <w:b/>
          <w:bCs/>
          <w:kern w:val="0"/>
          <w:sz w:val="24"/>
          <w14:ligatures w14:val="none"/>
        </w:rPr>
        <w:t>3.2.2 自变量</w:t>
      </w:r>
    </w:p>
    <w:p w14:paraId="6AF22A52" w14:textId="08B3155B" w:rsidR="00115F8B" w:rsidRPr="00F67CA8" w:rsidRDefault="00471AB4" w:rsidP="00526C2B">
      <w:pPr>
        <w:widowControl/>
        <w:spacing w:before="100" w:beforeAutospacing="1" w:after="100" w:afterAutospacing="1" w:line="240" w:lineRule="auto"/>
        <w:rPr>
          <w:rFonts w:ascii="宋体" w:eastAsia="宋体" w:hAnsi="宋体" w:cs="宋体" w:hint="eastAsia"/>
          <w:kern w:val="0"/>
          <w:sz w:val="24"/>
          <w14:ligatures w14:val="none"/>
        </w:rPr>
      </w:pPr>
      <w:r w:rsidRPr="00471AB4">
        <w:rPr>
          <w:rFonts w:ascii="宋体" w:eastAsia="宋体" w:hAnsi="宋体" w:cs="宋体"/>
          <w:kern w:val="0"/>
          <w:sz w:val="24"/>
          <w14:ligatures w14:val="none"/>
        </w:rPr>
        <w:t>本文的核心自变量为数字基础设施建设，采用“宽带中国”示范城市政策构建政策处理变量。具体而言，根据受访者所在城市是否进入“宽带中国”示范城市范围及其政策实施时间进行赋值：对于在相应调查年份已经实施“宽带中国”政策的城市，赋值为1；对于尚未实施政策或未进入示范范围的城市，赋值为0。由于“宽带中国”示范城市采取分批推进的方式，不同城市的政策处理时间存在差异，因此本文根据各城市实际进入政策的批次确定其处理时点。城市一旦进入处理状态，在后续调查年份中均保持处理状态。</w:t>
      </w:r>
    </w:p>
    <w:p w14:paraId="52E8A189" w14:textId="77777777" w:rsidR="009A6565" w:rsidRPr="009A6565" w:rsidRDefault="009A6565" w:rsidP="009A6565">
      <w:pPr>
        <w:widowControl/>
        <w:spacing w:before="100" w:beforeAutospacing="1" w:after="100" w:afterAutospacing="1" w:line="240" w:lineRule="auto"/>
        <w:outlineLvl w:val="1"/>
        <w:rPr>
          <w:rFonts w:ascii="宋体" w:eastAsia="宋体" w:hAnsi="宋体" w:cs="宋体" w:hint="eastAsia"/>
          <w:kern w:val="0"/>
          <w:sz w:val="24"/>
          <w14:ligatures w14:val="none"/>
        </w:rPr>
      </w:pPr>
      <w:r w:rsidRPr="009A6565">
        <w:rPr>
          <w:rFonts w:ascii="宋体" w:eastAsia="宋体" w:hAnsi="宋体" w:cs="宋体"/>
          <w:kern w:val="0"/>
          <w:sz w:val="24"/>
          <w14:ligatures w14:val="none"/>
        </w:rPr>
        <w:t>3.2.3 控制变量</w:t>
      </w:r>
    </w:p>
    <w:p w14:paraId="471F0635" w14:textId="0F693AB5" w:rsidR="00E44EA7" w:rsidRPr="00D65DF9" w:rsidRDefault="00E44EA7" w:rsidP="00E44EA7">
      <w:pPr>
        <w:pStyle w:val="pdq2pgselectionanchorcontainer"/>
        <w:rPr>
          <w:rFonts w:hint="eastAsia"/>
        </w:rPr>
      </w:pPr>
      <w:r>
        <w:lastRenderedPageBreak/>
        <w:t>为降低个体、家庭及地区层面可观测特征差异所导致的遗漏变量偏误，</w:t>
      </w:r>
      <w:r>
        <w:rPr>
          <w:rFonts w:hint="eastAsia"/>
        </w:rPr>
        <w:t>本文参考现有研究，</w:t>
      </w:r>
      <w:r>
        <w:rPr>
          <w:rStyle w:val="af3"/>
        </w:rPr>
        <w:t>主分析采用 8 个基期控制变量</w:t>
      </w:r>
      <w:r>
        <w:rPr>
          <w:rFonts w:hint="eastAsia"/>
        </w:rPr>
        <w:t>，</w:t>
      </w:r>
      <w:r>
        <w:t>分别为</w:t>
      </w:r>
      <w:r w:rsidR="00D65DF9">
        <w:rPr>
          <w:rFonts w:hint="eastAsia"/>
        </w:rPr>
        <w:t>：</w:t>
      </w:r>
      <w:r>
        <w:t>年龄、性别</w:t>
      </w:r>
      <w:r w:rsidR="00212BF3" w:rsidRPr="00212BF3">
        <w:t>（男性=1，女性=0）</w:t>
      </w:r>
      <w:r>
        <w:t>、城乡</w:t>
      </w:r>
      <w:r w:rsidR="00212BF3">
        <w:rPr>
          <w:rFonts w:hint="eastAsia"/>
        </w:rPr>
        <w:t>（农村居民=1，城镇居民=0）</w:t>
      </w:r>
      <w:r>
        <w:t>、教育水平</w:t>
      </w:r>
      <w:r w:rsidR="006766CD">
        <w:rPr>
          <w:rFonts w:hint="eastAsia"/>
        </w:rPr>
        <w:t>（</w:t>
      </w:r>
      <w:r w:rsidR="006766CD" w:rsidRPr="006766CD">
        <w:t>文盲</w:t>
      </w:r>
      <w:r w:rsidR="006766CD">
        <w:rPr>
          <w:rFonts w:hint="eastAsia"/>
        </w:rPr>
        <w:t>=1</w:t>
      </w:r>
      <w:r w:rsidR="006766CD" w:rsidRPr="006766CD">
        <w:t>, 小学</w:t>
      </w:r>
      <w:r w:rsidR="006766CD">
        <w:rPr>
          <w:rFonts w:hint="eastAsia"/>
        </w:rPr>
        <w:t>=2</w:t>
      </w:r>
      <w:r w:rsidR="006766CD" w:rsidRPr="006766CD">
        <w:t>, 初中</w:t>
      </w:r>
      <w:r w:rsidR="006766CD">
        <w:rPr>
          <w:rFonts w:hint="eastAsia"/>
        </w:rPr>
        <w:t>=3</w:t>
      </w:r>
      <w:r w:rsidR="006766CD" w:rsidRPr="006766CD">
        <w:t>, 高中及以上</w:t>
      </w:r>
      <w:r w:rsidR="006766CD">
        <w:rPr>
          <w:rFonts w:hint="eastAsia"/>
        </w:rPr>
        <w:t>=4）</w:t>
      </w:r>
      <w:r>
        <w:t>、婚姻状况</w:t>
      </w:r>
      <w:r w:rsidR="006766CD">
        <w:rPr>
          <w:rFonts w:hint="eastAsia"/>
        </w:rPr>
        <w:t>（</w:t>
      </w:r>
      <w:r w:rsidR="004709F0" w:rsidRPr="004709F0">
        <w:t>已婚=1</w:t>
      </w:r>
      <w:r w:rsidR="004709F0">
        <w:rPr>
          <w:rFonts w:hint="eastAsia"/>
        </w:rPr>
        <w:t>，</w:t>
      </w:r>
      <w:r w:rsidR="006766CD" w:rsidRPr="006766CD">
        <w:t>未婚/离婚/丧偶</w:t>
      </w:r>
      <w:r w:rsidR="006766CD">
        <w:rPr>
          <w:rFonts w:hint="eastAsia"/>
        </w:rPr>
        <w:t>=0）</w:t>
      </w:r>
      <w:r>
        <w:t>、家庭人均消费</w:t>
      </w:r>
      <w:r w:rsidR="006766CD">
        <w:rPr>
          <w:rFonts w:hint="eastAsia"/>
        </w:rPr>
        <w:t>（对数化处理）</w:t>
      </w:r>
      <w:r>
        <w:t>、慢性病数量和城市人均 GDP。</w:t>
      </w:r>
    </w:p>
    <w:p w14:paraId="26DA9559" w14:textId="77777777" w:rsidR="007B6E7F" w:rsidRDefault="00E44EA7" w:rsidP="007B6E7F">
      <w:pPr>
        <w:pStyle w:val="af2"/>
        <w:rPr>
          <w:rFonts w:hint="eastAsia"/>
        </w:rPr>
      </w:pPr>
      <w:r>
        <w:t>此外，本文进一步构建</w:t>
      </w:r>
      <w:r>
        <w:rPr>
          <w:rStyle w:val="af3"/>
        </w:rPr>
        <w:t>12 个控制变量</w:t>
      </w:r>
      <w:r w:rsidR="00286BC3">
        <w:rPr>
          <w:rFonts w:hint="eastAsia"/>
        </w:rPr>
        <w:t>以</w:t>
      </w:r>
      <w:r w:rsidR="00286BC3">
        <w:t>检验基准结果对控制变量设定的敏感性</w:t>
      </w:r>
      <w:r>
        <w:t>。在上述 8 个控制变量的基础上，增加基期吸烟</w:t>
      </w:r>
      <w:r w:rsidR="003D7AAB">
        <w:rPr>
          <w:rFonts w:hint="eastAsia"/>
        </w:rPr>
        <w:t>（</w:t>
      </w:r>
      <w:r w:rsidR="004709F0" w:rsidRPr="004709F0">
        <w:t>吸烟=1</w:t>
      </w:r>
      <w:r w:rsidR="004709F0">
        <w:rPr>
          <w:rFonts w:hint="eastAsia"/>
        </w:rPr>
        <w:t>，</w:t>
      </w:r>
      <w:r w:rsidR="003D7AAB" w:rsidRPr="003D7AAB">
        <w:t>不吸烟</w:t>
      </w:r>
      <w:r w:rsidR="003D7AAB">
        <w:rPr>
          <w:rFonts w:hint="eastAsia"/>
        </w:rPr>
        <w:t>=0）</w:t>
      </w:r>
      <w:r>
        <w:t>、饮酒</w:t>
      </w:r>
      <w:r w:rsidR="003D7AAB">
        <w:rPr>
          <w:rFonts w:hint="eastAsia"/>
        </w:rPr>
        <w:t>（</w:t>
      </w:r>
      <w:r w:rsidR="004709F0" w:rsidRPr="004709F0">
        <w:t>饮酒=1</w:t>
      </w:r>
      <w:r w:rsidR="004709F0">
        <w:rPr>
          <w:rFonts w:hint="eastAsia"/>
        </w:rPr>
        <w:t>，</w:t>
      </w:r>
      <w:r w:rsidR="003D7AAB" w:rsidRPr="003D7AAB">
        <w:t>不饮酒</w:t>
      </w:r>
      <w:r w:rsidR="003D7AAB">
        <w:rPr>
          <w:rFonts w:hint="eastAsia"/>
        </w:rPr>
        <w:t>=0）</w:t>
      </w:r>
      <w:r>
        <w:t>、医疗保险</w:t>
      </w:r>
      <w:r w:rsidR="003D7AAB">
        <w:rPr>
          <w:rFonts w:hint="eastAsia"/>
        </w:rPr>
        <w:t>（</w:t>
      </w:r>
      <w:r w:rsidR="004709F0" w:rsidRPr="004709F0">
        <w:t>有保险=1</w:t>
      </w:r>
      <w:r w:rsidR="004709F0">
        <w:rPr>
          <w:rFonts w:hint="eastAsia"/>
        </w:rPr>
        <w:t>，</w:t>
      </w:r>
      <w:r w:rsidR="003D7AAB" w:rsidRPr="003D7AAB">
        <w:t>无保险</w:t>
      </w:r>
      <w:r w:rsidR="009A7655">
        <w:rPr>
          <w:rFonts w:hint="eastAsia"/>
        </w:rPr>
        <w:t>=0</w:t>
      </w:r>
      <w:r w:rsidR="003D7AAB">
        <w:rPr>
          <w:rFonts w:hint="eastAsia"/>
        </w:rPr>
        <w:t>）</w:t>
      </w:r>
      <w:r>
        <w:t>和子女数量四项</w:t>
      </w:r>
      <w:r w:rsidR="00286BC3">
        <w:rPr>
          <w:rFonts w:hint="eastAsia"/>
        </w:rPr>
        <w:t>控制变量。</w:t>
      </w:r>
      <w:r w:rsidR="007B6E7F" w:rsidRPr="007B6E7F">
        <w:t xml:space="preserve">考虑到本文关注的是“宽带中国”政策实施后的健康变化，为避免将政策实施过程中可能发生的变量变化纳入控制，从而产生潜在的过度控制问题，本文采用受访者 </w:t>
      </w:r>
      <w:r w:rsidR="007B6E7F" w:rsidRPr="007B6E7F">
        <w:rPr>
          <w:b/>
          <w:bCs/>
        </w:rPr>
        <w:t>2011 年基期特征</w:t>
      </w:r>
      <w:r w:rsidR="007B6E7F" w:rsidRPr="007B6E7F">
        <w:t>构造控制变量。</w:t>
      </w:r>
    </w:p>
    <w:p w14:paraId="03B3196D" w14:textId="77777777" w:rsidR="00116DEA" w:rsidRPr="007B6E7F" w:rsidRDefault="00116DEA" w:rsidP="007B6E7F">
      <w:pPr>
        <w:pStyle w:val="af2"/>
        <w:rPr>
          <w:rFonts w:hint="eastAsia"/>
        </w:rPr>
      </w:pPr>
    </w:p>
    <w:p w14:paraId="71E04C68" w14:textId="77777777" w:rsidR="002C10A3" w:rsidRPr="002C10A3" w:rsidRDefault="002C10A3" w:rsidP="002C10A3">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2C10A3">
        <w:rPr>
          <w:rFonts w:ascii="宋体" w:eastAsia="宋体" w:hAnsi="宋体" w:cs="宋体"/>
          <w:b/>
          <w:bCs/>
          <w:kern w:val="0"/>
          <w:sz w:val="27"/>
          <w:szCs w:val="27"/>
          <w14:ligatures w14:val="none"/>
        </w:rPr>
        <w:t>3.3.1 Difference-in-Differences (DID) model</w:t>
      </w:r>
    </w:p>
    <w:p w14:paraId="6B990985" w14:textId="406EBAE1" w:rsidR="000C0BCF" w:rsidRDefault="002C10A3" w:rsidP="003743D9">
      <w:pPr>
        <w:widowControl/>
        <w:spacing w:before="100" w:beforeAutospacing="1" w:after="100" w:afterAutospacing="1" w:line="240" w:lineRule="auto"/>
        <w:rPr>
          <w:rFonts w:ascii="宋体" w:eastAsia="宋体" w:hAnsi="宋体" w:cs="宋体"/>
          <w:kern w:val="0"/>
          <w:sz w:val="24"/>
          <w14:ligatures w14:val="none"/>
        </w:rPr>
      </w:pPr>
      <w:r w:rsidRPr="002C10A3">
        <w:rPr>
          <w:rFonts w:ascii="宋体" w:eastAsia="宋体" w:hAnsi="宋体" w:cs="宋体"/>
          <w:kern w:val="0"/>
          <w:sz w:val="24"/>
          <w14:ligatures w14:val="none"/>
        </w:rPr>
        <w:t>本文将“宽带中国”</w:t>
      </w:r>
      <w:r w:rsidR="00CC1E58">
        <w:rPr>
          <w:rFonts w:ascii="宋体" w:eastAsia="宋体" w:hAnsi="宋体" w:cs="宋体" w:hint="eastAsia"/>
          <w:kern w:val="0"/>
          <w:sz w:val="24"/>
          <w14:ligatures w14:val="none"/>
        </w:rPr>
        <w:t>政策</w:t>
      </w:r>
      <w:r w:rsidRPr="002C10A3">
        <w:rPr>
          <w:rFonts w:ascii="宋体" w:eastAsia="宋体" w:hAnsi="宋体" w:cs="宋体"/>
          <w:kern w:val="0"/>
          <w:sz w:val="24"/>
          <w14:ligatures w14:val="none"/>
        </w:rPr>
        <w:t>视为一项发生于城市层面的政策冲击，并利用不同城市政策实施时间的差异构建准自然实验。由于“宽带中国”示范城市并非在同一时间进入政策实施状态，不同城市形成了具有明确时间顺序的处理队列。需要指出的是，传统双向固定效应模型在政策分批实施且政策效果存在异质性的情况下可能产生识别偏误</w:t>
      </w:r>
      <w:commentRangeStart w:id="6"/>
      <w:commentRangeStart w:id="7"/>
      <w:r w:rsidRPr="002C10A3">
        <w:rPr>
          <w:rFonts w:ascii="宋体" w:eastAsia="宋体" w:hAnsi="宋体" w:cs="宋体"/>
          <w:kern w:val="0"/>
          <w:sz w:val="24"/>
          <w14:ligatures w14:val="none"/>
        </w:rPr>
        <w:t>。</w:t>
      </w:r>
      <w:commentRangeEnd w:id="6"/>
      <w:r w:rsidR="005A4D4C" w:rsidRPr="002C10A3">
        <w:rPr>
          <w:rStyle w:val="af4"/>
          <w:rFonts w:ascii="宋体" w:eastAsia="宋体" w:hAnsi="宋体" w:cs="宋体"/>
          <w:kern w:val="0"/>
          <w:sz w:val="24"/>
          <w:szCs w:val="24"/>
          <w14:ligatures w14:val="none"/>
        </w:rPr>
        <w:commentReference w:id="6"/>
      </w:r>
      <w:commentRangeEnd w:id="7"/>
      <w:r w:rsidR="005A4D4C" w:rsidRPr="002C10A3">
        <w:rPr>
          <w:rStyle w:val="af4"/>
          <w:rFonts w:ascii="宋体" w:eastAsia="宋体" w:hAnsi="宋体" w:cs="宋体"/>
          <w:kern w:val="0"/>
          <w:sz w:val="24"/>
          <w:szCs w:val="24"/>
          <w14:ligatures w14:val="none"/>
        </w:rPr>
        <w:commentReference w:id="7"/>
      </w:r>
      <w:r w:rsidRPr="002C10A3">
        <w:rPr>
          <w:rFonts w:ascii="宋体" w:eastAsia="宋体" w:hAnsi="宋体" w:cs="宋体"/>
          <w:kern w:val="0"/>
          <w:sz w:val="24"/>
          <w14:ligatures w14:val="none"/>
        </w:rPr>
        <w:t>因此，本文采用堆叠双重差分进行基准估计。该方法能够避免已处理城市作为后续处理城市控制组所产生的比较问题，从而更适合本文具有明显分批实施特征的政策环境。</w:t>
      </w:r>
    </w:p>
    <w:p w14:paraId="0007C81D" w14:textId="26A6E482" w:rsidR="002C10A3" w:rsidRPr="003743D9" w:rsidRDefault="003743D9" w:rsidP="003743D9">
      <w:pPr>
        <w:widowControl/>
        <w:spacing w:before="100" w:beforeAutospacing="1" w:after="100" w:afterAutospacing="1" w:line="240" w:lineRule="auto"/>
        <w:rPr>
          <w:rFonts w:ascii="宋体" w:eastAsia="宋体" w:hAnsi="宋体" w:cs="宋体"/>
          <w:kern w:val="0"/>
          <w:sz w:val="24"/>
          <w14:ligatures w14:val="none"/>
        </w:rPr>
      </w:pPr>
      <w:r w:rsidRPr="003743D9">
        <w:rPr>
          <w:rFonts w:ascii="宋体" w:eastAsia="宋体" w:hAnsi="宋体" w:cs="宋体" w:hint="eastAsia"/>
          <w:sz w:val="24"/>
        </w:rPr>
        <w:br/>
      </w:r>
      <m:oMathPara>
        <m:oMath>
          <m:sSub>
            <m:sSubPr>
              <m:ctrlPr>
                <w:rPr>
                  <w:rFonts w:ascii="Cambria Math" w:eastAsia="宋体" w:hAnsi="Cambria Math" w:cs="宋体"/>
                  <w:sz w:val="24"/>
                </w:rPr>
              </m:ctrlPr>
            </m:sSubPr>
            <m:e>
              <m:r>
                <w:rPr>
                  <w:rFonts w:ascii="Cambria Math" w:eastAsia="宋体" w:hAnsi="Cambria Math" w:cs="宋体"/>
                  <w:sz w:val="24"/>
                </w:rPr>
                <m:t>Y</m:t>
              </m:r>
            </m:e>
            <m:sub>
              <m:r>
                <w:rPr>
                  <w:rFonts w:ascii="Cambria Math" w:eastAsia="宋体" w:hAnsi="Cambria Math" w:cs="宋体"/>
                  <w:sz w:val="24"/>
                </w:rPr>
                <m:t>igct</m:t>
              </m:r>
            </m:sub>
          </m:sSub>
          <m:r>
            <w:rPr>
              <w:rFonts w:ascii="Cambria Math" w:eastAsia="宋体" w:hAnsi="Cambria Math" w:cs="宋体"/>
              <w:sz w:val="24"/>
            </w:rPr>
            <m:t>=β</m:t>
          </m:r>
          <m:sSub>
            <m:sSubPr>
              <m:ctrlPr>
                <w:rPr>
                  <w:rFonts w:ascii="Cambria Math" w:eastAsia="宋体" w:hAnsi="Cambria Math" w:cs="宋体"/>
                  <w:sz w:val="24"/>
                </w:rPr>
              </m:ctrlPr>
            </m:sSubPr>
            <m:e>
              <m:r>
                <w:rPr>
                  <w:rFonts w:ascii="Cambria Math" w:eastAsia="宋体" w:hAnsi="Cambria Math" w:cs="宋体"/>
                  <w:sz w:val="24"/>
                </w:rPr>
                <m:t>D</m:t>
              </m:r>
            </m:e>
            <m:sub>
              <m:r>
                <w:rPr>
                  <w:rFonts w:ascii="Cambria Math" w:eastAsia="宋体" w:hAnsi="Cambria Math" w:cs="宋体"/>
                  <w:sz w:val="24"/>
                </w:rPr>
                <m:t>igct</m:t>
              </m:r>
            </m:sub>
          </m:sSub>
          <m:r>
            <w:rPr>
              <w:rFonts w:ascii="Cambria Math" w:eastAsia="宋体" w:hAnsi="Cambria Math" w:cs="宋体"/>
              <w:sz w:val="24"/>
            </w:rPr>
            <m:t>+</m:t>
          </m:r>
          <m:r>
            <m:rPr>
              <m:sty m:val="bi"/>
            </m:rPr>
            <w:rPr>
              <w:rFonts w:ascii="Cambria Math" w:eastAsia="宋体" w:hAnsi="Cambria Math" w:cs="宋体"/>
              <w:sz w:val="24"/>
            </w:rPr>
            <m:t>θ</m:t>
          </m:r>
          <m:d>
            <m:dPr>
              <m:ctrlPr>
                <w:rPr>
                  <w:rFonts w:ascii="Cambria Math" w:eastAsia="宋体" w:hAnsi="Cambria Math" w:cs="宋体"/>
                  <w:sz w:val="24"/>
                </w:rPr>
              </m:ctrlPr>
            </m:dPr>
            <m:e>
              <m:sSub>
                <m:sSubPr>
                  <m:ctrlPr>
                    <w:rPr>
                      <w:rFonts w:ascii="Cambria Math" w:eastAsia="宋体" w:hAnsi="Cambria Math" w:cs="宋体"/>
                      <w:sz w:val="24"/>
                    </w:rPr>
                  </m:ctrlPr>
                </m:sSubPr>
                <m:e>
                  <m:r>
                    <w:rPr>
                      <w:rFonts w:ascii="Cambria Math" w:eastAsia="宋体" w:hAnsi="Cambria Math" w:cs="宋体"/>
                      <w:sz w:val="24"/>
                    </w:rPr>
                    <m:t>D</m:t>
                  </m:r>
                </m:e>
                <m:sub>
                  <m:r>
                    <w:rPr>
                      <w:rFonts w:ascii="Cambria Math" w:eastAsia="宋体" w:hAnsi="Cambria Math" w:cs="宋体"/>
                      <w:sz w:val="24"/>
                    </w:rPr>
                    <m:t>igct</m:t>
                  </m:r>
                </m:sub>
              </m:sSub>
              <m:r>
                <w:rPr>
                  <w:rFonts w:ascii="Cambria Math" w:eastAsia="宋体" w:hAnsi="Cambria Math" w:cs="宋体"/>
                  <w:sz w:val="24"/>
                </w:rPr>
                <m:t>×</m:t>
              </m:r>
              <m:sSub>
                <m:sSubPr>
                  <m:ctrlPr>
                    <w:rPr>
                      <w:rFonts w:ascii="Cambria Math" w:eastAsia="宋体" w:hAnsi="Cambria Math" w:cs="宋体"/>
                      <w:sz w:val="24"/>
                    </w:rPr>
                  </m:ctrlPr>
                </m:sSubPr>
                <m:e>
                  <m:r>
                    <m:rPr>
                      <m:sty m:val="b"/>
                    </m:rPr>
                    <w:rPr>
                      <w:rFonts w:ascii="Cambria Math" w:eastAsia="宋体" w:hAnsi="Cambria Math" w:cs="宋体"/>
                      <w:sz w:val="24"/>
                    </w:rPr>
                    <m:t>X</m:t>
                  </m:r>
                </m:e>
                <m:sub>
                  <m:r>
                    <w:rPr>
                      <w:rFonts w:ascii="Cambria Math" w:eastAsia="宋体" w:hAnsi="Cambria Math" w:cs="宋体"/>
                      <w:sz w:val="24"/>
                    </w:rPr>
                    <m:t>i0</m:t>
                  </m:r>
                </m:sub>
              </m:sSub>
            </m:e>
          </m:d>
          <m:r>
            <w:rPr>
              <w:rFonts w:ascii="Cambria Math" w:eastAsia="宋体" w:hAnsi="Cambria Math" w:cs="宋体"/>
              <w:sz w:val="24"/>
            </w:rPr>
            <m:t>+</m:t>
          </m:r>
          <m:sSub>
            <m:sSubPr>
              <m:ctrlPr>
                <w:rPr>
                  <w:rFonts w:ascii="Cambria Math" w:eastAsia="宋体" w:hAnsi="Cambria Math" w:cs="宋体"/>
                  <w:sz w:val="24"/>
                </w:rPr>
              </m:ctrlPr>
            </m:sSubPr>
            <m:e>
              <m:r>
                <w:rPr>
                  <w:rFonts w:ascii="Cambria Math" w:eastAsia="宋体" w:hAnsi="Cambria Math" w:cs="宋体"/>
                  <w:sz w:val="24"/>
                </w:rPr>
                <m:t>α</m:t>
              </m:r>
            </m:e>
            <m:sub>
              <m:r>
                <w:rPr>
                  <w:rFonts w:ascii="Cambria Math" w:eastAsia="宋体" w:hAnsi="Cambria Math" w:cs="宋体"/>
                  <w:sz w:val="24"/>
                </w:rPr>
                <m:t>ig</m:t>
              </m:r>
            </m:sub>
          </m:sSub>
          <m:r>
            <w:rPr>
              <w:rFonts w:ascii="Cambria Math" w:eastAsia="宋体" w:hAnsi="Cambria Math" w:cs="宋体"/>
              <w:sz w:val="24"/>
            </w:rPr>
            <m:t>+</m:t>
          </m:r>
          <m:sSub>
            <m:sSubPr>
              <m:ctrlPr>
                <w:rPr>
                  <w:rFonts w:ascii="Cambria Math" w:eastAsia="宋体" w:hAnsi="Cambria Math" w:cs="宋体"/>
                  <w:sz w:val="24"/>
                </w:rPr>
              </m:ctrlPr>
            </m:sSubPr>
            <m:e>
              <m:r>
                <w:rPr>
                  <w:rFonts w:ascii="Cambria Math" w:eastAsia="宋体" w:hAnsi="Cambria Math" w:cs="宋体"/>
                  <w:sz w:val="24"/>
                </w:rPr>
                <m:t>λ</m:t>
              </m:r>
            </m:e>
            <m:sub>
              <m:r>
                <w:rPr>
                  <w:rFonts w:ascii="Cambria Math" w:eastAsia="宋体" w:hAnsi="Cambria Math" w:cs="宋体"/>
                  <w:sz w:val="24"/>
                </w:rPr>
                <m:t>gt</m:t>
              </m:r>
            </m:sub>
          </m:sSub>
          <m:r>
            <w:rPr>
              <w:rFonts w:ascii="Cambria Math" w:eastAsia="宋体" w:hAnsi="Cambria Math" w:cs="宋体"/>
              <w:sz w:val="24"/>
            </w:rPr>
            <m:t>+</m:t>
          </m:r>
          <m:sSub>
            <m:sSubPr>
              <m:ctrlPr>
                <w:rPr>
                  <w:rFonts w:ascii="Cambria Math" w:eastAsia="宋体" w:hAnsi="Cambria Math" w:cs="宋体"/>
                  <w:sz w:val="24"/>
                </w:rPr>
              </m:ctrlPr>
            </m:sSubPr>
            <m:e>
              <m:r>
                <w:rPr>
                  <w:rFonts w:ascii="Cambria Math" w:eastAsia="宋体" w:hAnsi="Cambria Math" w:cs="宋体"/>
                  <w:sz w:val="24"/>
                </w:rPr>
                <m:t>ε</m:t>
              </m:r>
            </m:e>
            <m:sub>
              <m:r>
                <w:rPr>
                  <w:rFonts w:ascii="Cambria Math" w:eastAsia="宋体" w:hAnsi="Cambria Math" w:cs="宋体"/>
                  <w:sz w:val="24"/>
                </w:rPr>
                <m:t>igct</m:t>
              </m:r>
            </m:sub>
          </m:sSub>
        </m:oMath>
      </m:oMathPara>
    </w:p>
    <w:p w14:paraId="4F14F2CB" w14:textId="0C68E466" w:rsidR="002C10A3" w:rsidRDefault="003743D9" w:rsidP="003743D9">
      <w:pPr>
        <w:pStyle w:val="af2"/>
      </w:pPr>
      <w:r w:rsidRPr="003743D9">
        <w:t>其中</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igct</m:t>
            </m:r>
          </m:sub>
        </m:sSub>
      </m:oMath>
      <w:r>
        <w:rPr>
          <w:rFonts w:hint="eastAsia"/>
        </w:rPr>
        <w:t>为</w:t>
      </w:r>
      <w:r w:rsidR="002C10A3" w:rsidRPr="002C10A3">
        <w:t xml:space="preserve">个体 </w:t>
      </w:r>
      <m:oMath>
        <m:r>
          <w:rPr>
            <w:rFonts w:ascii="Cambria Math" w:hAnsi="Cambria Math"/>
          </w:rPr>
          <m:t>i</m:t>
        </m:r>
      </m:oMath>
      <w:r w:rsidR="002C10A3" w:rsidRPr="002C10A3">
        <w:t xml:space="preserve">在政策队列 </w:t>
      </w:r>
      <m:oMath>
        <m:r>
          <w:rPr>
            <w:rFonts w:ascii="Cambria Math" w:hAnsi="Cambria Math"/>
          </w:rPr>
          <m:t>g</m:t>
        </m:r>
      </m:oMath>
      <w:r w:rsidR="002C10A3" w:rsidRPr="002C10A3">
        <w:t xml:space="preserve">的第 </w:t>
      </w:r>
      <m:oMath>
        <m:r>
          <w:rPr>
            <w:rFonts w:ascii="Cambria Math" w:hAnsi="Cambria Math"/>
          </w:rPr>
          <m:t>t</m:t>
        </m:r>
      </m:oMath>
      <w:r w:rsidR="002C10A3" w:rsidRPr="002C10A3">
        <w:t>期健康结果；</w:t>
      </w:r>
      <m:oMath>
        <m:sSub>
          <m:sSubPr>
            <m:ctrlPr>
              <w:rPr>
                <w:rFonts w:ascii="Cambria Math" w:hAnsi="Cambria Math"/>
              </w:rPr>
            </m:ctrlPr>
          </m:sSubPr>
          <m:e>
            <m:r>
              <w:rPr>
                <w:rFonts w:ascii="Cambria Math" w:hAnsi="Cambria Math"/>
              </w:rPr>
              <m:t>D</m:t>
            </m:r>
          </m:e>
          <m:sub>
            <m:r>
              <w:rPr>
                <w:rFonts w:ascii="Cambria Math" w:hAnsi="Cambria Math"/>
              </w:rPr>
              <m:t>igct</m:t>
            </m:r>
          </m:sub>
        </m:sSub>
      </m:oMath>
      <w:r w:rsidR="007C7F46">
        <w:rPr>
          <w:rFonts w:hint="eastAsia"/>
        </w:rPr>
        <w:t>为</w:t>
      </w:r>
      <w:r w:rsidR="002C10A3" w:rsidRPr="002C10A3">
        <w:t xml:space="preserve">处理变量，当个体所在城市在队列 </w:t>
      </w:r>
      <m:oMath>
        <m:r>
          <w:rPr>
            <w:rFonts w:ascii="Cambria Math" w:hAnsi="Cambria Math"/>
          </w:rPr>
          <m:t>g</m:t>
        </m:r>
      </m:oMath>
      <w:r w:rsidR="002C10A3" w:rsidRPr="002C10A3">
        <w:t>对应的政策实施时间后进入政策处理状态时取1，否则取0；</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0</m:t>
            </m:r>
          </m:sub>
        </m:sSub>
      </m:oMath>
      <w:r w:rsidR="007C7F46">
        <w:rPr>
          <w:rFonts w:hint="eastAsia"/>
        </w:rPr>
        <w:t>为</w:t>
      </w:r>
      <w:r w:rsidR="002C10A3" w:rsidRPr="002C10A3">
        <w:t>个体2011年基期控制变量向量；</w:t>
      </w:r>
      <m:oMath>
        <m:sSub>
          <m:sSubPr>
            <m:ctrlPr>
              <w:rPr>
                <w:rFonts w:ascii="Cambria Math" w:hAnsi="Cambria Math"/>
              </w:rPr>
            </m:ctrlPr>
          </m:sSubPr>
          <m:e>
            <m:r>
              <w:rPr>
                <w:rFonts w:ascii="Cambria Math" w:hAnsi="Cambria Math"/>
              </w:rPr>
              <m:t>D</m:t>
            </m:r>
          </m:e>
          <m:sub>
            <m:r>
              <w:rPr>
                <w:rFonts w:ascii="Cambria Math" w:hAnsi="Cambria Math"/>
              </w:rPr>
              <m:t>igct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0</m:t>
            </m:r>
          </m:sub>
        </m:sSub>
      </m:oMath>
      <w:r w:rsidR="007C7F46">
        <w:rPr>
          <w:rFonts w:hint="eastAsia"/>
        </w:rPr>
        <w:t>为</w:t>
      </w:r>
      <w:r w:rsidR="002C10A3" w:rsidRPr="002C10A3">
        <w:t>政策处理变量与基期控制变量的交互项，用于控制不同基期个体特征所对应的处理效应差异；</w:t>
      </w:r>
      <m:oMath>
        <m:sSub>
          <m:sSubPr>
            <m:ctrlPr>
              <w:rPr>
                <w:rFonts w:ascii="Cambria Math" w:hAnsi="Cambria Math"/>
              </w:rPr>
            </m:ctrlPr>
          </m:sSubPr>
          <m:e>
            <m:r>
              <w:rPr>
                <w:rFonts w:ascii="Cambria Math" w:hAnsi="Cambria Math"/>
              </w:rPr>
              <m:t>α</m:t>
            </m:r>
          </m:e>
          <m:sub>
            <m:r>
              <w:rPr>
                <w:rFonts w:ascii="Cambria Math" w:hAnsi="Cambria Math"/>
              </w:rPr>
              <m:t>ig</m:t>
            </m:r>
          </m:sub>
        </m:sSub>
      </m:oMath>
      <w:r w:rsidR="007C7F46">
        <w:rPr>
          <w:rFonts w:hint="eastAsia"/>
        </w:rPr>
        <w:t>表示</w:t>
      </w:r>
      <w:r w:rsidR="002C10A3" w:rsidRPr="003743D9">
        <w:t>队列×个体固定效应</w:t>
      </w:r>
      <w:r w:rsidR="002C10A3" w:rsidRPr="002C10A3">
        <w:t xml:space="preserve">，控制个体不随时间变化的特征，同时允许同一受访者在不同政策队列堆叠样本中具有独立的队列固定效应； </w:t>
      </w:r>
      <m:oMath>
        <m:sSub>
          <m:sSubPr>
            <m:ctrlPr>
              <w:rPr>
                <w:rFonts w:ascii="Cambria Math" w:hAnsi="Cambria Math"/>
              </w:rPr>
            </m:ctrlPr>
          </m:sSubPr>
          <m:e>
            <m:r>
              <w:rPr>
                <w:rFonts w:ascii="Cambria Math" w:hAnsi="Cambria Math"/>
              </w:rPr>
              <m:t>λ</m:t>
            </m:r>
          </m:e>
          <m:sub>
            <m:r>
              <w:rPr>
                <w:rFonts w:ascii="Cambria Math" w:hAnsi="Cambria Math"/>
              </w:rPr>
              <m:t>gt</m:t>
            </m:r>
          </m:sub>
        </m:sSub>
      </m:oMath>
      <w:r w:rsidR="007C7F46">
        <w:rPr>
          <w:rFonts w:hint="eastAsia"/>
        </w:rPr>
        <w:t>表示</w:t>
      </w:r>
      <w:r w:rsidR="002C10A3" w:rsidRPr="003743D9">
        <w:t>队列×年份固定效应</w:t>
      </w:r>
      <w:r w:rsidR="002C10A3" w:rsidRPr="002C10A3">
        <w:t>，控制不同调查年份以及不同政策队列所面临的共同时间冲击；</w:t>
      </w:r>
      <m:oMath>
        <m:sSub>
          <m:sSubPr>
            <m:ctrlPr>
              <w:rPr>
                <w:rFonts w:ascii="Cambria Math" w:hAnsi="Cambria Math"/>
              </w:rPr>
            </m:ctrlPr>
          </m:sSubPr>
          <m:e>
            <m:r>
              <w:rPr>
                <w:rFonts w:ascii="Cambria Math" w:hAnsi="Cambria Math"/>
              </w:rPr>
              <m:t>ε</m:t>
            </m:r>
          </m:e>
          <m:sub>
            <m:r>
              <w:rPr>
                <w:rFonts w:ascii="Cambria Math" w:hAnsi="Cambria Math"/>
              </w:rPr>
              <m:t>igct</m:t>
            </m:r>
          </m:sub>
        </m:sSub>
      </m:oMath>
      <w:r w:rsidR="002C10A3" w:rsidRPr="002C10A3">
        <w:t>：随机误差项。</w:t>
      </w:r>
    </w:p>
    <w:p w14:paraId="2FE826C2" w14:textId="252BC9B3" w:rsidR="00AD1CCD" w:rsidRDefault="00AD1CCD" w:rsidP="003743D9">
      <w:pPr>
        <w:pStyle w:val="af2"/>
      </w:pPr>
      <w:r w:rsidRPr="00AD1CCD">
        <w:lastRenderedPageBreak/>
        <w:t>鉴于“宽带中国”政策的处理状态在城市层面确定，同一城市内不同个体可能受到相同的政策冲击及其他共同因素影响，导致误差项存在城市内部相关性。因此，本文将标准误聚类至城市层面，以获得稳健的统计推断。</w:t>
      </w:r>
    </w:p>
    <w:p w14:paraId="42643F83" w14:textId="5B0FC2E1" w:rsidR="00AD1CCD" w:rsidRPr="002C10A3" w:rsidRDefault="00AD1CCD" w:rsidP="003743D9">
      <w:pPr>
        <w:pStyle w:val="af2"/>
        <w:rPr>
          <w:rFonts w:hint="eastAsia"/>
        </w:rPr>
      </w:pPr>
      <w:r w:rsidRPr="00AD1CCD">
        <w:t>DID 估计的有效性依赖于处理组和控制组在未受到政策干预时具有相似的潜在变化趋势。考虑到“宽带中国”示范城市的选择并非完全随机，本文无法仅依赖政策实施本身排除潜在的政策选择偏差。后文进一步通过事件研究法检验政策实施前处理组与控制组的动态变化趋势，并结合安慰剂检验、替换样本期、控制同期政策等稳健性检验，对基准估计的可靠性进行进一步验证。</w:t>
      </w:r>
    </w:p>
    <w:p w14:paraId="0C3DEBFC" w14:textId="2AA0373F" w:rsidR="00E44EA7" w:rsidRPr="003743D9" w:rsidRDefault="00E44EA7" w:rsidP="00E44EA7">
      <w:pPr>
        <w:pStyle w:val="af2"/>
        <w:rPr>
          <w:rFonts w:hint="eastAsia"/>
        </w:rPr>
      </w:pPr>
    </w:p>
    <w:p w14:paraId="5D514BBC" w14:textId="77ECA697" w:rsidR="006766CD" w:rsidRDefault="0023072D" w:rsidP="00E44EA7">
      <w:pPr>
        <w:pStyle w:val="af2"/>
      </w:pPr>
      <w:r>
        <w:rPr>
          <w:rFonts w:hint="eastAsia"/>
        </w:rPr>
        <w:t>结果</w:t>
      </w:r>
    </w:p>
    <w:p w14:paraId="7ADB3D43" w14:textId="072C7C9D" w:rsidR="0023072D" w:rsidRDefault="0023072D" w:rsidP="00E44EA7">
      <w:pPr>
        <w:pStyle w:val="af2"/>
      </w:pPr>
      <w:r>
        <w:rPr>
          <w:rFonts w:hint="eastAsia"/>
        </w:rPr>
        <w:t>描述性统计</w:t>
      </w:r>
    </w:p>
    <w:p w14:paraId="1747EC26" w14:textId="03ECEC06" w:rsidR="008F51EC" w:rsidRPr="008F51EC" w:rsidRDefault="00C84673" w:rsidP="008F51EC">
      <w:pPr>
        <w:pStyle w:val="af2"/>
        <w:rPr>
          <w:rFonts w:hint="eastAsia"/>
        </w:rPr>
      </w:pPr>
      <w:commentRangeStart w:id="8"/>
      <w:r>
        <w:rPr>
          <w:rFonts w:hint="eastAsia"/>
        </w:rPr>
        <w:t>Table1</w:t>
      </w:r>
      <w:commentRangeEnd w:id="8"/>
      <w:r w:rsidR="005B465B" w:rsidRPr="008F51EC">
        <w:rPr>
          <w:rStyle w:val="af4"/>
          <w:rFonts w:hint="eastAsia"/>
          <w:sz w:val="24"/>
          <w:szCs w:val="24"/>
        </w:rPr>
        <w:commentReference w:id="8"/>
      </w:r>
    </w:p>
    <w:p w14:paraId="09B977BE" w14:textId="77777777" w:rsidR="007F20A5" w:rsidRPr="007F20A5" w:rsidRDefault="007F20A5" w:rsidP="007F20A5">
      <w:pPr>
        <w:widowControl/>
        <w:spacing w:before="360" w:after="12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b/>
          <w:kern w:val="0"/>
          <w:sz w:val="21"/>
          <w:szCs w:val="22"/>
          <w:lang w:eastAsia="en-US"/>
          <w14:ligatures w14:val="none"/>
        </w:rPr>
        <w:t>表</w:t>
      </w:r>
      <w:r w:rsidRPr="007F20A5">
        <w:rPr>
          <w:rFonts w:ascii="Times New Roman" w:eastAsia="宋体" w:hAnsi="Times New Roman" w:cs="Times New Roman"/>
          <w:b/>
          <w:kern w:val="0"/>
          <w:sz w:val="21"/>
          <w:szCs w:val="22"/>
          <w:lang w:eastAsia="en-US"/>
          <w14:ligatures w14:val="none"/>
        </w:rPr>
        <w:t xml:space="preserve">1  </w:t>
      </w:r>
      <w:r w:rsidRPr="007F20A5">
        <w:rPr>
          <w:rFonts w:ascii="Times New Roman" w:eastAsia="宋体" w:hAnsi="Times New Roman" w:cs="Times New Roman"/>
          <w:b/>
          <w:kern w:val="0"/>
          <w:sz w:val="21"/>
          <w:szCs w:val="22"/>
          <w:lang w:eastAsia="en-US"/>
          <w14:ligatures w14:val="none"/>
        </w:rPr>
        <w:t>基期样本描述性统计</w:t>
      </w:r>
    </w:p>
    <w:tbl>
      <w:tblPr>
        <w:tblW w:w="0" w:type="auto"/>
        <w:jc w:val="center"/>
        <w:tblLayout w:type="fixed"/>
        <w:tblLook w:val="04A0" w:firstRow="1" w:lastRow="0" w:firstColumn="1" w:lastColumn="0" w:noHBand="0" w:noVBand="1"/>
      </w:tblPr>
      <w:tblGrid>
        <w:gridCol w:w="3118"/>
        <w:gridCol w:w="1814"/>
        <w:gridCol w:w="1814"/>
        <w:gridCol w:w="1247"/>
      </w:tblGrid>
      <w:tr w:rsidR="007F20A5" w:rsidRPr="007F20A5" w14:paraId="69AB1629" w14:textId="77777777" w:rsidTr="00D07EA3">
        <w:trPr>
          <w:jc w:val="center"/>
        </w:trPr>
        <w:tc>
          <w:tcPr>
            <w:tcW w:w="3118" w:type="dxa"/>
            <w:tcBorders>
              <w:top w:val="single" w:sz="12" w:space="0" w:color="000000"/>
              <w:left w:val="nil"/>
              <w:bottom w:val="single" w:sz="6" w:space="0" w:color="000000"/>
              <w:right w:val="nil"/>
            </w:tcBorders>
            <w:vAlign w:val="center"/>
          </w:tcPr>
          <w:p w14:paraId="2B336960"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b/>
                <w:kern w:val="0"/>
                <w:sz w:val="20"/>
                <w:szCs w:val="22"/>
                <w:lang w:eastAsia="en-US"/>
                <w14:ligatures w14:val="none"/>
              </w:rPr>
              <w:t>变量</w:t>
            </w:r>
          </w:p>
        </w:tc>
        <w:tc>
          <w:tcPr>
            <w:tcW w:w="1814" w:type="dxa"/>
            <w:tcBorders>
              <w:top w:val="single" w:sz="12" w:space="0" w:color="000000"/>
              <w:left w:val="nil"/>
              <w:bottom w:val="single" w:sz="6" w:space="0" w:color="000000"/>
              <w:right w:val="nil"/>
            </w:tcBorders>
            <w:vAlign w:val="center"/>
          </w:tcPr>
          <w:p w14:paraId="6E5E47F0"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b/>
                <w:kern w:val="0"/>
                <w:sz w:val="20"/>
                <w:szCs w:val="22"/>
                <w:lang w:eastAsia="en-US"/>
                <w14:ligatures w14:val="none"/>
              </w:rPr>
              <w:t>对照组</w:t>
            </w:r>
          </w:p>
        </w:tc>
        <w:tc>
          <w:tcPr>
            <w:tcW w:w="1814" w:type="dxa"/>
            <w:tcBorders>
              <w:top w:val="single" w:sz="12" w:space="0" w:color="000000"/>
              <w:left w:val="nil"/>
              <w:bottom w:val="single" w:sz="6" w:space="0" w:color="000000"/>
              <w:right w:val="nil"/>
            </w:tcBorders>
            <w:vAlign w:val="center"/>
          </w:tcPr>
          <w:p w14:paraId="31FAA7A4"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b/>
                <w:kern w:val="0"/>
                <w:sz w:val="20"/>
                <w:szCs w:val="22"/>
                <w:lang w:eastAsia="en-US"/>
                <w14:ligatures w14:val="none"/>
              </w:rPr>
              <w:t>处理组</w:t>
            </w:r>
          </w:p>
        </w:tc>
        <w:tc>
          <w:tcPr>
            <w:tcW w:w="1247" w:type="dxa"/>
            <w:tcBorders>
              <w:top w:val="single" w:sz="12" w:space="0" w:color="000000"/>
              <w:left w:val="nil"/>
              <w:bottom w:val="single" w:sz="6" w:space="0" w:color="000000"/>
              <w:right w:val="nil"/>
            </w:tcBorders>
            <w:vAlign w:val="center"/>
          </w:tcPr>
          <w:p w14:paraId="77FE1651"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b/>
                <w:kern w:val="0"/>
                <w:sz w:val="20"/>
                <w:szCs w:val="22"/>
                <w:lang w:eastAsia="en-US"/>
                <w14:ligatures w14:val="none"/>
              </w:rPr>
              <w:t>SMD</w:t>
            </w:r>
          </w:p>
        </w:tc>
      </w:tr>
      <w:tr w:rsidR="007F20A5" w:rsidRPr="007F20A5" w14:paraId="0874100B" w14:textId="77777777" w:rsidTr="00D07EA3">
        <w:trPr>
          <w:jc w:val="center"/>
        </w:trPr>
        <w:tc>
          <w:tcPr>
            <w:tcW w:w="3118" w:type="dxa"/>
            <w:tcBorders>
              <w:top w:val="nil"/>
              <w:left w:val="nil"/>
              <w:bottom w:val="nil"/>
              <w:right w:val="nil"/>
            </w:tcBorders>
            <w:vAlign w:val="center"/>
          </w:tcPr>
          <w:p w14:paraId="3D2D390A"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14:ligatures w14:val="none"/>
              </w:rPr>
            </w:pPr>
            <w:r w:rsidRPr="007F20A5">
              <w:rPr>
                <w:rFonts w:ascii="Times New Roman" w:eastAsia="宋体" w:hAnsi="Times New Roman" w:cs="Times New Roman"/>
                <w:kern w:val="0"/>
                <w:sz w:val="20"/>
                <w:szCs w:val="22"/>
                <w14:ligatures w14:val="none"/>
              </w:rPr>
              <w:t>综合健康指数（</w:t>
            </w:r>
            <w:r w:rsidRPr="007F20A5">
              <w:rPr>
                <w:rFonts w:ascii="Times New Roman" w:eastAsia="宋体" w:hAnsi="Times New Roman" w:cs="Times New Roman"/>
                <w:kern w:val="0"/>
                <w:sz w:val="20"/>
                <w:szCs w:val="22"/>
                <w14:ligatures w14:val="none"/>
              </w:rPr>
              <w:t>CHI</w:t>
            </w:r>
            <w:r w:rsidRPr="007F20A5">
              <w:rPr>
                <w:rFonts w:ascii="Times New Roman" w:eastAsia="宋体" w:hAnsi="Times New Roman" w:cs="Times New Roman"/>
                <w:kern w:val="0"/>
                <w:sz w:val="20"/>
                <w:szCs w:val="22"/>
                <w14:ligatures w14:val="none"/>
              </w:rPr>
              <w:t>）</w:t>
            </w:r>
          </w:p>
        </w:tc>
        <w:tc>
          <w:tcPr>
            <w:tcW w:w="1814" w:type="dxa"/>
            <w:tcBorders>
              <w:top w:val="nil"/>
              <w:left w:val="nil"/>
              <w:bottom w:val="nil"/>
              <w:right w:val="nil"/>
            </w:tcBorders>
            <w:vAlign w:val="center"/>
          </w:tcPr>
          <w:p w14:paraId="0AF215E5"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0.656</w:t>
            </w:r>
          </w:p>
        </w:tc>
        <w:tc>
          <w:tcPr>
            <w:tcW w:w="1814" w:type="dxa"/>
            <w:tcBorders>
              <w:top w:val="nil"/>
              <w:left w:val="nil"/>
              <w:bottom w:val="nil"/>
              <w:right w:val="nil"/>
            </w:tcBorders>
            <w:vAlign w:val="center"/>
          </w:tcPr>
          <w:p w14:paraId="043E9CD4"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0.675</w:t>
            </w:r>
          </w:p>
        </w:tc>
        <w:tc>
          <w:tcPr>
            <w:tcW w:w="1247" w:type="dxa"/>
            <w:tcBorders>
              <w:top w:val="nil"/>
              <w:left w:val="nil"/>
              <w:bottom w:val="nil"/>
              <w:right w:val="nil"/>
            </w:tcBorders>
            <w:vAlign w:val="center"/>
          </w:tcPr>
          <w:p w14:paraId="7113320D"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0.115</w:t>
            </w:r>
          </w:p>
        </w:tc>
      </w:tr>
      <w:tr w:rsidR="007F20A5" w:rsidRPr="007F20A5" w14:paraId="2E1AABE1" w14:textId="77777777" w:rsidTr="00D07EA3">
        <w:trPr>
          <w:jc w:val="center"/>
        </w:trPr>
        <w:tc>
          <w:tcPr>
            <w:tcW w:w="3118" w:type="dxa"/>
            <w:tcBorders>
              <w:top w:val="nil"/>
              <w:left w:val="nil"/>
              <w:bottom w:val="nil"/>
              <w:right w:val="nil"/>
            </w:tcBorders>
            <w:vAlign w:val="center"/>
          </w:tcPr>
          <w:p w14:paraId="67981816"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功能健康能力</w:t>
            </w:r>
          </w:p>
        </w:tc>
        <w:tc>
          <w:tcPr>
            <w:tcW w:w="1814" w:type="dxa"/>
            <w:tcBorders>
              <w:top w:val="nil"/>
              <w:left w:val="nil"/>
              <w:bottom w:val="nil"/>
              <w:right w:val="nil"/>
            </w:tcBorders>
            <w:vAlign w:val="center"/>
          </w:tcPr>
          <w:p w14:paraId="50E0F6A2"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0.864</w:t>
            </w:r>
          </w:p>
        </w:tc>
        <w:tc>
          <w:tcPr>
            <w:tcW w:w="1814" w:type="dxa"/>
            <w:tcBorders>
              <w:top w:val="nil"/>
              <w:left w:val="nil"/>
              <w:bottom w:val="nil"/>
              <w:right w:val="nil"/>
            </w:tcBorders>
            <w:vAlign w:val="center"/>
          </w:tcPr>
          <w:p w14:paraId="61627B3E"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0.872</w:t>
            </w:r>
          </w:p>
        </w:tc>
        <w:tc>
          <w:tcPr>
            <w:tcW w:w="1247" w:type="dxa"/>
            <w:tcBorders>
              <w:top w:val="nil"/>
              <w:left w:val="nil"/>
              <w:bottom w:val="nil"/>
              <w:right w:val="nil"/>
            </w:tcBorders>
            <w:vAlign w:val="center"/>
          </w:tcPr>
          <w:p w14:paraId="1A1EE3ED"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0.034</w:t>
            </w:r>
          </w:p>
        </w:tc>
      </w:tr>
      <w:tr w:rsidR="007F20A5" w:rsidRPr="007F20A5" w14:paraId="70CC1E76" w14:textId="77777777" w:rsidTr="00D07EA3">
        <w:trPr>
          <w:jc w:val="center"/>
        </w:trPr>
        <w:tc>
          <w:tcPr>
            <w:tcW w:w="3118" w:type="dxa"/>
            <w:tcBorders>
              <w:top w:val="nil"/>
              <w:left w:val="nil"/>
              <w:bottom w:val="nil"/>
              <w:right w:val="nil"/>
            </w:tcBorders>
            <w:vAlign w:val="center"/>
          </w:tcPr>
          <w:p w14:paraId="504093BB"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心理健康能力</w:t>
            </w:r>
          </w:p>
        </w:tc>
        <w:tc>
          <w:tcPr>
            <w:tcW w:w="1814" w:type="dxa"/>
            <w:tcBorders>
              <w:top w:val="nil"/>
              <w:left w:val="nil"/>
              <w:bottom w:val="nil"/>
              <w:right w:val="nil"/>
            </w:tcBorders>
            <w:vAlign w:val="center"/>
          </w:tcPr>
          <w:p w14:paraId="5870413A"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0.673</w:t>
            </w:r>
          </w:p>
        </w:tc>
        <w:tc>
          <w:tcPr>
            <w:tcW w:w="1814" w:type="dxa"/>
            <w:tcBorders>
              <w:top w:val="nil"/>
              <w:left w:val="nil"/>
              <w:bottom w:val="nil"/>
              <w:right w:val="nil"/>
            </w:tcBorders>
            <w:vAlign w:val="center"/>
          </w:tcPr>
          <w:p w14:paraId="6583352B"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0.692</w:t>
            </w:r>
          </w:p>
        </w:tc>
        <w:tc>
          <w:tcPr>
            <w:tcW w:w="1247" w:type="dxa"/>
            <w:tcBorders>
              <w:top w:val="nil"/>
              <w:left w:val="nil"/>
              <w:bottom w:val="nil"/>
              <w:right w:val="nil"/>
            </w:tcBorders>
            <w:vAlign w:val="center"/>
          </w:tcPr>
          <w:p w14:paraId="759BB06C"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0.089</w:t>
            </w:r>
          </w:p>
        </w:tc>
      </w:tr>
      <w:tr w:rsidR="007F20A5" w:rsidRPr="007F20A5" w14:paraId="62E7E8D9" w14:textId="77777777" w:rsidTr="00D07EA3">
        <w:trPr>
          <w:jc w:val="center"/>
        </w:trPr>
        <w:tc>
          <w:tcPr>
            <w:tcW w:w="3118" w:type="dxa"/>
            <w:tcBorders>
              <w:top w:val="nil"/>
              <w:left w:val="nil"/>
              <w:bottom w:val="nil"/>
              <w:right w:val="nil"/>
            </w:tcBorders>
            <w:vAlign w:val="center"/>
          </w:tcPr>
          <w:p w14:paraId="61B97F30"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自评健康能力</w:t>
            </w:r>
          </w:p>
        </w:tc>
        <w:tc>
          <w:tcPr>
            <w:tcW w:w="1814" w:type="dxa"/>
            <w:tcBorders>
              <w:top w:val="nil"/>
              <w:left w:val="nil"/>
              <w:bottom w:val="nil"/>
              <w:right w:val="nil"/>
            </w:tcBorders>
            <w:vAlign w:val="center"/>
          </w:tcPr>
          <w:p w14:paraId="24514B0D"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0.418</w:t>
            </w:r>
          </w:p>
        </w:tc>
        <w:tc>
          <w:tcPr>
            <w:tcW w:w="1814" w:type="dxa"/>
            <w:tcBorders>
              <w:top w:val="nil"/>
              <w:left w:val="nil"/>
              <w:bottom w:val="nil"/>
              <w:right w:val="nil"/>
            </w:tcBorders>
            <w:vAlign w:val="center"/>
          </w:tcPr>
          <w:p w14:paraId="5DB8F9CD"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0.439</w:t>
            </w:r>
          </w:p>
        </w:tc>
        <w:tc>
          <w:tcPr>
            <w:tcW w:w="1247" w:type="dxa"/>
            <w:tcBorders>
              <w:top w:val="nil"/>
              <w:left w:val="nil"/>
              <w:bottom w:val="nil"/>
              <w:right w:val="nil"/>
            </w:tcBorders>
            <w:vAlign w:val="center"/>
          </w:tcPr>
          <w:p w14:paraId="1C5423A3"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0.096</w:t>
            </w:r>
          </w:p>
        </w:tc>
      </w:tr>
      <w:tr w:rsidR="007F20A5" w:rsidRPr="007F20A5" w14:paraId="3297EECD" w14:textId="77777777" w:rsidTr="00D07EA3">
        <w:trPr>
          <w:jc w:val="center"/>
        </w:trPr>
        <w:tc>
          <w:tcPr>
            <w:tcW w:w="3118" w:type="dxa"/>
            <w:tcBorders>
              <w:top w:val="nil"/>
              <w:left w:val="nil"/>
              <w:bottom w:val="nil"/>
              <w:right w:val="nil"/>
            </w:tcBorders>
            <w:vAlign w:val="center"/>
          </w:tcPr>
          <w:p w14:paraId="6EDA2C1F"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年龄</w:t>
            </w:r>
          </w:p>
        </w:tc>
        <w:tc>
          <w:tcPr>
            <w:tcW w:w="1814" w:type="dxa"/>
            <w:tcBorders>
              <w:top w:val="nil"/>
              <w:left w:val="nil"/>
              <w:bottom w:val="nil"/>
              <w:right w:val="nil"/>
            </w:tcBorders>
            <w:vAlign w:val="center"/>
          </w:tcPr>
          <w:p w14:paraId="42DB8FB5"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68.4</w:t>
            </w:r>
          </w:p>
        </w:tc>
        <w:tc>
          <w:tcPr>
            <w:tcW w:w="1814" w:type="dxa"/>
            <w:tcBorders>
              <w:top w:val="nil"/>
              <w:left w:val="nil"/>
              <w:bottom w:val="nil"/>
              <w:right w:val="nil"/>
            </w:tcBorders>
            <w:vAlign w:val="center"/>
          </w:tcPr>
          <w:p w14:paraId="7C24E2B3"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68.5</w:t>
            </w:r>
          </w:p>
        </w:tc>
        <w:tc>
          <w:tcPr>
            <w:tcW w:w="1247" w:type="dxa"/>
            <w:tcBorders>
              <w:top w:val="nil"/>
              <w:left w:val="nil"/>
              <w:bottom w:val="nil"/>
              <w:right w:val="nil"/>
            </w:tcBorders>
            <w:vAlign w:val="center"/>
          </w:tcPr>
          <w:p w14:paraId="2E19E5F7"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0.025</w:t>
            </w:r>
          </w:p>
        </w:tc>
      </w:tr>
      <w:tr w:rsidR="007F20A5" w:rsidRPr="007F20A5" w14:paraId="6EB1D9D6" w14:textId="77777777" w:rsidTr="00D07EA3">
        <w:trPr>
          <w:jc w:val="center"/>
        </w:trPr>
        <w:tc>
          <w:tcPr>
            <w:tcW w:w="3118" w:type="dxa"/>
            <w:tcBorders>
              <w:top w:val="nil"/>
              <w:left w:val="nil"/>
              <w:bottom w:val="nil"/>
              <w:right w:val="nil"/>
            </w:tcBorders>
            <w:vAlign w:val="center"/>
          </w:tcPr>
          <w:p w14:paraId="09B0FF8C"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女性</w:t>
            </w:r>
          </w:p>
        </w:tc>
        <w:tc>
          <w:tcPr>
            <w:tcW w:w="1814" w:type="dxa"/>
            <w:tcBorders>
              <w:top w:val="nil"/>
              <w:left w:val="nil"/>
              <w:bottom w:val="nil"/>
              <w:right w:val="nil"/>
            </w:tcBorders>
            <w:vAlign w:val="center"/>
          </w:tcPr>
          <w:p w14:paraId="664865DD" w14:textId="4BEE307A"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49.7</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0278BE7C" w14:textId="11D427E1"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48.6</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6D303D70"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0.022</w:t>
            </w:r>
          </w:p>
        </w:tc>
      </w:tr>
      <w:tr w:rsidR="007F20A5" w:rsidRPr="007F20A5" w14:paraId="0749DDF9" w14:textId="77777777" w:rsidTr="00D07EA3">
        <w:trPr>
          <w:jc w:val="center"/>
        </w:trPr>
        <w:tc>
          <w:tcPr>
            <w:tcW w:w="3118" w:type="dxa"/>
            <w:tcBorders>
              <w:top w:val="nil"/>
              <w:left w:val="nil"/>
              <w:bottom w:val="nil"/>
              <w:right w:val="nil"/>
            </w:tcBorders>
            <w:vAlign w:val="center"/>
          </w:tcPr>
          <w:p w14:paraId="37FEEA18"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未受正式教育</w:t>
            </w:r>
          </w:p>
        </w:tc>
        <w:tc>
          <w:tcPr>
            <w:tcW w:w="1814" w:type="dxa"/>
            <w:tcBorders>
              <w:top w:val="nil"/>
              <w:left w:val="nil"/>
              <w:bottom w:val="nil"/>
              <w:right w:val="nil"/>
            </w:tcBorders>
            <w:vAlign w:val="center"/>
          </w:tcPr>
          <w:p w14:paraId="49675E3B" w14:textId="0BC69037"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58.3</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1D96CA2A" w14:textId="130A98FD"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54.8</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3CD660BC"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0.070</w:t>
            </w:r>
          </w:p>
        </w:tc>
      </w:tr>
      <w:tr w:rsidR="007F20A5" w:rsidRPr="007F20A5" w14:paraId="5D073A9A" w14:textId="77777777" w:rsidTr="00D07EA3">
        <w:trPr>
          <w:jc w:val="center"/>
        </w:trPr>
        <w:tc>
          <w:tcPr>
            <w:tcW w:w="3118" w:type="dxa"/>
            <w:tcBorders>
              <w:top w:val="nil"/>
              <w:left w:val="nil"/>
              <w:bottom w:val="nil"/>
              <w:right w:val="nil"/>
            </w:tcBorders>
            <w:vAlign w:val="center"/>
          </w:tcPr>
          <w:p w14:paraId="37D54C7C"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已婚有配偶</w:t>
            </w:r>
          </w:p>
        </w:tc>
        <w:tc>
          <w:tcPr>
            <w:tcW w:w="1814" w:type="dxa"/>
            <w:tcBorders>
              <w:top w:val="nil"/>
              <w:left w:val="nil"/>
              <w:bottom w:val="nil"/>
              <w:right w:val="nil"/>
            </w:tcBorders>
            <w:vAlign w:val="center"/>
          </w:tcPr>
          <w:p w14:paraId="0CE3FF47" w14:textId="4148F921"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78.7</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21C4EC2F" w14:textId="189BE8DF"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79.4</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1AA5930E"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0.016</w:t>
            </w:r>
          </w:p>
        </w:tc>
      </w:tr>
      <w:tr w:rsidR="007F20A5" w:rsidRPr="007F20A5" w14:paraId="669A4C48" w14:textId="77777777" w:rsidTr="00D07EA3">
        <w:trPr>
          <w:jc w:val="center"/>
        </w:trPr>
        <w:tc>
          <w:tcPr>
            <w:tcW w:w="3118" w:type="dxa"/>
            <w:tcBorders>
              <w:top w:val="nil"/>
              <w:left w:val="nil"/>
              <w:bottom w:val="nil"/>
              <w:right w:val="nil"/>
            </w:tcBorders>
            <w:vAlign w:val="center"/>
          </w:tcPr>
          <w:p w14:paraId="796020D3"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农村居民</w:t>
            </w:r>
          </w:p>
        </w:tc>
        <w:tc>
          <w:tcPr>
            <w:tcW w:w="1814" w:type="dxa"/>
            <w:tcBorders>
              <w:top w:val="nil"/>
              <w:left w:val="nil"/>
              <w:bottom w:val="nil"/>
              <w:right w:val="nil"/>
            </w:tcBorders>
            <w:vAlign w:val="center"/>
          </w:tcPr>
          <w:p w14:paraId="77D83AA8" w14:textId="278A4194"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63.7</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3D4F308C" w14:textId="30416703"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50.8</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22064BE5"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0.264</w:t>
            </w:r>
          </w:p>
        </w:tc>
      </w:tr>
      <w:tr w:rsidR="007F20A5" w:rsidRPr="007F20A5" w14:paraId="66BD58AD" w14:textId="77777777" w:rsidTr="00D07EA3">
        <w:trPr>
          <w:jc w:val="center"/>
        </w:trPr>
        <w:tc>
          <w:tcPr>
            <w:tcW w:w="3118" w:type="dxa"/>
            <w:tcBorders>
              <w:top w:val="nil"/>
              <w:left w:val="nil"/>
              <w:bottom w:val="nil"/>
              <w:right w:val="nil"/>
            </w:tcBorders>
            <w:vAlign w:val="center"/>
          </w:tcPr>
          <w:p w14:paraId="3E07E5B5"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14:ligatures w14:val="none"/>
              </w:rPr>
            </w:pPr>
            <w:r w:rsidRPr="007F20A5">
              <w:rPr>
                <w:rFonts w:ascii="Times New Roman" w:eastAsia="宋体" w:hAnsi="Times New Roman" w:cs="Times New Roman"/>
                <w:kern w:val="0"/>
                <w:sz w:val="20"/>
                <w:szCs w:val="22"/>
                <w14:ligatures w14:val="none"/>
              </w:rPr>
              <w:t>家庭人均消费（万元）</w:t>
            </w:r>
          </w:p>
        </w:tc>
        <w:tc>
          <w:tcPr>
            <w:tcW w:w="1814" w:type="dxa"/>
            <w:tcBorders>
              <w:top w:val="nil"/>
              <w:left w:val="nil"/>
              <w:bottom w:val="nil"/>
              <w:right w:val="nil"/>
            </w:tcBorders>
            <w:vAlign w:val="center"/>
          </w:tcPr>
          <w:p w14:paraId="50042D97"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0.686</w:t>
            </w:r>
          </w:p>
        </w:tc>
        <w:tc>
          <w:tcPr>
            <w:tcW w:w="1814" w:type="dxa"/>
            <w:tcBorders>
              <w:top w:val="nil"/>
              <w:left w:val="nil"/>
              <w:bottom w:val="nil"/>
              <w:right w:val="nil"/>
            </w:tcBorders>
            <w:vAlign w:val="center"/>
          </w:tcPr>
          <w:p w14:paraId="4B55D5B8"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0.798</w:t>
            </w:r>
          </w:p>
        </w:tc>
        <w:tc>
          <w:tcPr>
            <w:tcW w:w="1247" w:type="dxa"/>
            <w:tcBorders>
              <w:top w:val="nil"/>
              <w:left w:val="nil"/>
              <w:bottom w:val="nil"/>
              <w:right w:val="nil"/>
            </w:tcBorders>
            <w:vAlign w:val="center"/>
          </w:tcPr>
          <w:p w14:paraId="36F4C1D8"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0.108</w:t>
            </w:r>
          </w:p>
        </w:tc>
      </w:tr>
      <w:tr w:rsidR="007F20A5" w:rsidRPr="007F20A5" w14:paraId="49F5B5EE" w14:textId="77777777" w:rsidTr="00D07EA3">
        <w:trPr>
          <w:jc w:val="center"/>
        </w:trPr>
        <w:tc>
          <w:tcPr>
            <w:tcW w:w="3118" w:type="dxa"/>
            <w:tcBorders>
              <w:top w:val="nil"/>
              <w:left w:val="nil"/>
              <w:bottom w:val="nil"/>
              <w:right w:val="nil"/>
            </w:tcBorders>
            <w:vAlign w:val="center"/>
          </w:tcPr>
          <w:p w14:paraId="08FFE38E"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慢性病数量</w:t>
            </w:r>
          </w:p>
        </w:tc>
        <w:tc>
          <w:tcPr>
            <w:tcW w:w="1814" w:type="dxa"/>
            <w:tcBorders>
              <w:top w:val="nil"/>
              <w:left w:val="nil"/>
              <w:bottom w:val="nil"/>
              <w:right w:val="nil"/>
            </w:tcBorders>
            <w:vAlign w:val="center"/>
          </w:tcPr>
          <w:p w14:paraId="5BC977FB"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2.2</w:t>
            </w:r>
          </w:p>
        </w:tc>
        <w:tc>
          <w:tcPr>
            <w:tcW w:w="1814" w:type="dxa"/>
            <w:tcBorders>
              <w:top w:val="nil"/>
              <w:left w:val="nil"/>
              <w:bottom w:val="nil"/>
              <w:right w:val="nil"/>
            </w:tcBorders>
            <w:vAlign w:val="center"/>
          </w:tcPr>
          <w:p w14:paraId="5B0CB744"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2.2</w:t>
            </w:r>
          </w:p>
        </w:tc>
        <w:tc>
          <w:tcPr>
            <w:tcW w:w="1247" w:type="dxa"/>
            <w:tcBorders>
              <w:top w:val="nil"/>
              <w:left w:val="nil"/>
              <w:bottom w:val="nil"/>
              <w:right w:val="nil"/>
            </w:tcBorders>
            <w:vAlign w:val="center"/>
          </w:tcPr>
          <w:p w14:paraId="11DF98CD"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0.048</w:t>
            </w:r>
          </w:p>
        </w:tc>
      </w:tr>
      <w:tr w:rsidR="007F20A5" w:rsidRPr="007F20A5" w14:paraId="757E67E7" w14:textId="77777777" w:rsidTr="00D07EA3">
        <w:trPr>
          <w:jc w:val="center"/>
        </w:trPr>
        <w:tc>
          <w:tcPr>
            <w:tcW w:w="3118" w:type="dxa"/>
            <w:tcBorders>
              <w:top w:val="nil"/>
              <w:left w:val="nil"/>
              <w:bottom w:val="nil"/>
              <w:right w:val="nil"/>
            </w:tcBorders>
            <w:vAlign w:val="center"/>
          </w:tcPr>
          <w:p w14:paraId="3204F040"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医疗保险参与</w:t>
            </w:r>
          </w:p>
        </w:tc>
        <w:tc>
          <w:tcPr>
            <w:tcW w:w="1814" w:type="dxa"/>
            <w:tcBorders>
              <w:top w:val="nil"/>
              <w:left w:val="nil"/>
              <w:bottom w:val="nil"/>
              <w:right w:val="nil"/>
            </w:tcBorders>
            <w:vAlign w:val="center"/>
          </w:tcPr>
          <w:p w14:paraId="02819242" w14:textId="7E029564"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94.0</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3FD49AA2" w14:textId="5819BA2D"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94.2</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5A3D1C95"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0.010</w:t>
            </w:r>
          </w:p>
        </w:tc>
      </w:tr>
      <w:tr w:rsidR="007F20A5" w:rsidRPr="007F20A5" w14:paraId="2649BBF1" w14:textId="77777777" w:rsidTr="00D07EA3">
        <w:trPr>
          <w:jc w:val="center"/>
        </w:trPr>
        <w:tc>
          <w:tcPr>
            <w:tcW w:w="3118" w:type="dxa"/>
            <w:tcBorders>
              <w:top w:val="nil"/>
              <w:left w:val="nil"/>
              <w:bottom w:val="nil"/>
              <w:right w:val="nil"/>
            </w:tcBorders>
            <w:vAlign w:val="center"/>
          </w:tcPr>
          <w:p w14:paraId="0D64F8B7"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子女数量</w:t>
            </w:r>
          </w:p>
        </w:tc>
        <w:tc>
          <w:tcPr>
            <w:tcW w:w="1814" w:type="dxa"/>
            <w:tcBorders>
              <w:top w:val="nil"/>
              <w:left w:val="nil"/>
              <w:bottom w:val="nil"/>
              <w:right w:val="nil"/>
            </w:tcBorders>
            <w:vAlign w:val="center"/>
          </w:tcPr>
          <w:p w14:paraId="75A63841"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3.4</w:t>
            </w:r>
          </w:p>
        </w:tc>
        <w:tc>
          <w:tcPr>
            <w:tcW w:w="1814" w:type="dxa"/>
            <w:tcBorders>
              <w:top w:val="nil"/>
              <w:left w:val="nil"/>
              <w:bottom w:val="nil"/>
              <w:right w:val="nil"/>
            </w:tcBorders>
            <w:vAlign w:val="center"/>
          </w:tcPr>
          <w:p w14:paraId="04C9032A"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3.2</w:t>
            </w:r>
          </w:p>
        </w:tc>
        <w:tc>
          <w:tcPr>
            <w:tcW w:w="1247" w:type="dxa"/>
            <w:tcBorders>
              <w:top w:val="nil"/>
              <w:left w:val="nil"/>
              <w:bottom w:val="nil"/>
              <w:right w:val="nil"/>
            </w:tcBorders>
            <w:vAlign w:val="center"/>
          </w:tcPr>
          <w:p w14:paraId="2E8B04F3"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0.091</w:t>
            </w:r>
          </w:p>
        </w:tc>
      </w:tr>
      <w:tr w:rsidR="007F20A5" w:rsidRPr="007F20A5" w14:paraId="2194C529" w14:textId="77777777" w:rsidTr="00D07EA3">
        <w:trPr>
          <w:jc w:val="center"/>
        </w:trPr>
        <w:tc>
          <w:tcPr>
            <w:tcW w:w="3118" w:type="dxa"/>
            <w:tcBorders>
              <w:top w:val="nil"/>
              <w:left w:val="nil"/>
              <w:bottom w:val="nil"/>
              <w:right w:val="nil"/>
            </w:tcBorders>
            <w:vAlign w:val="center"/>
          </w:tcPr>
          <w:p w14:paraId="75BBC1F9"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基期吸烟</w:t>
            </w:r>
          </w:p>
        </w:tc>
        <w:tc>
          <w:tcPr>
            <w:tcW w:w="1814" w:type="dxa"/>
            <w:tcBorders>
              <w:top w:val="nil"/>
              <w:left w:val="nil"/>
              <w:bottom w:val="nil"/>
              <w:right w:val="nil"/>
            </w:tcBorders>
            <w:vAlign w:val="center"/>
          </w:tcPr>
          <w:p w14:paraId="3F0D5ADA" w14:textId="442A1A3C"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43.0</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nil"/>
              <w:right w:val="nil"/>
            </w:tcBorders>
            <w:vAlign w:val="center"/>
          </w:tcPr>
          <w:p w14:paraId="7E633E86" w14:textId="6E083340"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39.6</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nil"/>
              <w:right w:val="nil"/>
            </w:tcBorders>
            <w:vAlign w:val="center"/>
          </w:tcPr>
          <w:p w14:paraId="40629902"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0.069</w:t>
            </w:r>
          </w:p>
        </w:tc>
      </w:tr>
      <w:tr w:rsidR="007F20A5" w:rsidRPr="007F20A5" w14:paraId="2E7B8A45" w14:textId="77777777" w:rsidTr="00D07EA3">
        <w:trPr>
          <w:jc w:val="center"/>
        </w:trPr>
        <w:tc>
          <w:tcPr>
            <w:tcW w:w="3118" w:type="dxa"/>
            <w:tcBorders>
              <w:top w:val="nil"/>
              <w:left w:val="nil"/>
              <w:bottom w:val="single" w:sz="12" w:space="0" w:color="000000"/>
              <w:right w:val="nil"/>
            </w:tcBorders>
            <w:vAlign w:val="center"/>
          </w:tcPr>
          <w:p w14:paraId="635C6ACB" w14:textId="77777777" w:rsidR="007F20A5" w:rsidRPr="007F20A5" w:rsidRDefault="007F20A5" w:rsidP="007F20A5">
            <w:pPr>
              <w:widowControl/>
              <w:spacing w:before="40" w:after="40" w:line="276" w:lineRule="auto"/>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基期饮酒</w:t>
            </w:r>
          </w:p>
        </w:tc>
        <w:tc>
          <w:tcPr>
            <w:tcW w:w="1814" w:type="dxa"/>
            <w:tcBorders>
              <w:top w:val="nil"/>
              <w:left w:val="nil"/>
              <w:bottom w:val="single" w:sz="12" w:space="0" w:color="000000"/>
              <w:right w:val="nil"/>
            </w:tcBorders>
            <w:vAlign w:val="center"/>
          </w:tcPr>
          <w:p w14:paraId="6B79D0B9" w14:textId="1E3D41D9"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28.4</w:t>
            </w:r>
            <w:r w:rsidR="00935D39">
              <w:rPr>
                <w:rFonts w:ascii="Times New Roman" w:eastAsia="宋体" w:hAnsi="Times New Roman" w:cs="Times New Roman" w:hint="eastAsia"/>
                <w:kern w:val="0"/>
                <w:sz w:val="20"/>
                <w:szCs w:val="22"/>
                <w14:ligatures w14:val="none"/>
              </w:rPr>
              <w:t>%</w:t>
            </w:r>
          </w:p>
        </w:tc>
        <w:tc>
          <w:tcPr>
            <w:tcW w:w="1814" w:type="dxa"/>
            <w:tcBorders>
              <w:top w:val="nil"/>
              <w:left w:val="nil"/>
              <w:bottom w:val="single" w:sz="12" w:space="0" w:color="000000"/>
              <w:right w:val="nil"/>
            </w:tcBorders>
            <w:vAlign w:val="center"/>
          </w:tcPr>
          <w:p w14:paraId="3B494763" w14:textId="4BA31576" w:rsidR="007F20A5" w:rsidRPr="007F20A5" w:rsidRDefault="007F20A5" w:rsidP="007F20A5">
            <w:pPr>
              <w:widowControl/>
              <w:spacing w:before="40" w:after="40" w:line="276" w:lineRule="auto"/>
              <w:jc w:val="center"/>
              <w:rPr>
                <w:rFonts w:ascii="Times New Roman" w:eastAsia="宋体" w:hAnsi="Times New Roman" w:cs="Times New Roman" w:hint="eastAsia"/>
                <w:kern w:val="0"/>
                <w:sz w:val="21"/>
                <w:szCs w:val="22"/>
                <w14:ligatures w14:val="none"/>
              </w:rPr>
            </w:pPr>
            <w:r w:rsidRPr="007F20A5">
              <w:rPr>
                <w:rFonts w:ascii="Times New Roman" w:eastAsia="宋体" w:hAnsi="Times New Roman" w:cs="Times New Roman"/>
                <w:kern w:val="0"/>
                <w:sz w:val="20"/>
                <w:szCs w:val="22"/>
                <w:lang w:eastAsia="en-US"/>
                <w14:ligatures w14:val="none"/>
              </w:rPr>
              <w:t>26.9</w:t>
            </w:r>
            <w:r w:rsidR="005E49EF">
              <w:rPr>
                <w:rFonts w:ascii="Times New Roman" w:eastAsia="宋体" w:hAnsi="Times New Roman" w:cs="Times New Roman" w:hint="eastAsia"/>
                <w:kern w:val="0"/>
                <w:sz w:val="20"/>
                <w:szCs w:val="22"/>
                <w14:ligatures w14:val="none"/>
              </w:rPr>
              <w:t>%</w:t>
            </w:r>
          </w:p>
        </w:tc>
        <w:tc>
          <w:tcPr>
            <w:tcW w:w="1247" w:type="dxa"/>
            <w:tcBorders>
              <w:top w:val="nil"/>
              <w:left w:val="nil"/>
              <w:bottom w:val="single" w:sz="12" w:space="0" w:color="000000"/>
              <w:right w:val="nil"/>
            </w:tcBorders>
            <w:vAlign w:val="center"/>
          </w:tcPr>
          <w:p w14:paraId="05447650" w14:textId="77777777" w:rsidR="007F20A5" w:rsidRPr="007F20A5" w:rsidRDefault="007F20A5" w:rsidP="007F20A5">
            <w:pPr>
              <w:widowControl/>
              <w:spacing w:before="40" w:after="40" w:line="276" w:lineRule="auto"/>
              <w:jc w:val="center"/>
              <w:rPr>
                <w:rFonts w:ascii="Times New Roman" w:eastAsia="宋体" w:hAnsi="Times New Roman" w:cs="Times New Roman"/>
                <w:kern w:val="0"/>
                <w:sz w:val="21"/>
                <w:szCs w:val="22"/>
                <w:lang w:eastAsia="en-US"/>
                <w14:ligatures w14:val="none"/>
              </w:rPr>
            </w:pPr>
            <w:r w:rsidRPr="007F20A5">
              <w:rPr>
                <w:rFonts w:ascii="Times New Roman" w:eastAsia="宋体" w:hAnsi="Times New Roman" w:cs="Times New Roman"/>
                <w:kern w:val="0"/>
                <w:sz w:val="20"/>
                <w:szCs w:val="22"/>
                <w:lang w:eastAsia="en-US"/>
                <w14:ligatures w14:val="none"/>
              </w:rPr>
              <w:t>0.033</w:t>
            </w:r>
          </w:p>
        </w:tc>
      </w:tr>
    </w:tbl>
    <w:p w14:paraId="54743D2D" w14:textId="344EBE7A" w:rsidR="007F20A5" w:rsidRPr="00935D39" w:rsidRDefault="007F20A5" w:rsidP="007F20A5">
      <w:pPr>
        <w:widowControl/>
        <w:spacing w:before="80" w:after="320" w:line="276" w:lineRule="auto"/>
        <w:rPr>
          <w:rFonts w:ascii="Times New Roman" w:eastAsia="宋体" w:hAnsi="Times New Roman" w:cs="Times New Roman"/>
          <w:kern w:val="0"/>
          <w:sz w:val="18"/>
          <w:szCs w:val="22"/>
          <w14:ligatures w14:val="none"/>
        </w:rPr>
      </w:pPr>
      <w:r w:rsidRPr="007F20A5">
        <w:rPr>
          <w:rFonts w:ascii="Times New Roman" w:eastAsia="宋体" w:hAnsi="Times New Roman" w:cs="Times New Roman"/>
          <w:kern w:val="0"/>
          <w:sz w:val="18"/>
          <w:szCs w:val="22"/>
          <w14:ligatures w14:val="none"/>
        </w:rPr>
        <w:t>注：表中报告</w:t>
      </w:r>
      <w:r w:rsidRPr="007F20A5">
        <w:rPr>
          <w:rFonts w:ascii="Times New Roman" w:eastAsia="宋体" w:hAnsi="Times New Roman" w:cs="Times New Roman"/>
          <w:kern w:val="0"/>
          <w:sz w:val="18"/>
          <w:szCs w:val="22"/>
          <w14:ligatures w14:val="none"/>
        </w:rPr>
        <w:t>2011</w:t>
      </w:r>
      <w:r w:rsidRPr="007F20A5">
        <w:rPr>
          <w:rFonts w:ascii="Times New Roman" w:eastAsia="宋体" w:hAnsi="Times New Roman" w:cs="Times New Roman"/>
          <w:kern w:val="0"/>
          <w:sz w:val="18"/>
          <w:szCs w:val="22"/>
          <w14:ligatures w14:val="none"/>
        </w:rPr>
        <w:t>年基期样本的描述性统计结果</w:t>
      </w:r>
      <w:r w:rsidR="00935D39">
        <w:rPr>
          <w:rFonts w:ascii="Times New Roman" w:eastAsia="宋体" w:hAnsi="Times New Roman" w:cs="Times New Roman" w:hint="eastAsia"/>
          <w:kern w:val="0"/>
          <w:sz w:val="18"/>
          <w:szCs w:val="22"/>
          <w14:ligatures w14:val="none"/>
        </w:rPr>
        <w:t>，</w:t>
      </w:r>
      <w:r w:rsidR="00935D39" w:rsidRPr="00935D39">
        <w:rPr>
          <w:rFonts w:ascii="Times New Roman" w:eastAsia="宋体" w:hAnsi="Times New Roman" w:cs="Times New Roman"/>
          <w:kern w:val="0"/>
          <w:sz w:val="18"/>
          <w:szCs w:val="22"/>
          <w14:ligatures w14:val="none"/>
        </w:rPr>
        <w:t>样本为基期年龄</w:t>
      </w:r>
      <w:r w:rsidR="00935D39" w:rsidRPr="00935D39">
        <w:rPr>
          <w:rFonts w:ascii="Times New Roman" w:eastAsia="宋体" w:hAnsi="Times New Roman" w:cs="Times New Roman"/>
          <w:kern w:val="0"/>
          <w:sz w:val="18"/>
          <w:szCs w:val="22"/>
          <w14:ligatures w14:val="none"/>
        </w:rPr>
        <w:t>≥60</w:t>
      </w:r>
      <w:r w:rsidR="00935D39" w:rsidRPr="00935D39">
        <w:rPr>
          <w:rFonts w:ascii="Times New Roman" w:eastAsia="宋体" w:hAnsi="Times New Roman" w:cs="Times New Roman"/>
          <w:kern w:val="0"/>
          <w:sz w:val="18"/>
          <w:szCs w:val="22"/>
          <w14:ligatures w14:val="none"/>
        </w:rPr>
        <w:t>岁且已确诊患有慢性疾病的老年人。</w:t>
      </w:r>
      <w:r w:rsidRPr="007F20A5">
        <w:rPr>
          <w:rFonts w:ascii="Times New Roman" w:eastAsia="宋体" w:hAnsi="Times New Roman" w:cs="Times New Roman"/>
          <w:kern w:val="0"/>
          <w:sz w:val="18"/>
          <w:szCs w:val="22"/>
          <w14:ligatures w14:val="none"/>
        </w:rPr>
        <w:t>连续变量以均值表示，二元及分类变量以比例（</w:t>
      </w:r>
      <w:r w:rsidRPr="007F20A5">
        <w:rPr>
          <w:rFonts w:ascii="Times New Roman" w:eastAsia="宋体" w:hAnsi="Times New Roman" w:cs="Times New Roman"/>
          <w:kern w:val="0"/>
          <w:sz w:val="18"/>
          <w:szCs w:val="22"/>
          <w14:ligatures w14:val="none"/>
        </w:rPr>
        <w:t>%</w:t>
      </w:r>
      <w:r w:rsidRPr="007F20A5">
        <w:rPr>
          <w:rFonts w:ascii="Times New Roman" w:eastAsia="宋体" w:hAnsi="Times New Roman" w:cs="Times New Roman"/>
          <w:kern w:val="0"/>
          <w:sz w:val="18"/>
          <w:szCs w:val="22"/>
          <w14:ligatures w14:val="none"/>
        </w:rPr>
        <w:t>）表示。</w:t>
      </w:r>
      <w:r w:rsidRPr="007F20A5">
        <w:rPr>
          <w:rFonts w:ascii="Times New Roman" w:eastAsia="宋体" w:hAnsi="Times New Roman" w:cs="Times New Roman"/>
          <w:kern w:val="0"/>
          <w:sz w:val="18"/>
          <w:szCs w:val="22"/>
          <w14:ligatures w14:val="none"/>
        </w:rPr>
        <w:t>SMD</w:t>
      </w:r>
      <w:r w:rsidRPr="007F20A5">
        <w:rPr>
          <w:rFonts w:ascii="Times New Roman" w:eastAsia="宋体" w:hAnsi="Times New Roman" w:cs="Times New Roman"/>
          <w:kern w:val="0"/>
          <w:sz w:val="18"/>
          <w:szCs w:val="22"/>
          <w14:ligatures w14:val="none"/>
        </w:rPr>
        <w:t>为标准化均值差异，连续变量采用</w:t>
      </w:r>
      <w:r w:rsidRPr="007F20A5">
        <w:rPr>
          <w:rFonts w:ascii="Times New Roman" w:eastAsia="宋体" w:hAnsi="Times New Roman" w:cs="Times New Roman"/>
          <w:kern w:val="0"/>
          <w:sz w:val="18"/>
          <w:szCs w:val="22"/>
          <w14:ligatures w14:val="none"/>
        </w:rPr>
        <w:lastRenderedPageBreak/>
        <w:t>Cohen’s d</w:t>
      </w:r>
      <w:r w:rsidRPr="007F20A5">
        <w:rPr>
          <w:rFonts w:ascii="Times New Roman" w:eastAsia="宋体" w:hAnsi="Times New Roman" w:cs="Times New Roman"/>
          <w:kern w:val="0"/>
          <w:sz w:val="18"/>
          <w:szCs w:val="22"/>
          <w14:ligatures w14:val="none"/>
        </w:rPr>
        <w:t>公式，二元变量采用合并标准差公式，绝对值越接近</w:t>
      </w:r>
      <w:r w:rsidRPr="007F20A5">
        <w:rPr>
          <w:rFonts w:ascii="Times New Roman" w:eastAsia="宋体" w:hAnsi="Times New Roman" w:cs="Times New Roman"/>
          <w:kern w:val="0"/>
          <w:sz w:val="18"/>
          <w:szCs w:val="22"/>
          <w14:ligatures w14:val="none"/>
        </w:rPr>
        <w:t>0</w:t>
      </w:r>
      <w:r w:rsidRPr="007F20A5">
        <w:rPr>
          <w:rFonts w:ascii="Times New Roman" w:eastAsia="宋体" w:hAnsi="Times New Roman" w:cs="Times New Roman"/>
          <w:kern w:val="0"/>
          <w:sz w:val="18"/>
          <w:szCs w:val="22"/>
          <w14:ligatures w14:val="none"/>
        </w:rPr>
        <w:t>表示两组基期差异越小。处理组为</w:t>
      </w:r>
      <w:r w:rsidRPr="007F20A5">
        <w:rPr>
          <w:rFonts w:ascii="Times New Roman" w:eastAsia="宋体" w:hAnsi="Times New Roman" w:cs="Times New Roman"/>
          <w:kern w:val="0"/>
          <w:sz w:val="18"/>
          <w:szCs w:val="22"/>
          <w14:ligatures w14:val="none"/>
        </w:rPr>
        <w:t>2011</w:t>
      </w:r>
      <w:r w:rsidRPr="007F20A5">
        <w:rPr>
          <w:rFonts w:ascii="Times New Roman" w:eastAsia="宋体" w:hAnsi="Times New Roman" w:cs="Times New Roman"/>
          <w:kern w:val="0"/>
          <w:sz w:val="18"/>
          <w:szCs w:val="22"/>
          <w14:ligatures w14:val="none"/>
        </w:rPr>
        <w:t>年居住于后续进入</w:t>
      </w:r>
      <w:r w:rsidRPr="007F20A5">
        <w:rPr>
          <w:rFonts w:ascii="Times New Roman" w:eastAsia="宋体" w:hAnsi="Times New Roman" w:cs="Times New Roman"/>
          <w:kern w:val="0"/>
          <w:sz w:val="18"/>
          <w:szCs w:val="22"/>
          <w14:ligatures w14:val="none"/>
        </w:rPr>
        <w:t>"</w:t>
      </w:r>
      <w:r w:rsidRPr="007F20A5">
        <w:rPr>
          <w:rFonts w:ascii="Times New Roman" w:eastAsia="宋体" w:hAnsi="Times New Roman" w:cs="Times New Roman"/>
          <w:kern w:val="0"/>
          <w:sz w:val="18"/>
          <w:szCs w:val="22"/>
          <w14:ligatures w14:val="none"/>
        </w:rPr>
        <w:t>宽带中国</w:t>
      </w:r>
      <w:r w:rsidRPr="007F20A5">
        <w:rPr>
          <w:rFonts w:ascii="Times New Roman" w:eastAsia="宋体" w:hAnsi="Times New Roman" w:cs="Times New Roman"/>
          <w:kern w:val="0"/>
          <w:sz w:val="18"/>
          <w:szCs w:val="22"/>
          <w14:ligatures w14:val="none"/>
        </w:rPr>
        <w:t>"</w:t>
      </w:r>
      <w:r w:rsidRPr="007F20A5">
        <w:rPr>
          <w:rFonts w:ascii="Times New Roman" w:eastAsia="宋体" w:hAnsi="Times New Roman" w:cs="Times New Roman"/>
          <w:kern w:val="0"/>
          <w:sz w:val="18"/>
          <w:szCs w:val="22"/>
          <w14:ligatures w14:val="none"/>
        </w:rPr>
        <w:t>示范城市的受访者（</w:t>
      </w:r>
      <w:r w:rsidRPr="007F20A5">
        <w:rPr>
          <w:rFonts w:ascii="Times New Roman" w:eastAsia="宋体" w:hAnsi="Times New Roman" w:cs="Times New Roman"/>
          <w:kern w:val="0"/>
          <w:sz w:val="18"/>
          <w:szCs w:val="22"/>
          <w14:ligatures w14:val="none"/>
        </w:rPr>
        <w:t>n=2,123</w:t>
      </w:r>
      <w:r w:rsidRPr="007F20A5">
        <w:rPr>
          <w:rFonts w:ascii="Times New Roman" w:eastAsia="宋体" w:hAnsi="Times New Roman" w:cs="Times New Roman"/>
          <w:kern w:val="0"/>
          <w:sz w:val="18"/>
          <w:szCs w:val="22"/>
          <w14:ligatures w14:val="none"/>
        </w:rPr>
        <w:t>），对照组为研究期间始终未受到政策处理城市的受访者（</w:t>
      </w:r>
      <w:r w:rsidRPr="007F20A5">
        <w:rPr>
          <w:rFonts w:ascii="Times New Roman" w:eastAsia="宋体" w:hAnsi="Times New Roman" w:cs="Times New Roman"/>
          <w:kern w:val="0"/>
          <w:sz w:val="18"/>
          <w:szCs w:val="22"/>
          <w14:ligatures w14:val="none"/>
        </w:rPr>
        <w:t>n=3,176</w:t>
      </w:r>
      <w:r w:rsidRPr="007F20A5">
        <w:rPr>
          <w:rFonts w:ascii="Times New Roman" w:eastAsia="宋体" w:hAnsi="Times New Roman" w:cs="Times New Roman"/>
          <w:kern w:val="0"/>
          <w:sz w:val="18"/>
          <w:szCs w:val="22"/>
          <w14:ligatures w14:val="none"/>
        </w:rPr>
        <w:t>）。</w:t>
      </w:r>
    </w:p>
    <w:p w14:paraId="24FD9D5E" w14:textId="77777777" w:rsidR="008F51EC" w:rsidRPr="007F20A5" w:rsidRDefault="008F51EC" w:rsidP="008F51EC">
      <w:pPr>
        <w:pStyle w:val="af2"/>
        <w:rPr>
          <w:rFonts w:hint="eastAsia"/>
        </w:rPr>
      </w:pPr>
    </w:p>
    <w:p w14:paraId="59D84E41" w14:textId="77777777" w:rsidR="00EE23F1" w:rsidRPr="00EE23F1" w:rsidRDefault="00EE23F1" w:rsidP="00EE23F1">
      <w:pPr>
        <w:widowControl/>
        <w:spacing w:before="240" w:after="80" w:line="276" w:lineRule="auto"/>
        <w:rPr>
          <w:rFonts w:ascii="Cambria" w:eastAsia="MS Mincho" w:hAnsi="Cambria" w:cs="Times New Roman"/>
          <w:kern w:val="0"/>
          <w:szCs w:val="22"/>
          <w14:ligatures w14:val="none"/>
        </w:rPr>
      </w:pPr>
      <w:r w:rsidRPr="00EE23F1">
        <w:rPr>
          <w:rFonts w:ascii="Times New Roman" w:eastAsia="黑体" w:hAnsi="Times New Roman" w:cs="Times New Roman"/>
          <w:b/>
          <w:kern w:val="0"/>
          <w:sz w:val="24"/>
          <w:szCs w:val="22"/>
          <w14:ligatures w14:val="none"/>
        </w:rPr>
        <w:t>表</w:t>
      </w:r>
      <w:r w:rsidRPr="00EE23F1">
        <w:rPr>
          <w:rFonts w:ascii="Times New Roman" w:eastAsia="黑体" w:hAnsi="Times New Roman" w:cs="Times New Roman"/>
          <w:b/>
          <w:kern w:val="0"/>
          <w:sz w:val="24"/>
          <w:szCs w:val="22"/>
          <w14:ligatures w14:val="none"/>
        </w:rPr>
        <w:t>2  "</w:t>
      </w:r>
      <w:r w:rsidRPr="00EE23F1">
        <w:rPr>
          <w:rFonts w:ascii="Times New Roman" w:eastAsia="黑体" w:hAnsi="Times New Roman" w:cs="Times New Roman"/>
          <w:b/>
          <w:kern w:val="0"/>
          <w:sz w:val="24"/>
          <w:szCs w:val="22"/>
          <w14:ligatures w14:val="none"/>
        </w:rPr>
        <w:t>宽带中国</w:t>
      </w:r>
      <w:r w:rsidRPr="00EE23F1">
        <w:rPr>
          <w:rFonts w:ascii="Times New Roman" w:eastAsia="黑体" w:hAnsi="Times New Roman" w:cs="Times New Roman"/>
          <w:b/>
          <w:kern w:val="0"/>
          <w:sz w:val="24"/>
          <w:szCs w:val="22"/>
          <w14:ligatures w14:val="none"/>
        </w:rPr>
        <w:t>"</w:t>
      </w:r>
      <w:r w:rsidRPr="00EE23F1">
        <w:rPr>
          <w:rFonts w:ascii="Times New Roman" w:eastAsia="黑体" w:hAnsi="Times New Roman" w:cs="Times New Roman"/>
          <w:b/>
          <w:kern w:val="0"/>
          <w:sz w:val="24"/>
          <w:szCs w:val="22"/>
          <w14:ligatures w14:val="none"/>
        </w:rPr>
        <w:t>政策对慢性病老年人健康的基准回归结果</w:t>
      </w:r>
    </w:p>
    <w:tbl>
      <w:tblPr>
        <w:tblW w:w="8503" w:type="dxa"/>
        <w:jc w:val="center"/>
        <w:tblBorders>
          <w:top w:val="nil"/>
          <w:left w:val="nil"/>
          <w:bottom w:val="nil"/>
          <w:right w:val="nil"/>
          <w:insideH w:val="nil"/>
          <w:insideV w:val="nil"/>
        </w:tblBorders>
        <w:tblLayout w:type="fixed"/>
        <w:tblLook w:val="04A0" w:firstRow="1" w:lastRow="0" w:firstColumn="1" w:lastColumn="0" w:noHBand="0" w:noVBand="1"/>
      </w:tblPr>
      <w:tblGrid>
        <w:gridCol w:w="2551"/>
        <w:gridCol w:w="1984"/>
        <w:gridCol w:w="1984"/>
        <w:gridCol w:w="1984"/>
      </w:tblGrid>
      <w:tr w:rsidR="00EE23F1" w:rsidRPr="00EE23F1" w14:paraId="32B71B73" w14:textId="77777777" w:rsidTr="00EE23F1">
        <w:trPr>
          <w:jc w:val="center"/>
        </w:trPr>
        <w:tc>
          <w:tcPr>
            <w:tcW w:w="2551" w:type="dxa"/>
            <w:tcBorders>
              <w:top w:val="single" w:sz="12" w:space="0" w:color="000000"/>
              <w:bottom w:val="single" w:sz="6" w:space="0" w:color="000000"/>
            </w:tcBorders>
            <w:vAlign w:val="center"/>
          </w:tcPr>
          <w:p w14:paraId="5A3EECDA"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变量</w:t>
            </w:r>
          </w:p>
        </w:tc>
        <w:tc>
          <w:tcPr>
            <w:tcW w:w="1984" w:type="dxa"/>
            <w:tcBorders>
              <w:top w:val="single" w:sz="12" w:space="0" w:color="000000"/>
              <w:bottom w:val="single" w:sz="6" w:space="0" w:color="000000"/>
            </w:tcBorders>
            <w:vAlign w:val="center"/>
          </w:tcPr>
          <w:p w14:paraId="3B114DD9"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 xml:space="preserve">(1) </w:t>
            </w:r>
            <w:r w:rsidRPr="00EE23F1">
              <w:rPr>
                <w:rFonts w:ascii="Times New Roman" w:eastAsia="宋体" w:hAnsi="Times New Roman" w:cs="Times New Roman"/>
                <w:b/>
                <w:kern w:val="0"/>
                <w:sz w:val="21"/>
                <w:szCs w:val="22"/>
                <w:lang w:eastAsia="en-US"/>
                <w14:ligatures w14:val="none"/>
              </w:rPr>
              <w:t>无控制变量</w:t>
            </w:r>
          </w:p>
        </w:tc>
        <w:tc>
          <w:tcPr>
            <w:tcW w:w="1984" w:type="dxa"/>
            <w:tcBorders>
              <w:top w:val="single" w:sz="12" w:space="0" w:color="000000"/>
              <w:bottom w:val="single" w:sz="6" w:space="0" w:color="000000"/>
            </w:tcBorders>
            <w:vAlign w:val="center"/>
          </w:tcPr>
          <w:p w14:paraId="21E451D4"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(2) 8</w:t>
            </w:r>
            <w:r w:rsidRPr="00EE23F1">
              <w:rPr>
                <w:rFonts w:ascii="Times New Roman" w:eastAsia="宋体" w:hAnsi="Times New Roman" w:cs="Times New Roman"/>
                <w:b/>
                <w:kern w:val="0"/>
                <w:sz w:val="21"/>
                <w:szCs w:val="22"/>
                <w:lang w:eastAsia="en-US"/>
                <w14:ligatures w14:val="none"/>
              </w:rPr>
              <w:t>个控制变量</w:t>
            </w:r>
          </w:p>
        </w:tc>
        <w:tc>
          <w:tcPr>
            <w:tcW w:w="1984" w:type="dxa"/>
            <w:tcBorders>
              <w:top w:val="single" w:sz="12" w:space="0" w:color="000000"/>
              <w:bottom w:val="single" w:sz="6" w:space="0" w:color="000000"/>
            </w:tcBorders>
            <w:vAlign w:val="center"/>
          </w:tcPr>
          <w:p w14:paraId="4F23FD3E"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(3) 12个控制变量</w:t>
            </w:r>
            <w:r w:rsidRPr="00EE23F1">
              <w:rPr>
                <w:rFonts w:ascii="Times New Roman" w:eastAsia="宋体" w:hAnsi="Times New Roman" w:cs="Times New Roman"/>
                <w:b/>
                <w:kern w:val="0"/>
                <w:sz w:val="21"/>
                <w:szCs w:val="22"/>
                <w:lang w:eastAsia="en-US"/>
                <w14:ligatures w14:val="none"/>
              </w:rPr>
            </w:r>
          </w:p>
        </w:tc>
      </w:tr>
      <w:tr w:rsidR="00EE23F1" w:rsidRPr="00EE23F1" w14:paraId="1BF2C284" w14:textId="77777777" w:rsidTr="00EE23F1">
        <w:trPr>
          <w:jc w:val="center"/>
        </w:trPr>
        <w:tc>
          <w:tcPr>
            <w:tcW w:w="2551" w:type="dxa"/>
            <w:vAlign w:val="center"/>
          </w:tcPr>
          <w:p w14:paraId="35A4E225" w14:textId="77777777" w:rsidR="00EE23F1" w:rsidRPr="00EE23F1" w:rsidRDefault="00EE23F1" w:rsidP="00EE23F1">
            <w:pPr>
              <w:widowControl/>
              <w:spacing w:after="200" w:line="276" w:lineRule="auto"/>
              <w:rPr>
                <w:rFonts w:ascii="Cambria" w:eastAsia="MS Mincho" w:hAnsi="Cambria" w:cs="Times New Roman"/>
                <w:kern w:val="0"/>
                <w:szCs w:val="22"/>
                <w14:ligatures w14:val="none"/>
              </w:rPr>
            </w:pPr>
            <w:r w:rsidRPr="00EE23F1">
              <w:rPr>
                <w:rFonts w:ascii="Times New Roman" w:eastAsia="宋体" w:hAnsi="Times New Roman" w:cs="Times New Roman"/>
                <w:b/>
                <w:kern w:val="0"/>
                <w:sz w:val="21"/>
                <w:szCs w:val="22"/>
                <w14:ligatures w14:val="none"/>
              </w:rPr>
              <w:t>综合健康指数（</w:t>
            </w:r>
            <w:r w:rsidRPr="00EE23F1">
              <w:rPr>
                <w:rFonts w:ascii="Times New Roman" w:eastAsia="宋体" w:hAnsi="Times New Roman" w:cs="Times New Roman"/>
                <w:b/>
                <w:kern w:val="0"/>
                <w:sz w:val="21"/>
                <w:szCs w:val="22"/>
                <w14:ligatures w14:val="none"/>
              </w:rPr>
              <w:t>CHI</w:t>
            </w:r>
            <w:r w:rsidRPr="00EE23F1">
              <w:rPr>
                <w:rFonts w:ascii="Times New Roman" w:eastAsia="宋体" w:hAnsi="Times New Roman" w:cs="Times New Roman"/>
                <w:b/>
                <w:kern w:val="0"/>
                <w:sz w:val="21"/>
                <w:szCs w:val="22"/>
                <w14:ligatures w14:val="none"/>
              </w:rPr>
              <w:t>）</w:t>
            </w:r>
          </w:p>
        </w:tc>
        <w:tc>
          <w:tcPr>
            <w:tcW w:w="1984" w:type="dxa"/>
            <w:vAlign w:val="center"/>
          </w:tcPr>
          <w:p w14:paraId="11847757"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0.0133***</w:t>
            </w:r>
          </w:p>
        </w:tc>
        <w:tc>
          <w:tcPr>
            <w:tcW w:w="1984" w:type="dxa"/>
            <w:vAlign w:val="center"/>
          </w:tcPr>
          <w:p w14:paraId="21E30C8A"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0.0127***</w:t>
            </w:r>
          </w:p>
        </w:tc>
        <w:tc>
          <w:tcPr>
            <w:tcW w:w="1984" w:type="dxa"/>
            <w:vAlign w:val="center"/>
          </w:tcPr>
          <w:p w14:paraId="1E64CBFF"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0.0130***</w:t>
            </w:r>
          </w:p>
        </w:tc>
      </w:tr>
      <w:tr w:rsidR="00EE23F1" w:rsidRPr="00EE23F1" w14:paraId="1F546A23" w14:textId="77777777" w:rsidTr="00EE23F1">
        <w:trPr>
          <w:jc w:val="center"/>
        </w:trPr>
        <w:tc>
          <w:tcPr>
            <w:tcW w:w="2551" w:type="dxa"/>
            <w:vAlign w:val="center"/>
          </w:tcPr>
          <w:p w14:paraId="4B1D035D"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p>
        </w:tc>
        <w:tc>
          <w:tcPr>
            <w:tcW w:w="1984" w:type="dxa"/>
            <w:vAlign w:val="center"/>
          </w:tcPr>
          <w:p w14:paraId="3316F694"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(0.0044)</w:t>
            </w:r>
          </w:p>
        </w:tc>
        <w:tc>
          <w:tcPr>
            <w:tcW w:w="1984" w:type="dxa"/>
            <w:vAlign w:val="center"/>
          </w:tcPr>
          <w:p w14:paraId="12FE65E8"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(0.0045)</w:t>
            </w:r>
          </w:p>
        </w:tc>
        <w:tc>
          <w:tcPr>
            <w:tcW w:w="1984" w:type="dxa"/>
            <w:vAlign w:val="center"/>
          </w:tcPr>
          <w:p w14:paraId="44983C77"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(0.0045)</w:t>
            </w:r>
          </w:p>
        </w:tc>
      </w:tr>
      <w:tr w:rsidR="00EE23F1" w:rsidRPr="00EE23F1" w14:paraId="36E80BD0" w14:textId="77777777" w:rsidTr="00EE23F1">
        <w:trPr>
          <w:jc w:val="center"/>
        </w:trPr>
        <w:tc>
          <w:tcPr>
            <w:tcW w:w="2551" w:type="dxa"/>
            <w:vAlign w:val="center"/>
          </w:tcPr>
          <w:p w14:paraId="04789071"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功能健康能力</w:t>
            </w:r>
          </w:p>
        </w:tc>
        <w:tc>
          <w:tcPr>
            <w:tcW w:w="1984" w:type="dxa"/>
            <w:vAlign w:val="center"/>
          </w:tcPr>
          <w:p w14:paraId="2049FCB8"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0.0193**</w:t>
            </w:r>
          </w:p>
        </w:tc>
        <w:tc>
          <w:tcPr>
            <w:tcW w:w="1984" w:type="dxa"/>
            <w:vAlign w:val="center"/>
          </w:tcPr>
          <w:p w14:paraId="5170E520"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0.0187**</w:t>
            </w:r>
          </w:p>
        </w:tc>
        <w:tc>
          <w:tcPr>
            <w:tcW w:w="1984" w:type="dxa"/>
            <w:vAlign w:val="center"/>
          </w:tcPr>
          <w:p w14:paraId="7312E4FF"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0.0202**</w:t>
            </w:r>
          </w:p>
        </w:tc>
      </w:tr>
      <w:tr w:rsidR="00EE23F1" w:rsidRPr="00EE23F1" w14:paraId="19041B9E" w14:textId="77777777" w:rsidTr="00EE23F1">
        <w:trPr>
          <w:jc w:val="center"/>
        </w:trPr>
        <w:tc>
          <w:tcPr>
            <w:tcW w:w="2551" w:type="dxa"/>
            <w:vAlign w:val="center"/>
          </w:tcPr>
          <w:p w14:paraId="7F1A0A18"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p>
        </w:tc>
        <w:tc>
          <w:tcPr>
            <w:tcW w:w="1984" w:type="dxa"/>
            <w:vAlign w:val="center"/>
          </w:tcPr>
          <w:p w14:paraId="25022B43"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(0.0074)</w:t>
            </w:r>
          </w:p>
        </w:tc>
        <w:tc>
          <w:tcPr>
            <w:tcW w:w="1984" w:type="dxa"/>
            <w:vAlign w:val="center"/>
          </w:tcPr>
          <w:p w14:paraId="5F427C95"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(0.0080)</w:t>
            </w:r>
          </w:p>
        </w:tc>
        <w:tc>
          <w:tcPr>
            <w:tcW w:w="1984" w:type="dxa"/>
            <w:vAlign w:val="center"/>
          </w:tcPr>
          <w:p w14:paraId="14B258C4"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(0.0082)</w:t>
            </w:r>
          </w:p>
        </w:tc>
      </w:tr>
      <w:tr w:rsidR="00EE23F1" w:rsidRPr="00EE23F1" w14:paraId="587CB0F2" w14:textId="77777777" w:rsidTr="00EE23F1">
        <w:trPr>
          <w:jc w:val="center"/>
        </w:trPr>
        <w:tc>
          <w:tcPr>
            <w:tcW w:w="2551" w:type="dxa"/>
            <w:vAlign w:val="center"/>
          </w:tcPr>
          <w:p w14:paraId="4DA429A8"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心理健康能力</w:t>
            </w:r>
          </w:p>
        </w:tc>
        <w:tc>
          <w:tcPr>
            <w:tcW w:w="1984" w:type="dxa"/>
            <w:vAlign w:val="center"/>
          </w:tcPr>
          <w:p w14:paraId="2DDEE0C8"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0.0072</w:t>
            </w:r>
          </w:p>
        </w:tc>
        <w:tc>
          <w:tcPr>
            <w:tcW w:w="1984" w:type="dxa"/>
            <w:vAlign w:val="center"/>
          </w:tcPr>
          <w:p w14:paraId="5A622ED3"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0.0113</w:t>
            </w:r>
          </w:p>
        </w:tc>
        <w:tc>
          <w:tcPr>
            <w:tcW w:w="1984" w:type="dxa"/>
            <w:vAlign w:val="center"/>
          </w:tcPr>
          <w:p w14:paraId="03AB2A26"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0.0111</w:t>
            </w:r>
          </w:p>
        </w:tc>
      </w:tr>
      <w:tr w:rsidR="00EE23F1" w:rsidRPr="00EE23F1" w14:paraId="4A136997" w14:textId="77777777" w:rsidTr="00EE23F1">
        <w:trPr>
          <w:jc w:val="center"/>
        </w:trPr>
        <w:tc>
          <w:tcPr>
            <w:tcW w:w="2551" w:type="dxa"/>
            <w:vAlign w:val="center"/>
          </w:tcPr>
          <w:p w14:paraId="429D1625"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p>
        </w:tc>
        <w:tc>
          <w:tcPr>
            <w:tcW w:w="1984" w:type="dxa"/>
            <w:vAlign w:val="center"/>
          </w:tcPr>
          <w:p w14:paraId="1F67684E"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(0.0072)</w:t>
            </w:r>
          </w:p>
        </w:tc>
        <w:tc>
          <w:tcPr>
            <w:tcW w:w="1984" w:type="dxa"/>
            <w:vAlign w:val="center"/>
          </w:tcPr>
          <w:p w14:paraId="5D192A29"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(0.0075)</w:t>
            </w:r>
          </w:p>
        </w:tc>
        <w:tc>
          <w:tcPr>
            <w:tcW w:w="1984" w:type="dxa"/>
            <w:vAlign w:val="center"/>
          </w:tcPr>
          <w:p w14:paraId="29735F15"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(0.0076)</w:t>
            </w:r>
          </w:p>
        </w:tc>
      </w:tr>
      <w:tr w:rsidR="00EE23F1" w:rsidRPr="00EE23F1" w14:paraId="062D192A" w14:textId="77777777" w:rsidTr="00EE23F1">
        <w:trPr>
          <w:jc w:val="center"/>
        </w:trPr>
        <w:tc>
          <w:tcPr>
            <w:tcW w:w="2551" w:type="dxa"/>
            <w:vAlign w:val="center"/>
          </w:tcPr>
          <w:p w14:paraId="65C6B233"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b/>
                <w:kern w:val="0"/>
                <w:sz w:val="21"/>
                <w:szCs w:val="22"/>
                <w:lang w:eastAsia="en-US"/>
                <w14:ligatures w14:val="none"/>
              </w:rPr>
              <w:t>自评健康能力</w:t>
            </w:r>
          </w:p>
        </w:tc>
        <w:tc>
          <w:tcPr>
            <w:tcW w:w="1984" w:type="dxa"/>
            <w:vAlign w:val="center"/>
          </w:tcPr>
          <w:p w14:paraId="12AF4165"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0.0064</w:t>
            </w:r>
          </w:p>
        </w:tc>
        <w:tc>
          <w:tcPr>
            <w:tcW w:w="1984" w:type="dxa"/>
            <w:vAlign w:val="center"/>
          </w:tcPr>
          <w:p w14:paraId="686C84A0"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-0.0022</w:t>
            </w:r>
          </w:p>
        </w:tc>
        <w:tc>
          <w:tcPr>
            <w:tcW w:w="1984" w:type="dxa"/>
            <w:vAlign w:val="center"/>
          </w:tcPr>
          <w:p w14:paraId="2628CC29"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-0.0011</w:t>
            </w:r>
          </w:p>
        </w:tc>
      </w:tr>
      <w:tr w:rsidR="00EE23F1" w:rsidRPr="00EE23F1" w14:paraId="2C244805" w14:textId="77777777" w:rsidTr="00EE23F1">
        <w:trPr>
          <w:jc w:val="center"/>
        </w:trPr>
        <w:tc>
          <w:tcPr>
            <w:tcW w:w="2551" w:type="dxa"/>
            <w:vAlign w:val="center"/>
          </w:tcPr>
          <w:p w14:paraId="0B2B12B0"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p>
        </w:tc>
        <w:tc>
          <w:tcPr>
            <w:tcW w:w="1984" w:type="dxa"/>
            <w:vAlign w:val="center"/>
          </w:tcPr>
          <w:p w14:paraId="0E78A6C8"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(0.0074)</w:t>
            </w:r>
          </w:p>
        </w:tc>
        <w:tc>
          <w:tcPr>
            <w:tcW w:w="1984" w:type="dxa"/>
            <w:vAlign w:val="center"/>
          </w:tcPr>
          <w:p w14:paraId="45A30D04"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(0.0090)</w:t>
            </w:r>
          </w:p>
        </w:tc>
        <w:tc>
          <w:tcPr>
            <w:tcW w:w="1984" w:type="dxa"/>
            <w:vAlign w:val="center"/>
          </w:tcPr>
          <w:p w14:paraId="1B371B70"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(0.0084)</w:t>
            </w:r>
          </w:p>
        </w:tc>
      </w:tr>
      <w:tr w:rsidR="00EE23F1" w:rsidRPr="00EE23F1" w14:paraId="5A11B4FD" w14:textId="77777777" w:rsidTr="00EE23F1">
        <w:trPr>
          <w:jc w:val="center"/>
        </w:trPr>
        <w:tc>
          <w:tcPr>
            <w:tcW w:w="2551" w:type="dxa"/>
            <w:vAlign w:val="center"/>
          </w:tcPr>
          <w:p w14:paraId="0B8A1741"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观察值</w:t>
            </w:r>
          </w:p>
        </w:tc>
        <w:tc>
          <w:tcPr>
            <w:tcW w:w="1984" w:type="dxa"/>
            <w:vAlign w:val="center"/>
          </w:tcPr>
          <w:p w14:paraId="4BAACDE3"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24539</w:t>
            </w:r>
          </w:p>
        </w:tc>
        <w:tc>
          <w:tcPr>
            <w:tcW w:w="1984" w:type="dxa"/>
            <w:vAlign w:val="center"/>
          </w:tcPr>
          <w:p w14:paraId="72A95CEC"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20245</w:t>
            </w:r>
          </w:p>
        </w:tc>
        <w:tc>
          <w:tcPr>
            <w:tcW w:w="1984" w:type="dxa"/>
            <w:vAlign w:val="center"/>
          </w:tcPr>
          <w:p w14:paraId="665EB34E"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20184a</w:t>
            </w:r>
          </w:p>
        </w:tc>
      </w:tr>
      <w:tr w:rsidR="00EE23F1" w:rsidRPr="00EE23F1" w14:paraId="5D09BED5" w14:textId="77777777" w:rsidTr="00EE23F1">
        <w:trPr>
          <w:jc w:val="center"/>
        </w:trPr>
        <w:tc>
          <w:tcPr>
            <w:tcW w:w="2551" w:type="dxa"/>
            <w:vAlign w:val="center"/>
          </w:tcPr>
          <w:p w14:paraId="74593F33"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个体数</w:t>
            </w:r>
          </w:p>
        </w:tc>
        <w:tc>
          <w:tcPr>
            <w:tcW w:w="1984" w:type="dxa"/>
            <w:vAlign w:val="center"/>
          </w:tcPr>
          <w:p w14:paraId="1EDA79F2"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5299</w:t>
            </w:r>
          </w:p>
        </w:tc>
        <w:tc>
          <w:tcPr>
            <w:tcW w:w="1984" w:type="dxa"/>
            <w:vAlign w:val="center"/>
          </w:tcPr>
          <w:p w14:paraId="3E84FA7A"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5299</w:t>
            </w:r>
          </w:p>
        </w:tc>
        <w:tc>
          <w:tcPr>
            <w:tcW w:w="1984" w:type="dxa"/>
            <w:vAlign w:val="center"/>
          </w:tcPr>
          <w:p w14:paraId="0E89F1B1"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5299</w:t>
            </w:r>
          </w:p>
        </w:tc>
      </w:tr>
      <w:tr w:rsidR="00EE23F1" w:rsidRPr="00EE23F1" w14:paraId="30E85BED" w14:textId="77777777" w:rsidTr="00EE23F1">
        <w:trPr>
          <w:jc w:val="center"/>
        </w:trPr>
        <w:tc>
          <w:tcPr>
            <w:tcW w:w="2551" w:type="dxa"/>
            <w:vAlign w:val="center"/>
          </w:tcPr>
          <w:p w14:paraId="1BD8B78F"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队列</w:t>
            </w:r>
            <w:r w:rsidRPr="00EE23F1">
              <w:rPr>
                <w:rFonts w:ascii="Times New Roman" w:eastAsia="宋体" w:hAnsi="Times New Roman" w:cs="Times New Roman"/>
                <w:kern w:val="0"/>
                <w:sz w:val="21"/>
                <w:szCs w:val="22"/>
                <w:lang w:eastAsia="en-US"/>
                <w14:ligatures w14:val="none"/>
              </w:rPr>
              <w:t>×</w:t>
            </w:r>
            <w:r w:rsidRPr="00EE23F1">
              <w:rPr>
                <w:rFonts w:ascii="Times New Roman" w:eastAsia="宋体" w:hAnsi="Times New Roman" w:cs="Times New Roman"/>
                <w:kern w:val="0"/>
                <w:sz w:val="21"/>
                <w:szCs w:val="22"/>
                <w:lang w:eastAsia="en-US"/>
                <w14:ligatures w14:val="none"/>
              </w:rPr>
              <w:t>个体固定效应</w:t>
            </w:r>
          </w:p>
        </w:tc>
        <w:tc>
          <w:tcPr>
            <w:tcW w:w="1984" w:type="dxa"/>
            <w:vAlign w:val="center"/>
          </w:tcPr>
          <w:p w14:paraId="6406B1ED"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vAlign w:val="center"/>
          </w:tcPr>
          <w:p w14:paraId="6FE4CE26"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vAlign w:val="center"/>
          </w:tcPr>
          <w:p w14:paraId="37C58E14"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r>
      <w:tr w:rsidR="00EE23F1" w:rsidRPr="00EE23F1" w14:paraId="4F39BD07" w14:textId="77777777" w:rsidTr="00EE23F1">
        <w:trPr>
          <w:jc w:val="center"/>
        </w:trPr>
        <w:tc>
          <w:tcPr>
            <w:tcW w:w="2551" w:type="dxa"/>
            <w:vAlign w:val="center"/>
          </w:tcPr>
          <w:p w14:paraId="5D1B5196"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队列</w:t>
            </w:r>
            <w:r w:rsidRPr="00EE23F1">
              <w:rPr>
                <w:rFonts w:ascii="Times New Roman" w:eastAsia="宋体" w:hAnsi="Times New Roman" w:cs="Times New Roman"/>
                <w:kern w:val="0"/>
                <w:sz w:val="21"/>
                <w:szCs w:val="22"/>
                <w:lang w:eastAsia="en-US"/>
                <w14:ligatures w14:val="none"/>
              </w:rPr>
              <w:t>×</w:t>
            </w:r>
            <w:r w:rsidRPr="00EE23F1">
              <w:rPr>
                <w:rFonts w:ascii="Times New Roman" w:eastAsia="宋体" w:hAnsi="Times New Roman" w:cs="Times New Roman"/>
                <w:kern w:val="0"/>
                <w:sz w:val="21"/>
                <w:szCs w:val="22"/>
                <w:lang w:eastAsia="en-US"/>
                <w14:ligatures w14:val="none"/>
              </w:rPr>
              <w:t>年份固定效应</w:t>
            </w:r>
          </w:p>
        </w:tc>
        <w:tc>
          <w:tcPr>
            <w:tcW w:w="1984" w:type="dxa"/>
            <w:vAlign w:val="center"/>
          </w:tcPr>
          <w:p w14:paraId="7C15D40F"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vAlign w:val="center"/>
          </w:tcPr>
          <w:p w14:paraId="6C754B38"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vAlign w:val="center"/>
          </w:tcPr>
          <w:p w14:paraId="6AD38247"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r>
      <w:tr w:rsidR="00EE23F1" w:rsidRPr="00EE23F1" w14:paraId="4AB26A65" w14:textId="77777777" w:rsidTr="00EE23F1">
        <w:trPr>
          <w:jc w:val="center"/>
        </w:trPr>
        <w:tc>
          <w:tcPr>
            <w:tcW w:w="2551" w:type="dxa"/>
            <w:tcBorders>
              <w:bottom w:val="single" w:sz="12" w:space="0" w:color="000000"/>
            </w:tcBorders>
            <w:vAlign w:val="center"/>
          </w:tcPr>
          <w:p w14:paraId="75158A49" w14:textId="77777777" w:rsidR="00EE23F1" w:rsidRPr="00EE23F1" w:rsidRDefault="00EE23F1" w:rsidP="00EE23F1">
            <w:pPr>
              <w:widowControl/>
              <w:spacing w:after="200" w:line="276" w:lineRule="auto"/>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城市聚类标准误</w:t>
            </w:r>
          </w:p>
        </w:tc>
        <w:tc>
          <w:tcPr>
            <w:tcW w:w="1984" w:type="dxa"/>
            <w:tcBorders>
              <w:bottom w:val="single" w:sz="12" w:space="0" w:color="000000"/>
            </w:tcBorders>
            <w:vAlign w:val="center"/>
          </w:tcPr>
          <w:p w14:paraId="5666FD11"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tcBorders>
              <w:bottom w:val="single" w:sz="12" w:space="0" w:color="000000"/>
            </w:tcBorders>
            <w:vAlign w:val="center"/>
          </w:tcPr>
          <w:p w14:paraId="48075A67"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c>
          <w:tcPr>
            <w:tcW w:w="1984" w:type="dxa"/>
            <w:tcBorders>
              <w:bottom w:val="single" w:sz="12" w:space="0" w:color="000000"/>
            </w:tcBorders>
            <w:vAlign w:val="center"/>
          </w:tcPr>
          <w:p w14:paraId="5D240A77" w14:textId="77777777" w:rsidR="00EE23F1" w:rsidRPr="00EE23F1" w:rsidRDefault="00EE23F1" w:rsidP="00EE23F1">
            <w:pPr>
              <w:widowControl/>
              <w:spacing w:after="200" w:line="276" w:lineRule="auto"/>
              <w:jc w:val="center"/>
              <w:rPr>
                <w:rFonts w:ascii="Cambria" w:eastAsia="MS Mincho" w:hAnsi="Cambria" w:cs="Times New Roman"/>
                <w:kern w:val="0"/>
                <w:szCs w:val="22"/>
                <w:lang w:eastAsia="en-US"/>
                <w14:ligatures w14:val="none"/>
              </w:rPr>
            </w:pPr>
            <w:r w:rsidRPr="00EE23F1">
              <w:rPr>
                <w:rFonts w:ascii="Times New Roman" w:eastAsia="宋体" w:hAnsi="Times New Roman" w:cs="Times New Roman"/>
                <w:kern w:val="0"/>
                <w:sz w:val="21"/>
                <w:szCs w:val="22"/>
                <w:lang w:eastAsia="en-US"/>
                <w14:ligatures w14:val="none"/>
              </w:rPr>
              <w:t>是</w:t>
            </w:r>
          </w:p>
        </w:tc>
      </w:tr>
    </w:tbl>
    <w:p w14:paraId="3A7274BB" w14:textId="2C9ADCCB" w:rsidR="00EE23F1" w:rsidRPr="00EE23F1" w:rsidRDefault="00EE23F1" w:rsidP="00EE23F1">
      <w:pPr>
        <w:widowControl/>
        <w:spacing w:before="40" w:after="320" w:line="276" w:lineRule="auto"/>
        <w:rPr>
          <w:rFonts w:ascii="Cambria" w:eastAsia="MS Mincho" w:hAnsi="Cambria" w:cs="Times New Roman" w:hint="eastAsia"/>
          <w:kern w:val="0"/>
          <w:szCs w:val="22"/>
          <w14:ligatures w14:val="none"/>
        </w:rPr>
      </w:pPr>
      <w:r w:rsidRPr="00EE23F1">
        <w:rPr>
          <w:rFonts w:ascii="Times New Roman" w:eastAsia="宋体" w:hAnsi="Times New Roman" w:cs="Times New Roman"/>
          <w:kern w:val="0"/>
          <w:sz w:val="18"/>
          <w:szCs w:val="22"/>
          <w14:ligatures w14:val="none"/>
        </w:rPr>
        <w:t>注：括号内为城市层面聚类稳健标准误。样本为</w:t>
      </w:r>
      <w:r w:rsidRPr="00EE23F1">
        <w:rPr>
          <w:rFonts w:ascii="Times New Roman" w:eastAsia="宋体" w:hAnsi="Times New Roman" w:cs="Times New Roman"/>
          <w:kern w:val="0"/>
          <w:sz w:val="18"/>
          <w:szCs w:val="22"/>
          <w14:ligatures w14:val="none"/>
        </w:rPr>
        <w:t>CHARLS 2011—2018</w:t>
      </w:r>
      <w:r w:rsidRPr="00EE23F1">
        <w:rPr>
          <w:rFonts w:ascii="Times New Roman" w:eastAsia="宋体" w:hAnsi="Times New Roman" w:cs="Times New Roman"/>
          <w:kern w:val="0"/>
          <w:sz w:val="18"/>
          <w:szCs w:val="22"/>
          <w14:ligatures w14:val="none"/>
        </w:rPr>
        <w:t>年基期（</w:t>
      </w:r>
      <w:r w:rsidRPr="00EE23F1">
        <w:rPr>
          <w:rFonts w:ascii="Times New Roman" w:eastAsia="宋体" w:hAnsi="Times New Roman" w:cs="Times New Roman"/>
          <w:kern w:val="0"/>
          <w:sz w:val="18"/>
          <w:szCs w:val="22"/>
          <w14:ligatures w14:val="none"/>
        </w:rPr>
        <w:t>2011</w:t>
      </w:r>
      <w:r w:rsidRPr="00EE23F1">
        <w:rPr>
          <w:rFonts w:ascii="Times New Roman" w:eastAsia="宋体" w:hAnsi="Times New Roman" w:cs="Times New Roman"/>
          <w:kern w:val="0"/>
          <w:sz w:val="18"/>
          <w:szCs w:val="22"/>
          <w14:ligatures w14:val="none"/>
        </w:rPr>
        <w:t>年）年龄</w:t>
      </w:r>
      <w:r w:rsidRPr="00EE23F1">
        <w:rPr>
          <w:rFonts w:ascii="Times New Roman" w:eastAsia="宋体" w:hAnsi="Times New Roman" w:cs="Times New Roman"/>
          <w:kern w:val="0"/>
          <w:sz w:val="18"/>
          <w:szCs w:val="22"/>
          <w14:ligatures w14:val="none"/>
        </w:rPr>
        <w:t>≥60</w:t>
      </w:r>
      <w:r w:rsidRPr="00EE23F1">
        <w:rPr>
          <w:rFonts w:ascii="Times New Roman" w:eastAsia="宋体" w:hAnsi="Times New Roman" w:cs="Times New Roman"/>
          <w:kern w:val="0"/>
          <w:sz w:val="18"/>
          <w:szCs w:val="22"/>
          <w14:ligatures w14:val="none"/>
        </w:rPr>
        <w:t>岁且患慢性病的老年人。</w:t>
      </w:r>
      <w:r w:rsidRPr="00EE23F1">
        <w:rPr>
          <w:rFonts w:ascii="Times New Roman" w:eastAsia="宋体" w:hAnsi="Times New Roman" w:cs="Times New Roman"/>
          <w:kern w:val="0"/>
          <w:sz w:val="18"/>
          <w:szCs w:val="22"/>
          <w:lang w:eastAsia="en-US"/>
          <w14:ligatures w14:val="none"/>
        </w:rPr>
        <w:t>估计方法为堆叠双重差分（</w:t>
      </w:r>
      <w:r w:rsidRPr="00EE23F1">
        <w:rPr>
          <w:rFonts w:ascii="Times New Roman" w:eastAsia="宋体" w:hAnsi="Times New Roman" w:cs="Times New Roman"/>
          <w:kern w:val="0"/>
          <w:sz w:val="18"/>
          <w:szCs w:val="22"/>
          <w:lang w:eastAsia="en-US"/>
          <w14:ligatures w14:val="none"/>
        </w:rPr>
        <w:t>Stacked DID</w:t>
      </w:r>
      <w:r w:rsidRPr="00EE23F1">
        <w:rPr>
          <w:rFonts w:ascii="Times New Roman" w:eastAsia="宋体" w:hAnsi="Times New Roman" w:cs="Times New Roman"/>
          <w:kern w:val="0"/>
          <w:sz w:val="18"/>
          <w:szCs w:val="22"/>
          <w:lang w:eastAsia="en-US"/>
          <w14:ligatures w14:val="none"/>
        </w:rPr>
        <w:t>）。</w:t>
      </w:r>
      <w:r w:rsidRPr="00EE23F1">
        <w:rPr>
          <w:rFonts w:ascii="Times New Roman" w:eastAsia="宋体" w:hAnsi="Times New Roman" w:cs="Times New Roman"/>
          <w:kern w:val="0"/>
          <w:sz w:val="18"/>
          <w:szCs w:val="22"/>
          <w:lang w:eastAsia="en-US"/>
          <w14:ligatures w14:val="none"/>
        </w:rPr>
        <w:t>*** p&lt;0.01, ** p&lt;0.05, * p&lt;0.1</w:t>
      </w:r>
      <w:r w:rsidRPr="00EE23F1">
        <w:rPr>
          <w:rFonts w:ascii="Times New Roman" w:eastAsia="宋体" w:hAnsi="Times New Roman" w:cs="Times New Roman"/>
          <w:kern w:val="0"/>
          <w:sz w:val="18"/>
          <w:szCs w:val="22"/>
          <w:lang w:eastAsia="en-US"/>
          <w14:ligatures w14:val="none"/>
        </w:rPr>
        <w:t>。</w:t>
      </w:r>
    </w:p>
    <w:p w14:paraId="2F079574" w14:textId="71A79EE4" w:rsidR="00AE1FA9" w:rsidRDefault="008944E6" w:rsidP="008F51EC">
      <w:pPr>
        <w:pStyle w:val="af2"/>
      </w:pPr>
      <w:r>
        <w:rPr>
          <w:rStyle w:val="af3"/>
        </w:rPr>
        <w:t>注：</w:t>
      </w:r>
      <w:r>
        <w:t xml:space="preserve"> 括号内为城市层面聚类稳健标准误。所有模型均控制队列×个体固定效应和队列×年份固定效应。控制变量均采用2011年基期值。列（2）为本文基准控制变量规格，包含年龄、性别、城乡、教育水平、婚姻状况、家庭人均消费、慢性病数量和城市人均GDP；列（3）进一步加入吸烟、饮酒、医疗保险和子女数量。</w:t>
      </w:r>
      <w:r w:rsidR="00826A4F" w:rsidRPr="00826A4F">
        <w:t>注：所有模型均基于堆叠双重差分框架估计，并包含队列×个体固定效应和队列×年份固定效应。标准误在城市层面聚类。处理变量系数反映“宽带中国”政策对相应健康结果的平均处理效应；对于包含基期控制变量交互项的模型，报告的处理效应按照控制变量样本均值计算。</w:t>
      </w:r>
      <w:r>
        <w:t xml:space="preserve"> a列（3）观察值以综合健康指数为基准；功能健康N=22460，心理健康N=20238，自评健康N=21157。个体数为2011年基期慢性病样本人数（5299）。</w:t>
      </w:r>
    </w:p>
    <w:p w14:paraId="317DFA03" w14:textId="77777777" w:rsidR="005012A7" w:rsidRDefault="005012A7" w:rsidP="008F51EC">
      <w:pPr>
        <w:pStyle w:val="af2"/>
      </w:pPr>
    </w:p>
    <w:p w14:paraId="4CC276E2" w14:textId="4B82C52F" w:rsidR="005012A7" w:rsidRDefault="005012A7" w:rsidP="008F51EC">
      <w:pPr>
        <w:pStyle w:val="af2"/>
        <w:rPr>
          <w:rFonts w:hint="eastAsia"/>
        </w:rPr>
      </w:pPr>
      <w:r>
        <w:rPr>
          <w:rFonts w:hint="eastAsia"/>
        </w:rPr>
        <w:t>平行趋势检验</w:t>
      </w:r>
      <w:r w:rsidR="00183291">
        <w:rPr>
          <w:rFonts w:hint="eastAsia"/>
        </w:rPr>
        <w:t>、安慰剂检验、PSM-DID</w:t>
      </w:r>
    </w:p>
    <w:p w14:paraId="28D2ADEA" w14:textId="77777777" w:rsidR="00DE1C88" w:rsidRPr="00C84673" w:rsidRDefault="00DE1C88" w:rsidP="008F51EC">
      <w:pPr>
        <w:pStyle w:val="af2"/>
        <w:rPr>
          <w:rFonts w:hint="eastAsia"/>
          <w:b/>
          <w:bCs/>
          <w:kern w:val="36"/>
          <w:sz w:val="28"/>
          <w:szCs w:val="28"/>
        </w:rPr>
      </w:pPr>
    </w:p>
    <w:sectPr w:rsidR="00DE1C88" w:rsidRPr="00C8467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海岚 赵" w:date="2026-09-05T18:05:00Z" w:initials="海赵">
    <w:p w14:paraId="742754BD" w14:textId="77777777" w:rsidR="00186167" w:rsidRDefault="00186167" w:rsidP="00186167">
      <w:pPr>
        <w:pStyle w:val="af5"/>
        <w:rPr>
          <w:rFonts w:hint="eastAsia"/>
        </w:rPr>
      </w:pPr>
      <w:r>
        <w:rPr>
          <w:rStyle w:val="af4"/>
          <w:rFonts w:hint="eastAsia"/>
        </w:rPr>
        <w:annotationRef/>
      </w:r>
      <w:hyperlink r:id="rId1" w:history="1">
        <w:r w:rsidRPr="004478FA">
          <w:rPr>
            <w:rStyle w:val="af9"/>
          </w:rPr>
          <w:t>https://pubmed.ncbi.nlm.nih.gov/41993042/</w:t>
        </w:r>
      </w:hyperlink>
    </w:p>
  </w:comment>
  <w:comment w:id="1" w:author="海岚 赵" w:date="2026-09-05T18:06:00Z" w:initials="海赵">
    <w:p w14:paraId="47E3D8A3" w14:textId="77777777" w:rsidR="00186167" w:rsidRDefault="00186167" w:rsidP="00186167">
      <w:pPr>
        <w:pStyle w:val="af5"/>
        <w:rPr>
          <w:rFonts w:hint="eastAsia"/>
        </w:rPr>
      </w:pPr>
      <w:r>
        <w:rPr>
          <w:rStyle w:val="af4"/>
          <w:rFonts w:hint="eastAsia"/>
        </w:rPr>
        <w:annotationRef/>
      </w:r>
      <w:hyperlink r:id="rId2" w:history="1">
        <w:r w:rsidRPr="00C54834">
          <w:rPr>
            <w:rStyle w:val="af9"/>
          </w:rPr>
          <w:t>https://pmc.ncbi.nlm.nih.gov/articles/PMC12464506/?utm_source=chatgpt.com</w:t>
        </w:r>
      </w:hyperlink>
    </w:p>
  </w:comment>
  <w:comment w:id="2" w:author="海岚 赵" w:date="2026-09-05T19:03:00Z" w:initials="海赵">
    <w:p w14:paraId="6EF39B20" w14:textId="77777777" w:rsidR="00C83157" w:rsidRDefault="00C83157" w:rsidP="00C83157">
      <w:pPr>
        <w:pStyle w:val="af5"/>
        <w:rPr>
          <w:rFonts w:hint="eastAsia"/>
        </w:rPr>
      </w:pPr>
      <w:r>
        <w:rPr>
          <w:rStyle w:val="af4"/>
          <w:rFonts w:hint="eastAsia"/>
        </w:rPr>
        <w:annotationRef/>
      </w:r>
      <w:hyperlink r:id="rId3" w:history="1">
        <w:r w:rsidRPr="00933C85">
          <w:rPr>
            <w:rStyle w:val="af9"/>
          </w:rPr>
          <w:t>https://reference-global.com/article/10.2478/nor-2025-0012?utm_source=chatgpt.com</w:t>
        </w:r>
      </w:hyperlink>
    </w:p>
  </w:comment>
  <w:comment w:id="3" w:author="海岚 赵" w:date="2026-09-06T19:42:00Z" w:initials="海赵">
    <w:p w14:paraId="7EBC3295" w14:textId="77777777" w:rsidR="00542A3C" w:rsidRDefault="00542A3C" w:rsidP="00542A3C">
      <w:pPr>
        <w:pStyle w:val="af5"/>
        <w:rPr>
          <w:rFonts w:hint="eastAsia"/>
        </w:rPr>
      </w:pPr>
      <w:r>
        <w:rPr>
          <w:rStyle w:val="af4"/>
          <w:rFonts w:hint="eastAsia"/>
        </w:rPr>
        <w:annotationRef/>
      </w:r>
      <w:hyperlink r:id="rId4" w:history="1">
        <w:r w:rsidRPr="001C7BC8">
          <w:rPr>
            <w:rStyle w:val="af9"/>
          </w:rPr>
          <w:t>https://www.who.int/news-room/questions-and-answers/item/healthy-ageing-and-functional-ability?utm_source=chatgpt.com</w:t>
        </w:r>
      </w:hyperlink>
    </w:p>
  </w:comment>
  <w:comment w:id="4" w:author="海岚 赵" w:date="2026-09-06T15:19:00Z" w:initials="海赵">
    <w:p w14:paraId="7B97C8DB" w14:textId="77777777" w:rsidR="00AD509E" w:rsidRDefault="00AD509E" w:rsidP="00AD509E">
      <w:pPr>
        <w:pStyle w:val="af5"/>
        <w:rPr>
          <w:rFonts w:hint="eastAsia"/>
        </w:rPr>
      </w:pPr>
      <w:r>
        <w:rPr>
          <w:rStyle w:val="af4"/>
          <w:rFonts w:hint="eastAsia"/>
        </w:rPr>
        <w:annotationRef/>
      </w:r>
      <w:hyperlink r:id="rId5" w:history="1">
        <w:r w:rsidRPr="004D090E">
          <w:rPr>
            <w:rStyle w:val="af9"/>
          </w:rPr>
          <w:t>https://pmc.ncbi.nlm.nih.gov/articles/PMC10661850/?utm_source=chatgpt.com</w:t>
        </w:r>
      </w:hyperlink>
    </w:p>
  </w:comment>
  <w:comment w:id="5" w:author="海岚 赵" w:date="2026-09-06T19:25:00Z" w:initials="海赵">
    <w:p w14:paraId="121D667A" w14:textId="77777777" w:rsidR="00DD4A49" w:rsidRDefault="00DD4A49" w:rsidP="00DD4A49">
      <w:pPr>
        <w:pStyle w:val="af5"/>
        <w:rPr>
          <w:rFonts w:hint="eastAsia"/>
        </w:rPr>
      </w:pPr>
      <w:r>
        <w:rPr>
          <w:rStyle w:val="af4"/>
          <w:rFonts w:hint="eastAsia"/>
        </w:rPr>
        <w:annotationRef/>
      </w:r>
      <w:hyperlink r:id="rId6" w:history="1">
        <w:r w:rsidRPr="00713E65">
          <w:rPr>
            <w:rStyle w:val="af9"/>
          </w:rPr>
          <w:t>https://jamanetwork.com/journals/jamainternalmedicine/fullarticle/1105625?utm_source=chatgpt.com</w:t>
        </w:r>
      </w:hyperlink>
    </w:p>
  </w:comment>
  <w:comment w:id="6" w:author="海岚 赵" w:date="2026-09-08T15:36:00Z" w:initials="海赵">
    <w:p w14:paraId="495E1F48" w14:textId="77777777" w:rsidR="005A4D4C" w:rsidRDefault="005A4D4C" w:rsidP="005A4D4C">
      <w:pPr>
        <w:pStyle w:val="af5"/>
      </w:pPr>
      <w:r>
        <w:rPr>
          <w:rStyle w:val="af4"/>
          <w:rFonts w:hint="eastAsia"/>
        </w:rPr>
        <w:annotationRef/>
      </w:r>
      <w:hyperlink r:id="rId7" w:history="1">
        <w:r w:rsidRPr="00115FFE">
          <w:rPr>
            <w:rStyle w:val="af9"/>
          </w:rPr>
          <w:t>https://www.sciencedirect.com/science/article/abs/pii/S0304407621001445?via%3Dihub</w:t>
        </w:r>
      </w:hyperlink>
    </w:p>
  </w:comment>
  <w:comment w:id="7" w:author="海岚 赵" w:date="2026-09-08T15:37:00Z" w:initials="海赵">
    <w:p w14:paraId="716AC296" w14:textId="77777777" w:rsidR="005A4D4C" w:rsidRDefault="005A4D4C" w:rsidP="005A4D4C">
      <w:pPr>
        <w:pStyle w:val="af5"/>
      </w:pPr>
      <w:r>
        <w:rPr>
          <w:rStyle w:val="af4"/>
          <w:rFonts w:hint="eastAsia"/>
        </w:rPr>
        <w:annotationRef/>
      </w:r>
      <w:hyperlink r:id="rId8" w:history="1">
        <w:r w:rsidRPr="00C85B05">
          <w:rPr>
            <w:rStyle w:val="af9"/>
          </w:rPr>
          <w:t>https://www.aeaweb.org/articles?id=10.1257%2Faer.20181169&amp;utm_source=chatgpt.com</w:t>
        </w:r>
      </w:hyperlink>
    </w:p>
  </w:comment>
  <w:comment w:id="8" w:author="海岚 赵" w:date="2026-09-08T16:05:00Z" w:initials="海赵">
    <w:p w14:paraId="15548666" w14:textId="29D1EC2A" w:rsidR="005B465B" w:rsidRDefault="005B465B" w:rsidP="005B465B">
      <w:pPr>
        <w:pStyle w:val="af5"/>
      </w:pPr>
      <w:r>
        <w:rPr>
          <w:rStyle w:val="af4"/>
          <w:rFonts w:hint="eastAsia"/>
        </w:rPr>
        <w:annotationRef/>
      </w:r>
      <w:r>
        <w:rPr>
          <w:noProof/>
        </w:rPr>
        <w:drawing>
          <wp:inline distT="0" distB="0" distL="0" distR="0" wp14:anchorId="755DE391" wp14:editId="19525FA7">
            <wp:extent cx="5248313" cy="4867311"/>
            <wp:effectExtent l="0" t="0" r="0" b="9525"/>
            <wp:docPr id="32645723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7231" name="图片 326457231" descr="Image"/>
                    <pic:cNvPicPr/>
                  </pic:nvPicPr>
                  <pic:blipFill>
                    <a:blip r:embed="rId9">
                      <a:extLst>
                        <a:ext uri="{28A0092B-C50C-407E-A947-70E740481C1C}">
                          <a14:useLocalDpi xmlns:a14="http://schemas.microsoft.com/office/drawing/2010/main" val="0"/>
                        </a:ext>
                      </a:extLst>
                    </a:blip>
                    <a:stretch>
                      <a:fillRect/>
                    </a:stretch>
                  </pic:blipFill>
                  <pic:spPr>
                    <a:xfrm>
                      <a:off x="0" y="0"/>
                      <a:ext cx="5248313" cy="4867311"/>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2754BD" w15:done="0"/>
  <w15:commentEx w15:paraId="47E3D8A3" w15:done="0"/>
  <w15:commentEx w15:paraId="6EF39B20" w15:done="0"/>
  <w15:commentEx w15:paraId="7EBC3295" w15:done="0"/>
  <w15:commentEx w15:paraId="7B97C8DB" w15:done="0"/>
  <w15:commentEx w15:paraId="121D667A" w15:done="0"/>
  <w15:commentEx w15:paraId="495E1F48" w15:done="0"/>
  <w15:commentEx w15:paraId="716AC296" w15:paraIdParent="495E1F48" w15:done="0"/>
  <w15:commentEx w15:paraId="155486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5AB4A" w16cex:dateUtc="2026-09-05T10:05:00Z"/>
  <w16cex:commentExtensible w16cex:durableId="01DA55F3" w16cex:dateUtc="2026-09-05T10:06:00Z"/>
  <w16cex:commentExtensible w16cex:durableId="2B4F86D1" w16cex:dateUtc="2026-09-05T11:03:00Z"/>
  <w16cex:commentExtensible w16cex:durableId="680D0340" w16cex:dateUtc="2026-09-06T11:42:00Z"/>
  <w16cex:commentExtensible w16cex:durableId="4D76A37B" w16cex:dateUtc="2026-09-06T07:19:00Z"/>
  <w16cex:commentExtensible w16cex:durableId="4A4F56FB" w16cex:dateUtc="2026-09-06T11:25:00Z"/>
  <w16cex:commentExtensible w16cex:durableId="404874BD" w16cex:dateUtc="2026-09-08T07:36:00Z"/>
  <w16cex:commentExtensible w16cex:durableId="63C27E8C" w16cex:dateUtc="2026-09-08T07:37:00Z"/>
  <w16cex:commentExtensible w16cex:durableId="2BD05DA0" w16cex:dateUtc="2026-09-08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2754BD" w16cid:durableId="2BC5AB4A"/>
  <w16cid:commentId w16cid:paraId="47E3D8A3" w16cid:durableId="01DA55F3"/>
  <w16cid:commentId w16cid:paraId="6EF39B20" w16cid:durableId="2B4F86D1"/>
  <w16cid:commentId w16cid:paraId="7EBC3295" w16cid:durableId="680D0340"/>
  <w16cid:commentId w16cid:paraId="7B97C8DB" w16cid:durableId="4D76A37B"/>
  <w16cid:commentId w16cid:paraId="121D667A" w16cid:durableId="4A4F56FB"/>
  <w16cid:commentId w16cid:paraId="495E1F48" w16cid:durableId="404874BD"/>
  <w16cid:commentId w16cid:paraId="716AC296" w16cid:durableId="63C27E8C"/>
  <w16cid:commentId w16cid:paraId="15548666" w16cid:durableId="2BD05D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BAC2" w14:textId="77777777" w:rsidR="007C367D" w:rsidRDefault="007C367D" w:rsidP="002D6697">
      <w:pPr>
        <w:spacing w:after="0" w:line="240" w:lineRule="auto"/>
        <w:rPr>
          <w:rFonts w:hint="eastAsia"/>
        </w:rPr>
      </w:pPr>
      <w:r>
        <w:separator/>
      </w:r>
    </w:p>
  </w:endnote>
  <w:endnote w:type="continuationSeparator" w:id="0">
    <w:p w14:paraId="42A561E5" w14:textId="77777777" w:rsidR="007C367D" w:rsidRDefault="007C367D" w:rsidP="002D66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98C98" w14:textId="77777777" w:rsidR="007C367D" w:rsidRDefault="007C367D" w:rsidP="002D6697">
      <w:pPr>
        <w:spacing w:after="0" w:line="240" w:lineRule="auto"/>
        <w:rPr>
          <w:rFonts w:hint="eastAsia"/>
        </w:rPr>
      </w:pPr>
      <w:r>
        <w:separator/>
      </w:r>
    </w:p>
  </w:footnote>
  <w:footnote w:type="continuationSeparator" w:id="0">
    <w:p w14:paraId="70B56974" w14:textId="77777777" w:rsidR="007C367D" w:rsidRDefault="007C367D" w:rsidP="002D66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867CD"/>
    <w:multiLevelType w:val="multilevel"/>
    <w:tmpl w:val="C48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8024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海岚 赵">
    <w15:presenceInfo w15:providerId="Windows Live" w15:userId="0df4efb1eefb69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A4"/>
    <w:rsid w:val="00033816"/>
    <w:rsid w:val="00056B60"/>
    <w:rsid w:val="00075A60"/>
    <w:rsid w:val="00083294"/>
    <w:rsid w:val="00087225"/>
    <w:rsid w:val="000922E2"/>
    <w:rsid w:val="000B3561"/>
    <w:rsid w:val="000C0BCF"/>
    <w:rsid w:val="000F1D64"/>
    <w:rsid w:val="00115F8B"/>
    <w:rsid w:val="00116DEA"/>
    <w:rsid w:val="00134653"/>
    <w:rsid w:val="00137332"/>
    <w:rsid w:val="00146786"/>
    <w:rsid w:val="00154E12"/>
    <w:rsid w:val="001550A7"/>
    <w:rsid w:val="00156AD3"/>
    <w:rsid w:val="00161B5F"/>
    <w:rsid w:val="0016545C"/>
    <w:rsid w:val="00183291"/>
    <w:rsid w:val="00186167"/>
    <w:rsid w:val="001C3FFF"/>
    <w:rsid w:val="001E0899"/>
    <w:rsid w:val="00212BF3"/>
    <w:rsid w:val="00213AC3"/>
    <w:rsid w:val="002175B1"/>
    <w:rsid w:val="002220DF"/>
    <w:rsid w:val="00223BFE"/>
    <w:rsid w:val="0023072D"/>
    <w:rsid w:val="002323CC"/>
    <w:rsid w:val="00243AB7"/>
    <w:rsid w:val="0024548C"/>
    <w:rsid w:val="00245C89"/>
    <w:rsid w:val="00261B38"/>
    <w:rsid w:val="00272D9F"/>
    <w:rsid w:val="00275874"/>
    <w:rsid w:val="00286BC3"/>
    <w:rsid w:val="002C10A3"/>
    <w:rsid w:val="002D6697"/>
    <w:rsid w:val="00300261"/>
    <w:rsid w:val="003129DF"/>
    <w:rsid w:val="00335A8F"/>
    <w:rsid w:val="003743D9"/>
    <w:rsid w:val="00387CA4"/>
    <w:rsid w:val="003913CB"/>
    <w:rsid w:val="003923B4"/>
    <w:rsid w:val="003B33C8"/>
    <w:rsid w:val="003D7AAB"/>
    <w:rsid w:val="003E101A"/>
    <w:rsid w:val="003E1D64"/>
    <w:rsid w:val="003E575E"/>
    <w:rsid w:val="003F183D"/>
    <w:rsid w:val="00404530"/>
    <w:rsid w:val="00412BD6"/>
    <w:rsid w:val="00416C48"/>
    <w:rsid w:val="00420B60"/>
    <w:rsid w:val="004260D2"/>
    <w:rsid w:val="00426A1F"/>
    <w:rsid w:val="004278EB"/>
    <w:rsid w:val="00431713"/>
    <w:rsid w:val="00462102"/>
    <w:rsid w:val="004709F0"/>
    <w:rsid w:val="00471AB4"/>
    <w:rsid w:val="004739AF"/>
    <w:rsid w:val="00473E10"/>
    <w:rsid w:val="0047473F"/>
    <w:rsid w:val="00474775"/>
    <w:rsid w:val="00477BC8"/>
    <w:rsid w:val="00482638"/>
    <w:rsid w:val="00484BF6"/>
    <w:rsid w:val="00493B65"/>
    <w:rsid w:val="004B7698"/>
    <w:rsid w:val="004B7DAF"/>
    <w:rsid w:val="004C6A5C"/>
    <w:rsid w:val="004F1C80"/>
    <w:rsid w:val="005012A7"/>
    <w:rsid w:val="005030EC"/>
    <w:rsid w:val="00526C2B"/>
    <w:rsid w:val="00542A3C"/>
    <w:rsid w:val="00555034"/>
    <w:rsid w:val="00567A8E"/>
    <w:rsid w:val="005736CD"/>
    <w:rsid w:val="005A4D4C"/>
    <w:rsid w:val="005B465B"/>
    <w:rsid w:val="005B72CF"/>
    <w:rsid w:val="005C5B99"/>
    <w:rsid w:val="005E49EF"/>
    <w:rsid w:val="00612795"/>
    <w:rsid w:val="00626B68"/>
    <w:rsid w:val="00655466"/>
    <w:rsid w:val="006766CD"/>
    <w:rsid w:val="00681D3C"/>
    <w:rsid w:val="00682364"/>
    <w:rsid w:val="00694E62"/>
    <w:rsid w:val="006D1B78"/>
    <w:rsid w:val="006E4D5E"/>
    <w:rsid w:val="00772A37"/>
    <w:rsid w:val="007906E2"/>
    <w:rsid w:val="00793C4F"/>
    <w:rsid w:val="00793F6C"/>
    <w:rsid w:val="00796174"/>
    <w:rsid w:val="00797E7B"/>
    <w:rsid w:val="007A340B"/>
    <w:rsid w:val="007B6E7F"/>
    <w:rsid w:val="007C367D"/>
    <w:rsid w:val="007C7F46"/>
    <w:rsid w:val="007E7337"/>
    <w:rsid w:val="007F20A5"/>
    <w:rsid w:val="00812F08"/>
    <w:rsid w:val="00826A4F"/>
    <w:rsid w:val="00832902"/>
    <w:rsid w:val="0083722A"/>
    <w:rsid w:val="00840425"/>
    <w:rsid w:val="00841FCE"/>
    <w:rsid w:val="00842540"/>
    <w:rsid w:val="0084558C"/>
    <w:rsid w:val="008944E6"/>
    <w:rsid w:val="00897548"/>
    <w:rsid w:val="008B2A78"/>
    <w:rsid w:val="008B50D9"/>
    <w:rsid w:val="008E5513"/>
    <w:rsid w:val="008E6380"/>
    <w:rsid w:val="008F51EC"/>
    <w:rsid w:val="008F678D"/>
    <w:rsid w:val="00923A4A"/>
    <w:rsid w:val="00935D39"/>
    <w:rsid w:val="00947D34"/>
    <w:rsid w:val="00983A93"/>
    <w:rsid w:val="009A43A0"/>
    <w:rsid w:val="009A6565"/>
    <w:rsid w:val="009A7655"/>
    <w:rsid w:val="009B0F3A"/>
    <w:rsid w:val="009C2003"/>
    <w:rsid w:val="009C4D69"/>
    <w:rsid w:val="009D3519"/>
    <w:rsid w:val="009D74C6"/>
    <w:rsid w:val="009E5C0A"/>
    <w:rsid w:val="009F2EED"/>
    <w:rsid w:val="009F36D4"/>
    <w:rsid w:val="00A26643"/>
    <w:rsid w:val="00A277E8"/>
    <w:rsid w:val="00A279D3"/>
    <w:rsid w:val="00A27B1B"/>
    <w:rsid w:val="00A66E90"/>
    <w:rsid w:val="00A839A1"/>
    <w:rsid w:val="00AB22D3"/>
    <w:rsid w:val="00AB4D09"/>
    <w:rsid w:val="00AD1CCD"/>
    <w:rsid w:val="00AD509E"/>
    <w:rsid w:val="00AE1FA9"/>
    <w:rsid w:val="00B03CA8"/>
    <w:rsid w:val="00B05463"/>
    <w:rsid w:val="00B20113"/>
    <w:rsid w:val="00B30EFA"/>
    <w:rsid w:val="00B31E63"/>
    <w:rsid w:val="00B36F87"/>
    <w:rsid w:val="00B37677"/>
    <w:rsid w:val="00B415C5"/>
    <w:rsid w:val="00B72DE2"/>
    <w:rsid w:val="00B82CB5"/>
    <w:rsid w:val="00B97664"/>
    <w:rsid w:val="00BC1175"/>
    <w:rsid w:val="00BC3D36"/>
    <w:rsid w:val="00BC7C22"/>
    <w:rsid w:val="00BF2249"/>
    <w:rsid w:val="00C00E13"/>
    <w:rsid w:val="00C07186"/>
    <w:rsid w:val="00C120E5"/>
    <w:rsid w:val="00C1460E"/>
    <w:rsid w:val="00C177CA"/>
    <w:rsid w:val="00C21BE7"/>
    <w:rsid w:val="00C245EA"/>
    <w:rsid w:val="00C33BC6"/>
    <w:rsid w:val="00C562DA"/>
    <w:rsid w:val="00C64774"/>
    <w:rsid w:val="00C83157"/>
    <w:rsid w:val="00C84673"/>
    <w:rsid w:val="00C9159A"/>
    <w:rsid w:val="00C96F6A"/>
    <w:rsid w:val="00CA4712"/>
    <w:rsid w:val="00CA59B3"/>
    <w:rsid w:val="00CC1E58"/>
    <w:rsid w:val="00CC4679"/>
    <w:rsid w:val="00CC473B"/>
    <w:rsid w:val="00CD6EEA"/>
    <w:rsid w:val="00D14252"/>
    <w:rsid w:val="00D160B3"/>
    <w:rsid w:val="00D217AD"/>
    <w:rsid w:val="00D232C8"/>
    <w:rsid w:val="00D24F6A"/>
    <w:rsid w:val="00D33405"/>
    <w:rsid w:val="00D46C51"/>
    <w:rsid w:val="00D52574"/>
    <w:rsid w:val="00D55BB1"/>
    <w:rsid w:val="00D65DF9"/>
    <w:rsid w:val="00D72DD8"/>
    <w:rsid w:val="00D85252"/>
    <w:rsid w:val="00D933A5"/>
    <w:rsid w:val="00DC3B5C"/>
    <w:rsid w:val="00DC64A6"/>
    <w:rsid w:val="00DD28FB"/>
    <w:rsid w:val="00DD4A49"/>
    <w:rsid w:val="00DE1C88"/>
    <w:rsid w:val="00DE371A"/>
    <w:rsid w:val="00DE5146"/>
    <w:rsid w:val="00DF3389"/>
    <w:rsid w:val="00E17953"/>
    <w:rsid w:val="00E23BA6"/>
    <w:rsid w:val="00E319EB"/>
    <w:rsid w:val="00E42975"/>
    <w:rsid w:val="00E44EA7"/>
    <w:rsid w:val="00E5009D"/>
    <w:rsid w:val="00E506A4"/>
    <w:rsid w:val="00E6249E"/>
    <w:rsid w:val="00E82B3C"/>
    <w:rsid w:val="00E85268"/>
    <w:rsid w:val="00E9679D"/>
    <w:rsid w:val="00EA722D"/>
    <w:rsid w:val="00EA76FD"/>
    <w:rsid w:val="00EB0193"/>
    <w:rsid w:val="00EC52D9"/>
    <w:rsid w:val="00ED1346"/>
    <w:rsid w:val="00ED7B2F"/>
    <w:rsid w:val="00EE23F1"/>
    <w:rsid w:val="00EF5E66"/>
    <w:rsid w:val="00F016E2"/>
    <w:rsid w:val="00F17E91"/>
    <w:rsid w:val="00F41AC2"/>
    <w:rsid w:val="00F62428"/>
    <w:rsid w:val="00F67CA8"/>
    <w:rsid w:val="00FA4EE6"/>
    <w:rsid w:val="00FA6ECB"/>
    <w:rsid w:val="00FC74C0"/>
    <w:rsid w:val="00FF0F46"/>
    <w:rsid w:val="00FF1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BCC749"/>
  <w15:chartTrackingRefBased/>
  <w15:docId w15:val="{035B95B8-9B9F-4342-8BBC-77AD767E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23CC"/>
    <w:pPr>
      <w:widowControl w:val="0"/>
    </w:pPr>
  </w:style>
  <w:style w:type="paragraph" w:styleId="1">
    <w:name w:val="heading 1"/>
    <w:basedOn w:val="a"/>
    <w:next w:val="a"/>
    <w:link w:val="10"/>
    <w:uiPriority w:val="9"/>
    <w:qFormat/>
    <w:rsid w:val="00E506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506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06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06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06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506A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06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06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06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06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506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06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06A4"/>
    <w:rPr>
      <w:rFonts w:cstheme="majorBidi"/>
      <w:color w:val="2F5496" w:themeColor="accent1" w:themeShade="BF"/>
      <w:sz w:val="28"/>
      <w:szCs w:val="28"/>
    </w:rPr>
  </w:style>
  <w:style w:type="character" w:customStyle="1" w:styleId="50">
    <w:name w:val="标题 5 字符"/>
    <w:basedOn w:val="a0"/>
    <w:link w:val="5"/>
    <w:uiPriority w:val="9"/>
    <w:semiHidden/>
    <w:rsid w:val="00E506A4"/>
    <w:rPr>
      <w:rFonts w:cstheme="majorBidi"/>
      <w:color w:val="2F5496" w:themeColor="accent1" w:themeShade="BF"/>
      <w:sz w:val="24"/>
    </w:rPr>
  </w:style>
  <w:style w:type="character" w:customStyle="1" w:styleId="60">
    <w:name w:val="标题 6 字符"/>
    <w:basedOn w:val="a0"/>
    <w:link w:val="6"/>
    <w:uiPriority w:val="9"/>
    <w:semiHidden/>
    <w:rsid w:val="00E506A4"/>
    <w:rPr>
      <w:rFonts w:cstheme="majorBidi"/>
      <w:b/>
      <w:bCs/>
      <w:color w:val="2F5496" w:themeColor="accent1" w:themeShade="BF"/>
    </w:rPr>
  </w:style>
  <w:style w:type="character" w:customStyle="1" w:styleId="70">
    <w:name w:val="标题 7 字符"/>
    <w:basedOn w:val="a0"/>
    <w:link w:val="7"/>
    <w:uiPriority w:val="9"/>
    <w:semiHidden/>
    <w:rsid w:val="00E506A4"/>
    <w:rPr>
      <w:rFonts w:cstheme="majorBidi"/>
      <w:b/>
      <w:bCs/>
      <w:color w:val="595959" w:themeColor="text1" w:themeTint="A6"/>
    </w:rPr>
  </w:style>
  <w:style w:type="character" w:customStyle="1" w:styleId="80">
    <w:name w:val="标题 8 字符"/>
    <w:basedOn w:val="a0"/>
    <w:link w:val="8"/>
    <w:uiPriority w:val="9"/>
    <w:semiHidden/>
    <w:rsid w:val="00E506A4"/>
    <w:rPr>
      <w:rFonts w:cstheme="majorBidi"/>
      <w:color w:val="595959" w:themeColor="text1" w:themeTint="A6"/>
    </w:rPr>
  </w:style>
  <w:style w:type="character" w:customStyle="1" w:styleId="90">
    <w:name w:val="标题 9 字符"/>
    <w:basedOn w:val="a0"/>
    <w:link w:val="9"/>
    <w:uiPriority w:val="9"/>
    <w:semiHidden/>
    <w:rsid w:val="00E506A4"/>
    <w:rPr>
      <w:rFonts w:eastAsiaTheme="majorEastAsia" w:cstheme="majorBidi"/>
      <w:color w:val="595959" w:themeColor="text1" w:themeTint="A6"/>
    </w:rPr>
  </w:style>
  <w:style w:type="paragraph" w:styleId="a3">
    <w:name w:val="Title"/>
    <w:basedOn w:val="a"/>
    <w:next w:val="a"/>
    <w:link w:val="a4"/>
    <w:uiPriority w:val="10"/>
    <w:qFormat/>
    <w:rsid w:val="00E506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06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06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06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06A4"/>
    <w:pPr>
      <w:spacing w:before="160"/>
      <w:jc w:val="center"/>
    </w:pPr>
    <w:rPr>
      <w:i/>
      <w:iCs/>
      <w:color w:val="404040" w:themeColor="text1" w:themeTint="BF"/>
    </w:rPr>
  </w:style>
  <w:style w:type="character" w:customStyle="1" w:styleId="a8">
    <w:name w:val="引用 字符"/>
    <w:basedOn w:val="a0"/>
    <w:link w:val="a7"/>
    <w:uiPriority w:val="29"/>
    <w:rsid w:val="00E506A4"/>
    <w:rPr>
      <w:i/>
      <w:iCs/>
      <w:color w:val="404040" w:themeColor="text1" w:themeTint="BF"/>
    </w:rPr>
  </w:style>
  <w:style w:type="paragraph" w:styleId="a9">
    <w:name w:val="List Paragraph"/>
    <w:basedOn w:val="a"/>
    <w:uiPriority w:val="34"/>
    <w:qFormat/>
    <w:rsid w:val="00E506A4"/>
    <w:pPr>
      <w:ind w:left="720"/>
      <w:contextualSpacing/>
    </w:pPr>
  </w:style>
  <w:style w:type="character" w:styleId="aa">
    <w:name w:val="Intense Emphasis"/>
    <w:basedOn w:val="a0"/>
    <w:uiPriority w:val="21"/>
    <w:qFormat/>
    <w:rsid w:val="00E506A4"/>
    <w:rPr>
      <w:i/>
      <w:iCs/>
      <w:color w:val="2F5496" w:themeColor="accent1" w:themeShade="BF"/>
    </w:rPr>
  </w:style>
  <w:style w:type="paragraph" w:styleId="ab">
    <w:name w:val="Intense Quote"/>
    <w:basedOn w:val="a"/>
    <w:next w:val="a"/>
    <w:link w:val="ac"/>
    <w:uiPriority w:val="30"/>
    <w:qFormat/>
    <w:rsid w:val="00E50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06A4"/>
    <w:rPr>
      <w:i/>
      <w:iCs/>
      <w:color w:val="2F5496" w:themeColor="accent1" w:themeShade="BF"/>
    </w:rPr>
  </w:style>
  <w:style w:type="character" w:styleId="ad">
    <w:name w:val="Intense Reference"/>
    <w:basedOn w:val="a0"/>
    <w:uiPriority w:val="32"/>
    <w:qFormat/>
    <w:rsid w:val="00E506A4"/>
    <w:rPr>
      <w:b/>
      <w:bCs/>
      <w:smallCaps/>
      <w:color w:val="2F5496" w:themeColor="accent1" w:themeShade="BF"/>
      <w:spacing w:val="5"/>
    </w:rPr>
  </w:style>
  <w:style w:type="paragraph" w:styleId="ae">
    <w:name w:val="header"/>
    <w:basedOn w:val="a"/>
    <w:link w:val="af"/>
    <w:uiPriority w:val="99"/>
    <w:unhideWhenUsed/>
    <w:rsid w:val="002D66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D6697"/>
    <w:rPr>
      <w:sz w:val="18"/>
      <w:szCs w:val="18"/>
    </w:rPr>
  </w:style>
  <w:style w:type="paragraph" w:styleId="af0">
    <w:name w:val="footer"/>
    <w:basedOn w:val="a"/>
    <w:link w:val="af1"/>
    <w:uiPriority w:val="99"/>
    <w:unhideWhenUsed/>
    <w:rsid w:val="002D66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D6697"/>
    <w:rPr>
      <w:sz w:val="18"/>
      <w:szCs w:val="18"/>
    </w:rPr>
  </w:style>
  <w:style w:type="paragraph" w:customStyle="1" w:styleId="pdq2pgselectionanchorcontainer">
    <w:name w:val="pdq2pg_selectionanchorcontainer"/>
    <w:basedOn w:val="a"/>
    <w:rsid w:val="00842540"/>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Normal (Web)"/>
    <w:basedOn w:val="a"/>
    <w:uiPriority w:val="99"/>
    <w:unhideWhenUsed/>
    <w:rsid w:val="00842540"/>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842540"/>
    <w:rPr>
      <w:b/>
      <w:bCs/>
    </w:rPr>
  </w:style>
  <w:style w:type="character" w:styleId="af4">
    <w:name w:val="annotation reference"/>
    <w:basedOn w:val="a0"/>
    <w:uiPriority w:val="99"/>
    <w:semiHidden/>
    <w:unhideWhenUsed/>
    <w:rsid w:val="00186167"/>
    <w:rPr>
      <w:sz w:val="21"/>
      <w:szCs w:val="21"/>
    </w:rPr>
  </w:style>
  <w:style w:type="paragraph" w:styleId="af5">
    <w:name w:val="annotation text"/>
    <w:basedOn w:val="a"/>
    <w:link w:val="af6"/>
    <w:uiPriority w:val="99"/>
    <w:unhideWhenUsed/>
    <w:rsid w:val="00186167"/>
  </w:style>
  <w:style w:type="character" w:customStyle="1" w:styleId="af6">
    <w:name w:val="批注文字 字符"/>
    <w:basedOn w:val="a0"/>
    <w:link w:val="af5"/>
    <w:uiPriority w:val="99"/>
    <w:rsid w:val="00186167"/>
  </w:style>
  <w:style w:type="paragraph" w:styleId="af7">
    <w:name w:val="annotation subject"/>
    <w:basedOn w:val="af5"/>
    <w:next w:val="af5"/>
    <w:link w:val="af8"/>
    <w:uiPriority w:val="99"/>
    <w:semiHidden/>
    <w:unhideWhenUsed/>
    <w:rsid w:val="00186167"/>
    <w:rPr>
      <w:b/>
      <w:bCs/>
    </w:rPr>
  </w:style>
  <w:style w:type="character" w:customStyle="1" w:styleId="af8">
    <w:name w:val="批注主题 字符"/>
    <w:basedOn w:val="af6"/>
    <w:link w:val="af7"/>
    <w:uiPriority w:val="99"/>
    <w:semiHidden/>
    <w:rsid w:val="00186167"/>
    <w:rPr>
      <w:b/>
      <w:bCs/>
    </w:rPr>
  </w:style>
  <w:style w:type="character" w:styleId="af9">
    <w:name w:val="Hyperlink"/>
    <w:basedOn w:val="a0"/>
    <w:uiPriority w:val="99"/>
    <w:unhideWhenUsed/>
    <w:rsid w:val="00186167"/>
    <w:rPr>
      <w:color w:val="0563C1" w:themeColor="hyperlink"/>
      <w:u w:val="single"/>
    </w:rPr>
  </w:style>
  <w:style w:type="character" w:styleId="afa">
    <w:name w:val="Unresolved Mention"/>
    <w:basedOn w:val="a0"/>
    <w:uiPriority w:val="99"/>
    <w:semiHidden/>
    <w:unhideWhenUsed/>
    <w:rsid w:val="00186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aeaweb.org/articles?id=10.1257%2Faer.20181169&amp;utm_source=chatgpt.com" TargetMode="External"/><Relationship Id="rId3" Type="http://schemas.openxmlformats.org/officeDocument/2006/relationships/hyperlink" Target="https://reference-global.com/article/10.2478/nor-2025-0012?utm_source=chatgpt.com" TargetMode="External"/><Relationship Id="rId7" Type="http://schemas.openxmlformats.org/officeDocument/2006/relationships/hyperlink" Target="https://www.sciencedirect.com/science/article/abs/pii/S0304407621001445?via%3Dihub" TargetMode="External"/><Relationship Id="rId2" Type="http://schemas.openxmlformats.org/officeDocument/2006/relationships/hyperlink" Target="https://pmc.ncbi.nlm.nih.gov/articles/PMC12464506/?utm_source=chatgpt.com" TargetMode="External"/><Relationship Id="rId1" Type="http://schemas.openxmlformats.org/officeDocument/2006/relationships/hyperlink" Target="https://pubmed.ncbi.nlm.nih.gov/41993042/" TargetMode="External"/><Relationship Id="rId6" Type="http://schemas.openxmlformats.org/officeDocument/2006/relationships/hyperlink" Target="https://jamanetwork.com/journals/jamainternalmedicine/fullarticle/1105625?utm_source=chatgpt.com" TargetMode="External"/><Relationship Id="rId5" Type="http://schemas.openxmlformats.org/officeDocument/2006/relationships/hyperlink" Target="https://pmc.ncbi.nlm.nih.gov/articles/PMC10661850/?utm_source=chatgpt.com" TargetMode="External"/><Relationship Id="rId4" Type="http://schemas.openxmlformats.org/officeDocument/2006/relationships/hyperlink" Target="https://www.who.int/news-room/questions-and-answers/item/healthy-ageing-and-functional-ability?utm_source=chatgpt.com" TargetMode="External"/><Relationship Id="rId9"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2519</TotalTime>
  <Pages>10</Pages>
  <Words>3441</Words>
  <Characters>5953</Characters>
  <Application>Microsoft Office Word</Application>
  <DocSecurity>0</DocSecurity>
  <Lines>850</Lines>
  <Paragraphs>939</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海岚 赵</dc:creator>
  <cp:keywords/>
  <dc:description/>
  <cp:lastModifiedBy>海岚 赵</cp:lastModifiedBy>
  <cp:revision>234</cp:revision>
  <dcterms:created xsi:type="dcterms:W3CDTF">2026-09-04T12:18:00Z</dcterms:created>
  <dcterms:modified xsi:type="dcterms:W3CDTF">2026-09-08T09:14:00Z</dcterms:modified>
</cp:coreProperties>
</file>