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rFonts w:ascii="Calibri" w:hAnsi="Calibri" w:eastAsia="黑体"/>
          <w:b/>
          <w:color w:val="0B2545"/>
          <w:sz w:val="38"/>
        </w:rPr>
        <w:t>宽带中国、数字包容与老年健康能力</w:t>
      </w:r>
    </w:p>
    <w:p>
      <w:pPr>
        <w:spacing w:before="0" w:after="80"/>
        <w:jc w:val="center"/>
      </w:pPr>
      <w:r>
        <w:rPr>
          <w:rFonts w:ascii="Calibri" w:hAnsi="Calibri" w:eastAsia="黑体"/>
          <w:b/>
          <w:color w:val="1F4D78"/>
          <w:sz w:val="32"/>
        </w:rPr>
        <w:t>全量核查版（定稿口径）</w:t>
      </w:r>
    </w:p>
    <w:p>
      <w:pPr>
        <w:spacing w:after="200"/>
        <w:jc w:val="center"/>
      </w:pPr>
      <w:r>
        <w:rPr>
          <w:rFonts w:ascii="Calibri" w:hAnsi="Calibri" w:eastAsia="宋体"/>
          <w:color w:val="404040"/>
          <w:sz w:val="20"/>
        </w:rPr>
        <w:t>论文写作与结果核查的统一基准 | 定稿口径：慢病主样本 + 2011-2018 + 堆叠 DID + 8 控制 + 城市聚类</w:t>
      </w:r>
    </w:p>
    <w:p>
      <w:pPr>
        <w:spacing w:after="100"/>
      </w:pPr>
      <w:r>
        <w:rPr>
          <w:rFonts w:ascii="Calibri" w:hAnsi="Calibri" w:eastAsia="宋体"/>
          <w:sz w:val="21"/>
        </w:rPr>
        <w:t>本核查版只作为论文写作的“统一口径”基准。内容按最终定稿结果重写，不沿用旧方案中的 CS-DID、TWFE 或旧数字；每张结果表均可在 01 正文主表、02 稳健性、03 附录、04 诊断、05 RQ3、06 数据目录中找到对应 CSV。</w:t>
      </w:r>
    </w:p>
    <w:p>
      <w:pPr>
        <w:pStyle w:val="Heading1"/>
      </w:pPr>
      <w:r>
        <w:t>0. 口径速查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5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项目</w:t>
            </w:r>
          </w:p>
        </w:tc>
        <w:tc>
          <w:tcPr>
            <w:tcW w:type="dxa" w:w="770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定稿口径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数据</w:t>
            </w:r>
          </w:p>
        </w:tc>
        <w:tc>
          <w:tcPr>
            <w:tcW w:type="dxa" w:w="77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CHARLS 2011/2013/2015/2018，2020 仅作稳健性参考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主样本</w:t>
            </w:r>
          </w:p>
        </w:tc>
        <w:tc>
          <w:tcPr>
            <w:tcW w:type="dxa" w:w="77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2011 年基期 60 岁以上、城市可匹配、chronic_base=1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估计器</w:t>
            </w:r>
          </w:p>
        </w:tc>
        <w:tc>
          <w:tcPr>
            <w:tcW w:type="dxa" w:w="77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堆叠双重差分（Stacked DID）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对照</w:t>
            </w:r>
          </w:p>
        </w:tc>
        <w:tc>
          <w:tcPr>
            <w:tcW w:type="dxa" w:w="77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从未处理城市（never-treated）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固定效应</w:t>
            </w:r>
          </w:p>
        </w:tc>
        <w:tc>
          <w:tcPr>
            <w:tcW w:type="dxa" w:w="77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队列×个体 + 队列×波次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聚类</w:t>
            </w:r>
          </w:p>
        </w:tc>
        <w:tc>
          <w:tcPr>
            <w:tcW w:type="dxa" w:w="77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地级市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控制变量</w:t>
            </w:r>
          </w:p>
        </w:tc>
        <w:tc>
          <w:tcPr>
            <w:tcW w:type="dxa" w:w="77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8 控制；以处理×控制交互进入，ATT 在组均值处计算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DVI</w:t>
            </w:r>
          </w:p>
        </w:tc>
        <w:tc>
          <w:tcPr>
            <w:tcW w:type="dxa" w:w="77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三维 DVI3 = 动机/社会参与 + 物质 + 技能等权；基期固定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三组</w:t>
            </w:r>
          </w:p>
        </w:tc>
        <w:tc>
          <w:tcPr>
            <w:tcW w:type="dxa" w:w="77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Low≤0.5；Mid=0.6667/0.75；High=0.8333/1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主结果</w:t>
            </w:r>
          </w:p>
        </w:tc>
        <w:tc>
          <w:tcPr>
            <w:tcW w:type="dxa" w:w="77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BHCI 为主，func 为辅；心理、自评、认知如实报告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多重检验</w:t>
            </w:r>
          </w:p>
        </w:tc>
        <w:tc>
          <w:tcPr>
            <w:tcW w:type="dxa" w:w="77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结果变量内 BH-FDR；部分表为结果×维度内</w:t>
            </w:r>
          </w:p>
        </w:tc>
      </w:tr>
    </w:tbl>
    <w:p>
      <w:pPr>
        <w:pStyle w:val="Heading1"/>
      </w:pPr>
      <w:r>
        <w:t>1. 研究框架与结论红线</w:t>
      </w:r>
    </w:p>
    <w:p>
      <w:pPr>
        <w:pStyle w:val="Heading2"/>
      </w:pPr>
      <w:r>
        <w:t>1.1 RQ1</w:t>
      </w:r>
    </w:p>
    <w:p>
      <w:pPr>
        <w:spacing w:after="100"/>
      </w:pPr>
      <w:r>
        <w:rPr>
          <w:rFonts w:ascii="Calibri" w:hAnsi="Calibri" w:eastAsia="宋体"/>
          <w:sz w:val="21"/>
        </w:rPr>
        <w:t>RQ1：宽带中国是否改善基期慢性病老年人的健康能力？定稿结论为“是，但维度分化”：功能健康与三维综合健康（BHCI）显著改善，认知、心理、自评的平均效应不显著。</w:t>
      </w:r>
    </w:p>
    <w:p>
      <w:pPr>
        <w:pStyle w:val="Heading2"/>
      </w:pPr>
      <w:r>
        <w:t>1.2 RQ2</w:t>
      </w:r>
    </w:p>
    <w:p>
      <w:pPr>
        <w:spacing w:after="100"/>
      </w:pPr>
      <w:r>
        <w:rPr>
          <w:rFonts w:ascii="Calibri" w:hAnsi="Calibri" w:eastAsia="宋体"/>
          <w:sz w:val="21"/>
        </w:rPr>
        <w:t>RQ2：健康收益是否流向基期数字脆弱群体？定稿结论为“集中在高脆弱尾部，但不是单调线性梯度”：在 8 控制下，High 组 BHCI 显著、High-Low 显著；Low/Mid 不显著，且不存在随 DVI 单调递增的数量机制。</w:t>
      </w:r>
    </w:p>
    <w:p>
      <w:pPr>
        <w:pStyle w:val="Heading2"/>
      </w:pPr>
      <w:r>
        <w:t>1.3 RQ3</w:t>
      </w:r>
    </w:p>
    <w:p>
      <w:pPr>
        <w:spacing w:after="100"/>
      </w:pPr>
      <w:r>
        <w:rPr>
          <w:rFonts w:ascii="Calibri" w:hAnsi="Calibri" w:eastAsia="宋体"/>
          <w:sz w:val="21"/>
        </w:rPr>
        <w:t>RQ3：异质性来自“脆弱数量”还是“脆弱结构/关键约束”？定稿结论为：计数机制不成立；同等总脆弱程度下构成不同收益不同；动机/社会参与维度包含超出物质与技能维度的异质性信息。</w:t>
      </w:r>
    </w:p>
    <w:p>
      <w:pPr>
        <w:pStyle w:val="Heading2"/>
      </w:pPr>
      <w:r>
        <w:t>1.4 理论逻辑与竞争预期</w:t>
      </w:r>
    </w:p>
    <w:p>
      <w:pPr>
        <w:spacing w:after="100"/>
      </w:pPr>
      <w:r>
        <w:rPr>
          <w:rFonts w:ascii="Calibri" w:hAnsi="Calibri" w:eastAsia="宋体"/>
          <w:sz w:val="21"/>
        </w:rPr>
        <w:t>传统数字鸿沟/累积优势视角可能预期收益流向数字资源更充分、转化能力更强的群体；公共基础设施视角则相反：基础设施可能首先降低此前被排斥人群的接入与转化门槛，释放其尚未实现的数字健康机会。若收益集中在高脆弱尾部，说明存在方向性补偿收益，但这种收益不必然随脆弱程度单调递增，因为障碍组合的构成与转化条件也会影响收益释放。</w:t>
      </w:r>
    </w:p>
    <w:p>
      <w:pPr>
        <w:spacing w:after="100"/>
      </w:pPr>
      <w:r>
        <w:rPr>
          <w:rFonts w:ascii="Calibri" w:hAnsi="Calibri" w:eastAsia="宋体"/>
          <w:sz w:val="21"/>
        </w:rPr>
        <w:t>RQ3 在此基础上区分两种机制：H3a 数量累积假说预测脆弱条数越多、政策收益越大；H3b 结构/关键约束假说预测收益由具体障碍构成或关键约束决定，而不是由条数单调决定。两者均为待检验的竞争性假说，不作为已证明结论进入写作。</w:t>
      </w:r>
    </w:p>
    <w:p>
      <w:pPr>
        <w:pStyle w:val="Heading2"/>
      </w:pPr>
      <w:r>
        <w:t>1.5 文献定位要点</w:t>
      </w:r>
    </w:p>
    <w:p>
      <w:pPr>
        <w:spacing w:after="100"/>
      </w:pPr>
      <w:r>
        <w:rPr>
          <w:rFonts w:ascii="Calibri" w:hAnsi="Calibri" w:eastAsia="宋体"/>
          <w:sz w:val="21"/>
        </w:rPr>
        <w:t>已有研究已使用 Broadband China 与 CHARLS/CFPS 讨论健康，因此不要将“宽带中国→健康”本身包装成无人研究。本文创新应落在数字包容与脆弱性结构：平均健康收益、收益向高脆弱尾部的集中、以及“同总分不同构成”的异质性。认知、心理等零结果也应与既有亲优势或倒 U 型证据对照解释，不强行概括。</w:t>
      </w:r>
    </w:p>
    <w:p>
      <w:pPr>
        <w:pStyle w:val="Heading2"/>
      </w:pPr>
      <w:r>
        <w:t>1.6 写作红线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编号</w:t>
            </w:r>
          </w:p>
        </w:tc>
        <w:tc>
          <w:tcPr>
            <w:tcW w:type="dxa" w:w="352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禁止写法</w:t>
            </w:r>
          </w:p>
        </w:tc>
        <w:tc>
          <w:tcPr>
            <w:tcW w:type="dxa" w:w="511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正确口径</w:t>
            </w:r>
          </w:p>
        </w:tc>
      </w:tr>
      <w:tr>
        <w:tc>
          <w:tcPr>
            <w:tcW w:type="dxa" w:w="6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最数字弱势（DVI=1）获益最大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收益集中在 High 并组（0.8333+1.0），DVI=1 单格仅附录</w:t>
            </w:r>
          </w:p>
        </w:tc>
      </w:tr>
      <w:tr>
        <w:tc>
          <w:tcPr>
            <w:tcW w:type="dxa" w:w="6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补偿效应随脆弱程度单调递增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方向性补偿，不承诺单调；计数趋势与门槛均不显著</w:t>
            </w:r>
          </w:p>
        </w:tc>
      </w:tr>
      <w:tr>
        <w:tc>
          <w:tcPr>
            <w:tcW w:type="dxa" w:w="6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高脆弱组通过上网使用获益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高脆弱组上网率接近 0，写作“转化约束”</w:t>
            </w:r>
          </w:p>
        </w:tc>
      </w:tr>
      <w:tr>
        <w:tc>
          <w:tcPr>
            <w:tcW w:type="dxa" w:w="6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4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count3 是峰值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计数趋势与门槛检验均不显著，点估计不作峰值结论</w:t>
            </w:r>
          </w:p>
        </w:tc>
      </w:tr>
      <w:tr>
        <w:tc>
          <w:tcPr>
            <w:tcW w:type="dxa" w:w="6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5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DVI=1 无法估计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堆叠 DID 下可估计，但预趋势失败、含 NA|1|1 缺失构成，不进主结论</w:t>
            </w:r>
          </w:p>
        </w:tc>
      </w:tr>
      <w:tr>
        <w:tc>
          <w:tcPr>
            <w:tcW w:type="dxa" w:w="6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6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个体固定效应 + 年份固定效应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队列×个体 + 队列×波次固定效应</w:t>
            </w:r>
          </w:p>
        </w:tc>
      </w:tr>
      <w:tr>
        <w:tc>
          <w:tcPr>
            <w:tcW w:type="dxa" w:w="6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7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功能健康 High-Low 显著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High-Low 显著只写给 BHCI（p=0.0035）；func 不承担亲弱势结论</w:t>
            </w:r>
          </w:p>
        </w:tc>
      </w:tr>
    </w:tbl>
    <w:p>
      <w:pPr>
        <w:pStyle w:val="Heading1"/>
      </w:pPr>
      <w:r>
        <w:t>2. 样本与数据</w:t>
      </w:r>
    </w:p>
    <w:p>
      <w:pPr>
        <w:spacing w:after="100"/>
      </w:pPr>
      <w:r>
        <w:rPr>
          <w:rFonts w:ascii="Calibri" w:hAnsi="Calibri" w:eastAsia="宋体"/>
          <w:sz w:val="21"/>
        </w:rPr>
        <w:t>主样本为 CHARLS 2011 基期年龄≥60、城市可匹配且患慢性病的老年人。主窗口为 2011-2018；2020 年因认知测试模式变化，只作稳健性参考，不进入主口径。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样本节点</w:t>
            </w:r>
          </w:p>
        </w:tc>
        <w:tc>
          <w:tcPr>
            <w:tcW w:type="dxa" w:w="439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2011 基期 60+ 且城市可匹配</w:t>
            </w:r>
          </w:p>
        </w:tc>
        <w:tc>
          <w:tcPr>
            <w:tcW w:type="dxa" w:w="439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7,088 人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2011-2018 慢性主窗口（人年）</w:t>
            </w:r>
          </w:p>
        </w:tc>
        <w:tc>
          <w:tcPr>
            <w:tcW w:type="dxa" w:w="439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17,723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慢性基期人数</w:t>
            </w:r>
          </w:p>
        </w:tc>
        <w:tc>
          <w:tcPr>
            <w:tcW w:type="dxa" w:w="439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5,299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RQ1 BHCI 人年样本（simple）</w:t>
            </w:r>
          </w:p>
        </w:tc>
        <w:tc>
          <w:tcPr>
            <w:tcW w:type="dxa" w:w="439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24,539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RQ1 func 人年样本（simple）</w:t>
            </w:r>
          </w:p>
        </w:tc>
        <w:tc>
          <w:tcPr>
            <w:tcW w:type="dxa" w:w="439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27,498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RQ1 BHCI 人年样本（8 控制）</w:t>
            </w:r>
          </w:p>
        </w:tc>
        <w:tc>
          <w:tcPr>
            <w:tcW w:type="dxa" w:w="439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20,245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RQ1 func 人年样本（8 控制）</w:t>
            </w:r>
          </w:p>
        </w:tc>
        <w:tc>
          <w:tcPr>
            <w:tcW w:type="dxa" w:w="439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22,536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完整四项计数样本</w:t>
            </w:r>
          </w:p>
        </w:tc>
        <w:tc>
          <w:tcPr>
            <w:tcW w:type="dxa" w:w="439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3,251 / 5,299，缺失 2,048（38.6%）</w:t>
            </w:r>
          </w:p>
        </w:tc>
      </w:tr>
    </w:tbl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注：队列中 gvar=3 为 2015 波首次处理，gvar=4 为 2018 波首次处理，gvar=0 为从未处理。</w:t>
      </w:r>
    </w:p>
    <w:p>
      <w:pPr>
        <w:pStyle w:val="Heading1"/>
      </w:pPr>
      <w:r>
        <w:t>3. 变量定义</w:t>
      </w:r>
    </w:p>
    <w:p>
      <w:pPr>
        <w:pStyle w:val="Heading2"/>
      </w:pPr>
      <w:r>
        <w:t>3.1 结果变量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变量</w:t>
            </w:r>
          </w:p>
        </w:tc>
        <w:tc>
          <w:tcPr>
            <w:tcW w:type="dxa" w:w="734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定义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func_cap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1 − (ADL 受限 6 项 + IADL 受限 5 项)/11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bhci_fixed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func、psych、srh 三个 0-1 分项的等权均值；三项均须非缺失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psych_cap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1 − CES-D10/30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srh_cap_fixed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(srh−1)/4，方向为 1=很差…5=很好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cog_cap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0-31 认知分（定向+即时回忆+延迟回忆+连续减 7+画图）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稳健性指数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bhci4_z、hci_anderson、hci_pca 不作为主结果</w:t>
            </w:r>
          </w:p>
        </w:tc>
      </w:tr>
    </w:tbl>
    <w:p>
      <w:pPr>
        <w:pStyle w:val="Heading3"/>
      </w:pPr>
      <w:r>
        <w:t>3.1.1 BHCI 的构造逻辑与合成公式</w:t>
      </w:r>
    </w:p>
    <w:p>
      <w:pPr>
        <w:spacing w:after="100"/>
      </w:pPr>
      <w:r>
        <w:rPr>
          <w:rFonts w:ascii="Calibri" w:hAnsi="Calibri" w:eastAsia="宋体"/>
          <w:sz w:val="21"/>
        </w:rPr>
        <w:t>BHCI 是本文主结果变量，概念上对应 Sen 能力方法下的健康可行能力。为避免认知维度大量缺失造成的样本选择，BHCI 只合成功能能力、心理能力与自评健康三个维度；认知健康单独报告。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bhci_fixed = (func_cap + psych_cap + srh_cap_fixed)/3</w:t>
      </w:r>
    </w:p>
    <w:p>
      <w:pPr>
        <w:spacing w:after="100"/>
      </w:pPr>
      <w:r>
        <w:rPr>
          <w:rFonts w:ascii="Calibri" w:hAnsi="Calibri" w:eastAsia="宋体"/>
          <w:sz w:val="21"/>
        </w:rPr>
        <w:t>三个分项均先构造为 0-1 得分，1 表示健康能力更高；BHCI 要求三个分项全部可观测，任一分项缺失即 bhci_fixed=NA。经最终分析数据核对，数据中 bhci_fixed 非缺失的样本与 func_cap、psych_cap、srh_cap_fixed 三项均非缺失完全一致。</w:t>
      </w:r>
    </w:p>
    <w:p>
      <w:pPr>
        <w:pStyle w:val="Heading3"/>
      </w:pPr>
      <w:r>
        <w:t>3.1.2 功能能力 func_cap 的 CHARLS 操作化</w:t>
      </w:r>
    </w:p>
    <w:p>
      <w:pPr>
        <w:spacing w:after="100"/>
      </w:pPr>
      <w:r>
        <w:rPr>
          <w:rFonts w:ascii="Calibri" w:hAnsi="Calibri" w:eastAsia="宋体"/>
          <w:sz w:val="21"/>
        </w:rPr>
        <w:t>功能能力由 6 项 ADL 与 5 项 IADL 构成，全部来自 2011 年健康与功能模块。原始题目询问是否存在活动困难，部分题目标注困难是否因健康或记忆问题；项目清洗后得到受限计数变量 adlab_c（ADL 受限项数）与 iadl（IADL 受限项数）。受限项判定沿用项目清洗规则：回答为有困难、需要帮助或无法完成记受限，无困难记为不受限。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ADL 条目</w:t>
            </w:r>
          </w:p>
        </w:tc>
        <w:tc>
          <w:tcPr>
            <w:tcW w:type="dxa" w:w="244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2011 CHARLS 变量</w:t>
            </w:r>
          </w:p>
        </w:tc>
        <w:tc>
          <w:tcPr>
            <w:tcW w:type="dxa" w:w="446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穿衣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db010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穿衣是否有困难（因健康/记忆问题）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洗澡/淋浴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db011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洗澡或淋浴困难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进食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db012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进食是否有困难（因健康/记忆问题）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下床并在室内走动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db013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起床并穿过房间困难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如厕及起坐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db014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使用厕所、起立或坐下困难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控制大小便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db015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控制大小便困难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IADL 条目</w:t>
            </w:r>
          </w:p>
        </w:tc>
        <w:tc>
          <w:tcPr>
            <w:tcW w:type="dxa" w:w="244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2011 CHARLS 变量</w:t>
            </w:r>
          </w:p>
        </w:tc>
        <w:tc>
          <w:tcPr>
            <w:tcW w:type="dxa" w:w="446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做家务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db016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做家务困难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做饭/准备热食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db017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准备热饭困难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购物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db018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购物是否有困难（因健康/记忆问题）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管理钱财/资产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db019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管理资产是否有困难（因健康/记忆问题）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服药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db020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服药是否有困难（因健康/记忆问题）</w:t>
            </w:r>
          </w:p>
        </w:tc>
      </w:tr>
    </w:tbl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func_cap = 1 − (adlab_c + iadl)/11</w:t>
      </w:r>
    </w:p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注：ADL 与 IADL 合计最多 11 个受限项；func_cap 取值 0-1，数值越高功能能力越好。</w:t>
      </w:r>
    </w:p>
    <w:p>
      <w:pPr>
        <w:pStyle w:val="Heading3"/>
      </w:pPr>
      <w:r>
        <w:t>3.1.3 心理能力 psych_cap 的 CHARLS 操作化</w:t>
      </w:r>
    </w:p>
    <w:p>
      <w:pPr>
        <w:spacing w:after="100"/>
      </w:pPr>
      <w:r>
        <w:rPr>
          <w:rFonts w:ascii="Calibri" w:hAnsi="Calibri" w:eastAsia="宋体"/>
          <w:sz w:val="21"/>
        </w:rPr>
        <w:t>心理能力使用 CHARLS 2011 心理健康模块中的 CES-D 10 简表，原始变量为 dc009-dc018。十个条目分别测量过去一周的情绪频率：dc009 被小事困扰、dc010 注意力难以集中、dc011 感到沮丧、dc012 做事费力、dc013 对未来抱有希望、dc014 感到害怕、dc015 睡眠不安稳、dc016 感到愉快、dc017 感到孤独、dc018 无法振作。</w:t>
      </w:r>
    </w:p>
    <w:p>
      <w:pPr>
        <w:spacing w:after="100"/>
      </w:pPr>
      <w:r>
        <w:rPr>
          <w:rFonts w:ascii="Calibri" w:hAnsi="Calibri" w:eastAsia="宋体"/>
          <w:sz w:val="21"/>
        </w:rPr>
        <w:t>项目清洗代码按 CES-D10 标准生成 cesd10：每个条目重编码为 0-3 抑郁频率评分（含正向条目反向处理），加总后总分为 0-30，分数越高抑郁越严重。具体条目正反向处理以项目 cesd10 变量的清洗实现为准。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psych_cap = 1 − cesd10/30</w:t>
      </w:r>
    </w:p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注：psych_cap 取值 0-1，数值越高代表抑郁症状越少、心理能力越好。</w:t>
      </w:r>
    </w:p>
    <w:p>
      <w:pPr>
        <w:pStyle w:val="Heading3"/>
      </w:pPr>
      <w:r>
        <w:t>3.1.4 自评健康 srh_cap_fixed 的 CHARLS 操作化</w:t>
      </w:r>
    </w:p>
    <w:p>
      <w:pPr>
        <w:spacing w:after="100"/>
      </w:pPr>
      <w:r>
        <w:rPr>
          <w:rFonts w:ascii="Calibri" w:hAnsi="Calibri" w:eastAsia="宋体"/>
          <w:sz w:val="21"/>
        </w:rPr>
        <w:t>自评健康使用 CHARLS 2011 的 da002。项目清洗后统一方向为 srh：1=很差、2=较差、3=一般、4=较好、5=很好，再线性标准化到 0-1。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srh_cap_fixed = (srh − 1)/4</w:t>
      </w:r>
    </w:p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注：早期版本曾因自评方向未统一而出现综合指数被抵消的问题；定稿明确 srh_cap_fixed 的方向为数值越大健康越好。</w:t>
      </w:r>
    </w:p>
    <w:p>
      <w:pPr>
        <w:pStyle w:val="Heading3"/>
      </w:pPr>
      <w:r>
        <w:t>3.1.5 认知健康与其他稳健性指数</w:t>
      </w:r>
    </w:p>
    <w:p>
      <w:pPr>
        <w:spacing w:after="100"/>
      </w:pPr>
      <w:r>
        <w:rPr>
          <w:rFonts w:ascii="Calibri" w:hAnsi="Calibri" w:eastAsia="宋体"/>
          <w:sz w:val="21"/>
        </w:rPr>
        <w:t>cog_cap 为 0-31 认知总分，由定向（0-5）、即时回忆（0-10）、延迟回忆（0-10）、连续减 7（0-5）与画图（0-1）构成；认知样本缺失率高于其他维度，因此单独报告并报告 N。</w:t>
      </w:r>
    </w:p>
    <w:p>
      <w:pPr>
        <w:spacing w:after="100"/>
      </w:pPr>
      <w:r>
        <w:rPr>
          <w:rFonts w:ascii="Calibri" w:hAnsi="Calibri" w:eastAsia="宋体"/>
          <w:sz w:val="21"/>
        </w:rPr>
        <w:t>bhci4_z、hci_anderson、hci_pca 是包含认知或不同加权方式的稳健性综合指数，不作主结果，仅在需要跨指数稳健性时使用。</w:t>
      </w:r>
    </w:p>
    <w:p>
      <w:pPr>
        <w:pStyle w:val="Heading2"/>
      </w:pPr>
      <w:r>
        <w:t>3.2 数字脆弱指数 DVI</w:t>
      </w:r>
    </w:p>
    <w:p>
      <w:pPr>
        <w:spacing w:after="100"/>
      </w:pPr>
      <w:r>
        <w:rPr>
          <w:rFonts w:ascii="Calibri" w:hAnsi="Calibri" w:eastAsia="宋体"/>
          <w:sz w:val="21"/>
        </w:rPr>
        <w:t>DVI 全部基于 2011 基期固定构造。单条脆弱指标为：无电脑、无手机、低教育（edu_base=1）、无大专及以上学历子女；动机维度使用社会信息活动与学习活动的代理变量。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维度</w:t>
            </w:r>
          </w:p>
        </w:tc>
        <w:tc>
          <w:tcPr>
            <w:tcW w:type="dxa" w:w="453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公式</w:t>
            </w:r>
          </w:p>
        </w:tc>
        <w:tc>
          <w:tcPr>
            <w:tcW w:type="dxa" w:w="266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取值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物质接入 dvi_mat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(无电脑 + 无手机)/2</w:t>
            </w:r>
          </w:p>
        </w:tc>
        <w:tc>
          <w:tcPr>
            <w:tcW w:type="dxa" w:w="26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 / 0.5 / 1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技能/代理 dvi_skill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(低教育 + 无大专及以上学历子女)/2</w:t>
            </w:r>
          </w:p>
        </w:tc>
        <w:tc>
          <w:tcPr>
            <w:tcW w:type="dxa" w:w="26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 / 0.5 / 1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动机/社会参与 dvi_mot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1 − (社会信息活动 + 学习活动)/2</w:t>
            </w:r>
          </w:p>
        </w:tc>
        <w:tc>
          <w:tcPr>
            <w:tcW w:type="dxa" w:w="26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 / 0.5 / 1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DVI3</w:t>
            </w:r>
          </w:p>
        </w:tc>
        <w:tc>
          <w:tcPr>
            <w:tcW w:type="dxa" w:w="453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rowMean(dvi_mot, dvi_mat, dvi_skill)</w:t>
            </w:r>
          </w:p>
        </w:tc>
        <w:tc>
          <w:tcPr>
            <w:tcW w:type="dxa" w:w="26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9 个取值</w:t>
            </w:r>
          </w:p>
        </w:tc>
      </w:tr>
    </w:tbl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注：代码实际用 dim_mean 允许按可观测维度取均值，因此会出现 0.25/0.75 等“部分缺失平均”档位；正文与附录需交代缺失规则。DVI=1 档中包含 1|1|1 与 NA|1|1（动机缺失）两类样本。</w:t>
      </w:r>
    </w:p>
    <w:p>
      <w:pPr>
        <w:pStyle w:val="Heading3"/>
      </w:pPr>
      <w:r>
        <w:t>3.2.1 原始指标与编码规则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脆弱条目</w:t>
            </w:r>
          </w:p>
        </w:tc>
        <w:tc>
          <w:tcPr>
            <w:tcW w:type="dxa" w:w="295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2011 数据变量/含义</w:t>
            </w:r>
          </w:p>
        </w:tc>
        <w:tc>
          <w:tcPr>
            <w:tcW w:type="dxa" w:w="223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脆弱=1 的编码</w:t>
            </w:r>
          </w:p>
        </w:tc>
        <w:tc>
          <w:tcPr>
            <w:tcW w:type="dxa" w:w="223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不脆弱=0 的编码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无电脑 no_computer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own_computer_2011：家中拥有电脑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own_computer_2011=0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own_computer_2011=1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无手机 no_mobile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own_mobile_2011：家中拥有移动电话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own_mobile_2011=0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own_mobile_2011=1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低教育 low_edu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edu_base：基期教育水平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edu_base=1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edu_base 非缺失且不等于 1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无大专及以上学历子女 no_college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childless_2011 与 has_college_child_2011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childless_2011=1 或 has_college_child_2011=0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有子女且至少一名子女学历为大专及以上</w:t>
            </w:r>
          </w:p>
        </w:tc>
      </w:tr>
    </w:tbl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注：2011 年手机变量为“移动电话”口径，不是智能手机口径；无大专及以上学历子女是代际数字资本代理。</w:t>
      </w:r>
    </w:p>
    <w:p>
      <w:pPr>
        <w:pStyle w:val="Heading3"/>
      </w:pPr>
      <w:r>
        <w:t>3.2.2 动机/社会参与维度：活动参与代理</w:t>
      </w:r>
    </w:p>
    <w:p>
      <w:pPr>
        <w:spacing w:after="100"/>
      </w:pPr>
      <w:r>
        <w:rPr>
          <w:rFonts w:ascii="Calibri" w:hAnsi="Calibri" w:eastAsia="宋体"/>
          <w:sz w:val="21"/>
        </w:rPr>
        <w:t>CHARLS 2011 没有直接测量“上网意愿/技术恐惧”，因此 dvi_mot 使用 DA056 社会活动模块经清洗后的活动参与指标作为代理。项目内变量为 social1-social9（0/1：是否参加该项活动），第 10 项“上网”不进入该维度，避免用使用行为测动机。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2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代理指标</w:t>
            </w:r>
          </w:p>
        </w:tc>
        <w:tc>
          <w:tcPr>
            <w:tcW w:type="dxa" w:w="122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使用的活动分项</w:t>
            </w:r>
          </w:p>
        </w:tc>
        <w:tc>
          <w:tcPr>
            <w:tcW w:type="dxa" w:w="309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对应 DA056 含义</w:t>
            </w:r>
          </w:p>
        </w:tc>
        <w:tc>
          <w:tcPr>
            <w:tcW w:type="dxa" w:w="187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取 1 条件</w:t>
            </w:r>
          </w:p>
        </w:tc>
        <w:tc>
          <w:tcPr>
            <w:tcW w:type="dxa" w:w="194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取 0 条件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social_info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social1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串门/与朋友交往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至少一项活动为 1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所有列示活动均为 0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social_info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social2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打麻将、下棋或去社区活动站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至少一项活动为 1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所有列示活动均为 0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social_info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social4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参加体育/社交等俱乐部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至少一项活动为 1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所有列示活动均为 0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social_info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social5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参加社区相关组织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至少一项活动为 1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所有列示活动均为 0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learning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social6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志愿/慈善活动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至少一项活动为 1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所有列示活动均为 0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learning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social8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上学/参加培训课程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至少一项活动为 1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所有列示活动均为 0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learning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social9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炒股/基金投资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至少一项活动为 1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所有列示活动均为 0</w:t>
            </w:r>
          </w:p>
        </w:tc>
      </w:tr>
    </w:tbl>
    <w:p>
      <w:pPr>
        <w:spacing w:after="100"/>
      </w:pPr>
      <w:r>
        <w:rPr>
          <w:rFonts w:ascii="Calibri" w:hAnsi="Calibri" w:eastAsia="宋体"/>
          <w:sz w:val="21"/>
        </w:rPr>
        <w:t>合成公式：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social_info = max(social1, social2, social4, social5)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learning = max(social6, social8, social9)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dvi_mot = 1 − (social_info + learning)/2</w:t>
      </w:r>
    </w:p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注：只有当受访者回答了活动模块且没有选择“以上都没有”时，活动指标才有效。整个模块未回答记为 NA，不得当作“无活动”；选择“以上都没有”时列示活动均记为 0。</w:t>
      </w:r>
    </w:p>
    <w:p>
      <w:pPr>
        <w:pStyle w:val="Heading3"/>
      </w:pPr>
      <w:r>
        <w:t>3.2.3 维度得分规则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维度</w:t>
            </w:r>
          </w:p>
        </w:tc>
        <w:tc>
          <w:tcPr>
            <w:tcW w:type="dxa" w:w="2520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公式</w:t>
            </w:r>
          </w:p>
        </w:tc>
        <w:tc>
          <w:tcPr>
            <w:tcW w:type="dxa" w:w="165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得 0 分</w:t>
            </w:r>
          </w:p>
        </w:tc>
        <w:tc>
          <w:tcPr>
            <w:tcW w:type="dxa" w:w="172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得 0.5 分</w:t>
            </w:r>
          </w:p>
        </w:tc>
        <w:tc>
          <w:tcPr>
            <w:tcW w:type="dxa" w:w="151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得 1 分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物质接入 dvi_mat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(no_computer + no_mobile)/2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电脑、手机均有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电脑、手机缺其一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电脑、手机均无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技能/代理 dvi_skill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(low_edu + no_college)/2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非低教育且有大专以上学历子女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低教育与无高学历子女占其一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低教育且无高学历子女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动机/社会参与 dvi_mot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1 − (social_info + learning)/2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两类活动代理均为 1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两类活动代理仅一项为 1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两类活动代理均为 0</w:t>
            </w:r>
          </w:p>
        </w:tc>
      </w:tr>
    </w:tbl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注：维度内部按非缺失条目取均值，至少一个条目可观测才计分；若维度内全部条目缺失，该维度记为 NA。</w:t>
      </w:r>
    </w:p>
    <w:p>
      <w:pPr>
        <w:pStyle w:val="Heading3"/>
      </w:pPr>
      <w:r>
        <w:t>3.2.4 DVI3 合成、九档取值与分组</w:t>
      </w:r>
    </w:p>
    <w:p>
      <w:pPr>
        <w:spacing w:after="100"/>
      </w:pPr>
      <w:r>
        <w:rPr>
          <w:rFonts w:ascii="Calibri" w:hAnsi="Calibri" w:eastAsia="宋体"/>
          <w:sz w:val="21"/>
        </w:rPr>
        <w:t>DVI3 在三个维度均至少一个可观测时取非缺失维度的均值；三个维度全部缺失时记为 NA。代码中进一步执行 dvi3=round(dvi3, 4)。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DVI3 = rowMean(dvi_mot, dvi_mat, dvi_skill)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维度组合示例（动机/社会参与|物质|技能）</w:t>
            </w:r>
          </w:p>
        </w:tc>
        <w:tc>
          <w:tcPr>
            <w:tcW w:type="dxa" w:w="223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DVI3 取值</w:t>
            </w:r>
          </w:p>
        </w:tc>
        <w:tc>
          <w:tcPr>
            <w:tcW w:type="dxa" w:w="424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 | 0 | 0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</w:t>
            </w:r>
          </w:p>
        </w:tc>
        <w:tc>
          <w:tcPr>
            <w:tcW w:type="dxa" w:w="42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三维均不脆弱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0.5 | 0 | 0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0.1667</w:t>
            </w:r>
          </w:p>
        </w:tc>
        <w:tc>
          <w:tcPr>
            <w:tcW w:type="dxa" w:w="42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仅一个维度部分脆弱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0.5 | 0.5 | 0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0.3333</w:t>
            </w:r>
          </w:p>
        </w:tc>
        <w:tc>
          <w:tcPr>
            <w:tcW w:type="dxa" w:w="42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两个维度部分脆弱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0.5 | 0.5 | 0.5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0.5</w:t>
            </w:r>
          </w:p>
        </w:tc>
        <w:tc>
          <w:tcPr>
            <w:tcW w:type="dxa" w:w="42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Low 组上界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 | 0.5 | 0.5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0.6667</w:t>
            </w:r>
          </w:p>
        </w:tc>
        <w:tc>
          <w:tcPr>
            <w:tcW w:type="dxa" w:w="42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一个维度完全脆弱，两个维度部分脆弱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0.5 | 0.5 | 1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0.6667</w:t>
            </w:r>
          </w:p>
        </w:tc>
        <w:tc>
          <w:tcPr>
            <w:tcW w:type="dxa" w:w="42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同总分、不同构成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 | 1 | 0.5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0.8333</w:t>
            </w:r>
          </w:p>
        </w:tc>
        <w:tc>
          <w:tcPr>
            <w:tcW w:type="dxa" w:w="42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High 组下界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 | 1 | 1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</w:t>
            </w:r>
          </w:p>
        </w:tc>
        <w:tc>
          <w:tcPr>
            <w:tcW w:type="dxa" w:w="42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三维均完全脆弱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部分维度缺失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0.25 或 0.75</w:t>
            </w:r>
          </w:p>
        </w:tc>
        <w:tc>
          <w:tcPr>
            <w:tcW w:type="dxa" w:w="424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仅两个维度可观测时产生的缺失平均档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分组</w:t>
            </w:r>
          </w:p>
        </w:tc>
        <w:tc>
          <w:tcPr>
            <w:tcW w:type="dxa" w:w="309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代码判定（round 后）</w:t>
            </w:r>
          </w:p>
        </w:tc>
        <w:tc>
          <w:tcPr>
            <w:tcW w:type="dxa" w:w="496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包含取值</w:t>
            </w:r>
          </w:p>
        </w:tc>
      </w:tr>
      <w:tr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Low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dvi3 ≤ 0.5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0、0.1667、0.25、0.3333、0.5</w:t>
            </w:r>
          </w:p>
        </w:tc>
      </w:tr>
      <w:tr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Mid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0.5 &lt; dvi3 ≤ 0.75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0.6667、0.75</w:t>
            </w:r>
          </w:p>
        </w:tc>
      </w:tr>
      <w:tr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High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dvi3 &gt; 0.75</w:t>
            </w:r>
          </w:p>
        </w:tc>
        <w:tc>
          <w:tcPr>
            <w:tcW w:type="dxa" w:w="496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0.8333、1</w:t>
            </w:r>
          </w:p>
        </w:tc>
      </w:tr>
    </w:tbl>
    <w:p>
      <w:pPr>
        <w:spacing w:after="100"/>
      </w:pPr>
      <w:r>
        <w:rPr>
          <w:rFonts w:ascii="Calibri" w:hAnsi="Calibri" w:eastAsia="宋体"/>
          <w:sz w:val="21"/>
        </w:rPr>
        <w:t>构成字符串顺序必须与代码一致：dvi_mot | dvi_mat | dvi_skill，即“动机/社会参与 | 物质 | 技能”。</w:t>
      </w:r>
    </w:p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注：DVI=1 档中同时包含 1|1|1（三维完整脆弱）与 NA|1|1（动机维度缺失）两类样本；0.25/0.75 不是三维完整观测的真实档位，正文与附录需写明缺失规则。</w:t>
      </w:r>
    </w:p>
    <w:p>
      <w:pPr>
        <w:pStyle w:val="Heading3"/>
      </w:pPr>
      <w:r>
        <w:t>3.2.5 数字脆弱项数 count（RQ3 计数分析）</w:t>
      </w:r>
    </w:p>
    <w:p>
      <w:pPr>
        <w:spacing w:after="100"/>
      </w:pPr>
      <w:r>
        <w:rPr>
          <w:rFonts w:ascii="Calibri" w:hAnsi="Calibri" w:eastAsia="宋体"/>
          <w:sz w:val="21"/>
        </w:rPr>
        <w:t>RQ3 计数分析使用四项基础障碍的加总：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count = no_computer + no_mobile + low_edu + no_college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计数规则</w:t>
            </w:r>
          </w:p>
        </w:tc>
        <w:tc>
          <w:tcPr>
            <w:tcW w:type="dxa" w:w="727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取值</w:t>
            </w:r>
          </w:p>
        </w:tc>
        <w:tc>
          <w:tcPr>
            <w:tcW w:type="dxa" w:w="72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0、1、2、3、4，数值越大表示脆弱项越多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完整案例要求</w:t>
            </w:r>
          </w:p>
        </w:tc>
        <w:tc>
          <w:tcPr>
            <w:tcW w:type="dxa" w:w="72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四项均须可观测；任一项缺失则 count=NA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有效样本</w:t>
            </w:r>
          </w:p>
        </w:tc>
        <w:tc>
          <w:tcPr>
            <w:tcW w:type="dxa" w:w="72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2011 基期慢性人群 5,299 人中完整四项样本 3,251 人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剔除</w:t>
            </w:r>
          </w:p>
        </w:tc>
        <w:tc>
          <w:tcPr>
            <w:tcW w:type="dxa" w:w="72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2,048 人因至少一项条目缺失被剔除，剔除率 38.6%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与 DVI3 区别</w:t>
            </w:r>
          </w:p>
        </w:tc>
        <w:tc>
          <w:tcPr>
            <w:tcW w:type="dxa" w:w="72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count 是 4 个原始障碍条目的计数；DVI3 是三个 0-1 维度得分的等权平均</w:t>
            </w:r>
          </w:p>
        </w:tc>
      </w:tr>
    </w:tbl>
    <w:p>
      <w:pPr>
        <w:pStyle w:val="Heading2"/>
      </w:pPr>
      <w:r>
        <w:t>3.3 控制变量</w:t>
      </w:r>
    </w:p>
    <w:p>
      <w:pPr>
        <w:spacing w:after="100"/>
      </w:pPr>
      <w:r>
        <w:rPr>
          <w:rFonts w:ascii="Calibri" w:hAnsi="Calibri" w:eastAsia="宋体"/>
          <w:sz w:val="21"/>
        </w:rPr>
        <w:t>8 控制为年龄、性别、城乡、教育、婚姻、log(1+家庭人均消费)、基期慢性病数、城市人均 GDP 对数。12 控制在 8 控制上增加吸烟、饮酒、医保、子女数。</w:t>
      </w:r>
    </w:p>
    <w:p>
      <w:pPr>
        <w:pStyle w:val="Heading2"/>
      </w:pPr>
      <w:r>
        <w:t>3.4 CHARLS 操作化定义与赋值逻辑总表</w:t>
      </w:r>
    </w:p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注：下表为论文方法部分的变量总表；DVI 维度打分的逐条编码另见 3.2，BHCI 的逐项操作化另见 3.1。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2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7"/>
              </w:rPr>
              <w:t>变量类别</w:t>
            </w:r>
          </w:p>
        </w:tc>
        <w:tc>
          <w:tcPr>
            <w:tcW w:type="dxa" w:w="223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7"/>
              </w:rPr>
              <w:t>变量名称/符号</w:t>
            </w:r>
          </w:p>
        </w:tc>
        <w:tc>
          <w:tcPr>
            <w:tcW w:type="dxa" w:w="590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7"/>
              </w:rPr>
              <w:t>CHARLS 操作化定义与赋值逻辑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被解释变量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func_cap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功能能力 = 1 − (adlab_c + iadl)/11。ADL 受限项来自 db010-db015，IADL 受限项来自 db016-db020；回答有困难、需要帮助或无法完成记受限，无困难记不受限。取值 0-1，越大越好。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被解释变量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bhci_fixed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BHCI = (func_cap + psych_cap + srh_cap_fixed)/3。三个 0-1 分项等权平均，三项均须非缺失；取值 0-1，越大越好。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被解释变量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psych_cap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心理能力 = 1 − cesd10/30。cesd10 来自 dc009-dc018 的 CES-D10 简表，按 0-3 频率评分并处理正负向条目后加总；总分 0-30，越大越抑郁。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被解释变量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srh_cap_fixed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自评健康 = (srh−1)/4。da002 五级自评经项目清洗转为 1=很差…5=很好；取值 0-1，越大越好。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被解释变量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cog_cap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认知 = 定向 + 即时回忆 + 延迟回忆 + 连续减 7 + 画图，取值 0-31；2011-2018 各波按认知模块变量统一映射后加总，认知分项缺失规则以清洗代码为准。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结果稳健性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bhci4_z / hci_anderson / hci_pca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分别纳入认知或采用不同加权方式的综合指数，不作为主结果，仅作跨指数稳健性。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核心处理变量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gvar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城市进入批次：0=从未处理；3=2015 波首次处理；4=2018 波首次处理。由宽带中国试点城市名单与 CHARLS 城市代码匹配生成。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核心处理变量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D_it（treat_stack）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堆叠数据中的处理状态：gvar=3 且 wave≥3 记 1，gvar=4 且 wave≥4 记 1，never-treated 对照组记 0。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样本标识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chronic_base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2011 基期是否患至少一项慢性病：da007 系列慢性病清单中任一报告患病则 chronic_base=1，定稿主样本仅保留=1。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 原始条目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no_computer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家庭无电脑：own_computer_2011=0 记 1，own_computer_2011=1 记 0。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 原始条目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no_mobile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家庭无移动电话：own_mobile_2011=0 记 1，own_mobile_2011=1 记 0；2011 口径为移动电话而非智能手机。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 原始条目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low_edu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低教育：edu_base=1 记 1，edu_base 其他非缺失记 0。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 原始条目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no_college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无大专及以上学历子女：childless_2011=1 或 has_college_child_2011=0 记 1，否则记 0。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 动机代理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social_info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社会/信息参与：max(social1, social2, social4, social5)；对应 DA056 串门、麻将/社区活动站、体育社交俱乐部、社区组织，至少一项为 1 则记 1。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 动机代理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learning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学习/提升活动：max(social6, social8, social9)；对应 DA056 志愿/慈善、上学/培训、炒股/基金，至少一项为 1 则记 1。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 维度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dvi_mat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物质接入 = (no_computer + no_mobile)/2；维度内至少一项可观测时按非缺失项取均值。取值 0、0.5、1。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 维度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dvi_skill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技能/代理 = (low_edu + no_college)/2；维度内至少一项可观测时按非缺失项取均值。取值 0、0.5、1。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 维度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dvi_mot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动机/社会参与 = 1 − (social_info + learning)/2；至少一个活动代理可观测时计算，取值 0、0.5、1。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 合成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DVI3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DVI3 = rowMean(dvi_mot, dvi_mat, dvi_skill)，代码中执行 round(DVI3,4)；至少一个维度可观测时计算，三维全部缺失记 NA。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分组变量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grp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Low=DVI3≤0.5；Mid=0.6667/0.75；High=0.8333/1。构成顺序统一为 dvi_mot|dvi_mat|dvi_skill。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RQ3 计数变量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count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count = no_computer + no_mobile + low_edu + no_college；四项均须可观测，取值 0-4，缺失任一记 NA。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8 控制变量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age_base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2011 基期年龄（连续）。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8 控制变量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gender_base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2011 基期性别（项目清洗后的二分类变量）。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8 控制变量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rural_base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2011 基期城乡居住属性（农村/城镇）。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8 控制变量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edu_base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2011 基期教育类别；low_edu 用 edu_base==1 识别低教育。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8 控制变量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marry_base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2011 基期婚姻状态（是否在婚/有配偶）。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8 控制变量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log_hhcperc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log(1+hhcperc_base)；hhcperc_base 为 2011 基期家庭人均消费。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8 控制变量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chronic_count_base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2011 基期慢性病数量（连续）。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8 控制变量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gdp_pc_log_base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2011 年城市人均 GDP 的对数。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扩展控制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smoke_base / drink_base / ins_base / children_base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12 控制稳健性额外加入：吸烟、饮酒、医保与子女数，均为基期取值。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模型构造变量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cohort_unit / cohort_wave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7"/>
              </w:rPr>
              <w:t>cohort_unit=队列×个体；cohort_wave=队列×波次。二者不是 CHARLS 原始变量，而是堆叠 DID 中用于固定效应的构造变量。</w:t>
            </w:r>
          </w:p>
        </w:tc>
      </w:tr>
    </w:tbl>
    <w:p>
      <w:pPr>
        <w:pStyle w:val="Heading1"/>
      </w:pPr>
      <w:r>
        <w:t>4. 计量方法总框架</w:t>
      </w:r>
    </w:p>
    <w:p>
      <w:pPr>
        <w:pStyle w:val="Heading2"/>
      </w:pPr>
      <w:r>
        <w:t>4.1 为什么用堆叠 DID</w:t>
      </w:r>
    </w:p>
    <w:p>
      <w:pPr>
        <w:spacing w:after="100"/>
      </w:pPr>
      <w:r>
        <w:rPr>
          <w:rFonts w:ascii="Calibri" w:hAnsi="Calibri" w:eastAsia="宋体"/>
          <w:sz w:val="21"/>
        </w:rPr>
        <w:t>宽带中国为交错处理政策。TWFE 在处理效应异质时可能受负权重与“坏对照组”影响；堆叠 DID 对每个处理队列分别构造“该队列处理组 + never-treated 对照”，并允许各队列拥有自己的个体与时间效应。CS-DID 只作跨估计器稳健性，不承担主口径。</w:t>
      </w:r>
    </w:p>
    <w:p>
      <w:pPr>
        <w:pStyle w:val="Heading2"/>
      </w:pPr>
      <w:r>
        <w:t>4.2 堆叠数据结构</w:t>
      </w:r>
    </w:p>
    <w:p>
      <w:pPr>
        <w:spacing w:after="100"/>
      </w:pPr>
      <w:r>
        <w:rPr>
          <w:rFonts w:ascii="Calibri" w:hAnsi="Calibri" w:eastAsia="宋体"/>
          <w:sz w:val="21"/>
        </w:rPr>
        <w:t>对 g=3、4 两个队列分别构造堆叠样本。处理组为对应 gvar 的个体，对照组为 gvar=0 的从未处理个体；cohort_unit 与 cohort_wave 分别标识队列×个体、队列×波次。</w:t>
      </w:r>
    </w:p>
    <w:p>
      <w:pPr>
        <w:pStyle w:val="Heading2"/>
      </w:pPr>
      <w:r>
        <w:t>4.3 通用回归方程</w:t>
      </w:r>
    </w:p>
    <w:p>
      <w:pPr>
        <w:spacing w:after="100"/>
      </w:pPr>
      <w:r>
        <w:rPr>
          <w:rFonts w:ascii="Calibri" w:hAnsi="Calibri" w:eastAsia="宋体"/>
          <w:sz w:val="21"/>
        </w:rPr>
        <w:t>简单模型：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Y_it = β·D_it + α_g,i + λ_g,t + ε_it</w:t>
      </w:r>
    </w:p>
    <w:p>
      <w:pPr>
        <w:spacing w:after="100"/>
      </w:pPr>
      <w:r>
        <w:rPr>
          <w:rFonts w:ascii="Calibri" w:hAnsi="Calibri" w:eastAsia="宋体"/>
          <w:sz w:val="21"/>
        </w:rPr>
        <w:t>8 控制模型（定稿主口径）：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Y_it = β·D_it + Σ_k γ_k·(D_it × X_ik) + α_g,i + λ_g,t + ε_it</w:t>
      </w:r>
    </w:p>
    <w:p>
      <w:pPr>
        <w:spacing w:after="100"/>
      </w:pPr>
      <w:r>
        <w:rPr>
          <w:rFonts w:ascii="Calibri" w:hAnsi="Calibri" w:eastAsia="宋体"/>
          <w:sz w:val="21"/>
        </w:rPr>
        <w:t>时间不变控制不能以主效应进入方程，只能以“处理×控制”交互进入；ATT 在控制组均值处计算：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ATT = β + Σ_k γ_k·mean(X_k)</w:t>
      </w:r>
    </w:p>
    <w:p>
      <w:pPr>
        <w:pStyle w:val="Heading1"/>
      </w:pPr>
      <w:r>
        <w:t>5. RQ1：平均健康效应</w:t>
      </w:r>
    </w:p>
    <w:p>
      <w:pPr>
        <w:spacing w:after="100"/>
      </w:pPr>
      <w:r>
        <w:rPr>
          <w:rFonts w:ascii="Calibri" w:hAnsi="Calibri" w:eastAsia="宋体"/>
          <w:sz w:val="21"/>
        </w:rPr>
        <w:t>先检验平均效应：宽带中国是否改善慢性病老年人的健康能力。主要结论以 BHCI 与 func 承担，其余维度如实报告。</w:t>
      </w:r>
    </w:p>
    <w:p>
      <w:pPr>
        <w:pStyle w:val="Heading2"/>
      </w:pPr>
      <w:r>
        <w:t>5.1 计量方法选择与识别逻辑</w:t>
      </w:r>
    </w:p>
    <w:p>
      <w:pPr>
        <w:spacing w:after="100"/>
      </w:pPr>
      <w:r>
        <w:rPr>
          <w:rFonts w:ascii="Calibri" w:hAnsi="Calibri" w:eastAsia="宋体"/>
          <w:sz w:val="21"/>
        </w:rPr>
        <w:t>宽带中国按城市分批交错实施，在 2011-2018 主窗口中可观察到两个进入批次：2015 波首次处理队列（cohort_id=3）与 2018 波首次处理队列（cohort_id=4）。若直接使用 TWFE，早期处理城市可能成为晚期处理城市的对照，在个体处理效应存在异质性时产生负权重与坏对照组问题。</w:t>
      </w:r>
    </w:p>
    <w:p>
      <w:pPr>
        <w:spacing w:after="100"/>
      </w:pPr>
      <w:r>
        <w:rPr>
          <w:rFonts w:ascii="Calibri" w:hAnsi="Calibri" w:eastAsia="宋体"/>
          <w:sz w:val="21"/>
        </w:rPr>
        <w:t>因此定稿使用堆叠 DID：对每个处理队列单独构造一个“队列处理组 + 从未处理城市对照组”的子堆叠，再合并估计。队列×个体固定效应吸收个体不随时间变化的差异，队列×波次固定效应吸收各队列共同面对的宏观时间冲击；每个队列内部的处理个体均与从未处理个体比较，避免已处理城市充当后续队列的对照。</w:t>
      </w:r>
    </w:p>
    <w:p>
      <w:pPr>
        <w:spacing w:after="100"/>
      </w:pPr>
      <w:r>
        <w:rPr>
          <w:rFonts w:ascii="Calibri" w:hAnsi="Calibri" w:eastAsia="宋体"/>
          <w:sz w:val="21"/>
        </w:rPr>
        <w:t>标准误在地级市层面聚类，处理组与对照组的城市级冲击允许在同一城市内任意相关。结果变量分别估计 func_cap、bhci_fixed、psych_cap、srh_cap_fixed、cog_cap；主结论以 BHCI 与 func 为准，其余结果如实报告。</w:t>
      </w:r>
    </w:p>
    <w:p>
      <w:pPr>
        <w:pStyle w:val="Heading2"/>
      </w:pPr>
      <w:r>
        <w:t>5.2 RQ1 估计方程与 ATT 计算</w:t>
      </w:r>
    </w:p>
    <w:p>
      <w:pPr>
        <w:spacing w:after="100"/>
      </w:pPr>
      <w:r>
        <w:rPr>
          <w:rFonts w:ascii="Calibri" w:hAnsi="Calibri" w:eastAsia="宋体"/>
          <w:sz w:val="21"/>
        </w:rPr>
        <w:t>简单规格不加入控制变量，方程如下：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Y_it = β·D_it + α_g,i + λ_g,t + ε_it</w:t>
      </w:r>
    </w:p>
    <w:p>
      <w:pPr>
        <w:spacing w:after="100"/>
      </w:pPr>
      <w:r>
        <w:rPr>
          <w:rFonts w:ascii="Calibri" w:hAnsi="Calibri" w:eastAsia="宋体"/>
          <w:sz w:val="21"/>
        </w:rPr>
        <w:t>其中 D_it 表示个体 i 在队列 g 中 wave≥首次处理波时为 1 的处理状态；α_g,i 为队列×个体固定效应；λ_g,t 为队列×波次固定效应。</w:t>
      </w:r>
    </w:p>
    <w:p>
      <w:pPr>
        <w:spacing w:after="100"/>
      </w:pPr>
      <w:r>
        <w:rPr>
          <w:rFonts w:ascii="Calibri" w:hAnsi="Calibri" w:eastAsia="宋体"/>
          <w:sz w:val="21"/>
        </w:rPr>
        <w:t>8 控制规格是定稿主口径。基期控制变量不随时间变化，会被队列×个体固定效应吸收，因此不能以主效应进入方程，只能以“处理×控制”交互进入：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Y_it = β·D_it + Σ_k γ_k·(D_it × X_ik) + α_g,i + λ_g,t + ε_it</w:t>
      </w:r>
    </w:p>
    <w:p>
      <w:pPr>
        <w:spacing w:after="100"/>
      </w:pPr>
      <w:r>
        <w:rPr>
          <w:rFonts w:ascii="Calibri" w:hAnsi="Calibri" w:eastAsia="宋体"/>
          <w:sz w:val="21"/>
        </w:rPr>
        <w:t>ATT 不是单个交互系数本身，而是在控制组样本均值处线性组合所有处理项后得到：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ATT = β + Σ_k γ_k·mean(X_k)</w:t>
      </w:r>
    </w:p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注：8 控制为年龄、性别、城乡、教育、婚姻、log(1+家庭人均消费)、基期慢性病数、城市人均 GDP 对数。估计前样本要求结果变量与全部 8 控制非缺失。</w:t>
      </w:r>
    </w:p>
    <w:p>
      <w:pPr>
        <w:pStyle w:val="Heading2"/>
      </w:pPr>
      <w:r>
        <w:t>5.3 队列特定 ATT 与聚合</w:t>
      </w:r>
    </w:p>
    <w:p>
      <w:pPr>
        <w:spacing w:after="100"/>
      </w:pPr>
      <w:r>
        <w:rPr>
          <w:rFonts w:ascii="Calibri" w:hAnsi="Calibri" w:eastAsia="宋体"/>
          <w:sz w:val="21"/>
        </w:rPr>
        <w:t>队列特定 ATT 对 cohort_id=3 与 4 分别使用无控制的简单规格：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Y_it = β_g·D_it + α_g,i + λ_g,t + ε_it，g ∈ {3, 4}</w:t>
      </w:r>
    </w:p>
    <w:p>
      <w:pPr>
        <w:spacing w:after="100"/>
      </w:pPr>
      <w:r>
        <w:rPr>
          <w:rFonts w:ascii="Calibri" w:hAnsi="Calibri" w:eastAsia="宋体"/>
          <w:sz w:val="21"/>
        </w:rPr>
        <w:t>汇总 ATT 按各队列处理观测数加权：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ATT_pool = Σ_g w_g·ATT_g，w_g = n_treated,g / Σ_g n_treated,g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SE_pool = sqrt(Σ_g (w_g·SE_g)²)</w:t>
      </w:r>
    </w:p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注：队列特定表与队列加权表使用 simple 规格，不混入 8 控制规格。</w:t>
      </w:r>
    </w:p>
    <w:p>
      <w:pPr>
        <w:pStyle w:val="Heading2"/>
      </w:pPr>
      <w:r>
        <w:t>5.4 事件研究与共同窗口</w:t>
      </w:r>
    </w:p>
    <w:p>
      <w:pPr>
        <w:spacing w:after="100"/>
      </w:pPr>
      <w:r>
        <w:rPr>
          <w:rFonts w:ascii="Calibri" w:hAnsi="Calibri" w:eastAsia="宋体"/>
          <w:sz w:val="21"/>
        </w:rPr>
        <w:t>动态效应使用事件研究规格，以 egt=-1 为基准期，事件时间在堆叠数据中定义为 egt=wave−cohort_id：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Y_it = Σ_e δ_e·(1{Egt_it=e} × TreatedEver_i) + α_g,i + λ_g,t + ε_it</w:t>
      </w:r>
    </w:p>
    <w:p>
      <w:pPr>
        <w:spacing w:after="100"/>
      </w:pPr>
      <w:r>
        <w:rPr>
          <w:rFonts w:ascii="Calibri" w:hAnsi="Calibri" w:eastAsia="宋体"/>
          <w:sz w:val="21"/>
        </w:rPr>
        <w:t>TreatedEver_i 表示个体属于任一处理队列；系数 δ_e 捕捉处理组相对基准期的动态差异。处理前 egt=-3、-2 的系数联合 Wald 检验用于平行趋势诊断，若联合不拒绝 δ_-3=δ_-2=0，则不能拒绝平行趋势。</w:t>
      </w:r>
    </w:p>
    <w:p>
      <w:pPr>
        <w:spacing w:after="100"/>
      </w:pPr>
      <w:r>
        <w:rPr>
          <w:rFonts w:ascii="Calibri" w:hAnsi="Calibri" w:eastAsia="宋体"/>
          <w:sz w:val="21"/>
        </w:rPr>
        <w:t>共同窗口稳健性将样本限制在 egt∈{-2,0}，只用事件前两期至处理当期，减少远前期趋势与处理后期污染对 ATT 的影响。</w:t>
      </w:r>
    </w:p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注：RQ1 事件研究与共同窗口均采用不加控制变量的动态/限制窗口规格，用于识别诊断，不替代 8 控制主表。</w:t>
      </w:r>
    </w:p>
    <w:p>
      <w:pPr>
        <w:pStyle w:val="Heading2"/>
      </w:pPr>
      <w:r>
        <w:t>5.5 RQ1 主结果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结果</w:t>
            </w:r>
          </w:p>
        </w:tc>
        <w:tc>
          <w:tcPr>
            <w:tcW w:type="dxa" w:w="367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simple ATT (SE) [p]</w:t>
            </w:r>
          </w:p>
        </w:tc>
        <w:tc>
          <w:tcPr>
            <w:tcW w:type="dxa" w:w="3960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8 控制 ATT (SE) [p]</w:t>
            </w:r>
          </w:p>
        </w:tc>
      </w:tr>
      <w:tr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func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0.0193 (0.0074) [0.011]</w:t>
            </w:r>
          </w:p>
        </w:tc>
        <w:tc>
          <w:tcPr>
            <w:tcW w:type="dxa" w:w="396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0.0187 (0.0080) [0.020]</w:t>
            </w:r>
          </w:p>
        </w:tc>
      </w:tr>
      <w:tr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BHCI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0.0133 (0.0044) [0.003]</w:t>
            </w:r>
          </w:p>
        </w:tc>
        <w:tc>
          <w:tcPr>
            <w:tcW w:type="dxa" w:w="396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0.0127 (0.0045) [0.004]</w:t>
            </w:r>
          </w:p>
        </w:tc>
      </w:tr>
      <w:tr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psych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0.0072 (0.0072) [0.325]</w:t>
            </w:r>
          </w:p>
        </w:tc>
        <w:tc>
          <w:tcPr>
            <w:tcW w:type="dxa" w:w="396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0.0113 (0.0075) [0.128]</w:t>
            </w:r>
          </w:p>
        </w:tc>
      </w:tr>
      <w:tr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srh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0.0064 (0.0074) [0.388]</w:t>
            </w:r>
          </w:p>
        </w:tc>
        <w:tc>
          <w:tcPr>
            <w:tcW w:type="dxa" w:w="396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−0.0022 (0.0090) [0.805]</w:t>
            </w:r>
          </w:p>
        </w:tc>
      </w:tr>
      <w:tr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cog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−0.0083 (0.2428) [0.973]</w:t>
            </w:r>
          </w:p>
        </w:tc>
        <w:tc>
          <w:tcPr>
            <w:tcW w:type="dxa" w:w="396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−0.1400 (0.2532) [0.580]</w:t>
            </w:r>
          </w:p>
        </w:tc>
      </w:tr>
    </w:tbl>
    <w:p>
      <w:pPr>
        <w:pStyle w:val="Heading2"/>
      </w:pPr>
      <w:r>
        <w:t>5.6 队列与动态效应结果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项目</w:t>
            </w:r>
          </w:p>
        </w:tc>
        <w:tc>
          <w:tcPr>
            <w:tcW w:type="dxa" w:w="489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数值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BHCI 2015 批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0.0148 (0.0061) [p=0.017]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BHCI 2018 批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0.0116 (0.0049) [p=0.019]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func 2015 批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0.0153 (0.0089) [p=0.091]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func 2018 批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0.0239 (0.0100) [p=0.019]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共同窗口 func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0.0198 [p=0.003]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共同窗口 BHCI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0.0114 [p=0.009]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事件研究 func egt=0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0.0190 [p=0.008]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事件研究 BHCI egt=0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0.0119 [p=0.026]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事件研究 BHCI egt=1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0.0214 [p=0.005]</w:t>
            </w:r>
          </w:p>
        </w:tc>
      </w:tr>
    </w:tbl>
    <w:p>
      <w:pPr>
        <w:pStyle w:val="Heading1"/>
      </w:pPr>
      <w:r>
        <w:t>6. RQ2：数字包容效应</w:t>
      </w:r>
    </w:p>
    <w:p>
      <w:pPr>
        <w:spacing w:after="100"/>
      </w:pPr>
      <w:r>
        <w:rPr>
          <w:rFonts w:ascii="Calibri" w:hAnsi="Calibri" w:eastAsia="宋体"/>
          <w:sz w:val="21"/>
        </w:rPr>
        <w:t>RQ2 检验收益是否向数字脆弱群体倾斜。由于 DVI 由离散障碍构成，主分析不是单一线性交互，而是 Low/Mid/High 三组异质性。</w:t>
      </w:r>
    </w:p>
    <w:p>
      <w:pPr>
        <w:pStyle w:val="Heading2"/>
      </w:pPr>
      <w:r>
        <w:t>6.1 RQ2 识别逻辑与分组策略</w:t>
      </w:r>
    </w:p>
    <w:p>
      <w:pPr>
        <w:spacing w:after="100"/>
      </w:pPr>
      <w:r>
        <w:rPr>
          <w:rFonts w:ascii="Calibri" w:hAnsi="Calibri" w:eastAsia="宋体"/>
          <w:sz w:val="21"/>
        </w:rPr>
        <w:t>平均效应只能说明“是否有效”，不能说明“谁受益”。RQ2 在 RQ1 基础上，按 2011 基期 DVI3 将慢性病老年人分为 Low、Mid、High 三组，分别估计组内 ATT。分组使用基期固定取值，避免处理后的数字行为变化反向影响分组。</w:t>
      </w:r>
    </w:p>
    <w:p>
      <w:pPr>
        <w:spacing w:after="100"/>
      </w:pPr>
      <w:r>
        <w:rPr>
          <w:rFonts w:ascii="Calibri" w:hAnsi="Calibri" w:eastAsia="宋体"/>
          <w:sz w:val="21"/>
        </w:rPr>
        <w:t>分组不是事后找显著，而是由 DVI 离散结构决定：DVI3 只包含 0、0.1667、0.25、0.3333、0.5、0.6667、0.75、0.8333、1 等取值，本身不是连续的脆弱线性标尺，因此主分析采用离散三分组而不是单一线性交互。Low=≤0.5，Mid=0.6667/0.75，High=0.8333/1。</w:t>
      </w:r>
    </w:p>
    <w:p>
      <w:pPr>
        <w:pStyle w:val="Heading2"/>
      </w:pPr>
      <w:r>
        <w:t>6.2 组内 ATT 方程</w:t>
      </w:r>
    </w:p>
    <w:p>
      <w:pPr>
        <w:spacing w:after="100"/>
      </w:pPr>
      <w:r>
        <w:rPr>
          <w:rFonts w:ascii="Calibri" w:hAnsi="Calibri" w:eastAsia="宋体"/>
          <w:sz w:val="21"/>
        </w:rPr>
        <w:t>对每组 g∈{Low, Mid, High} 分别使用 RQ1 的 8 控制规格：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Y_it = β_g·D_it + Σ_k γ_gk·(D_it × X_ik) + α_g,i + λ_g,t + ε_it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ATT_g = β_g + Σ_k γ_gk·mean_g(X_k)</w:t>
      </w:r>
    </w:p>
    <w:p>
      <w:pPr>
        <w:spacing w:after="100"/>
      </w:pPr>
      <w:r>
        <w:rPr>
          <w:rFonts w:ascii="Calibri" w:hAnsi="Calibri" w:eastAsia="宋体"/>
          <w:sz w:val="21"/>
        </w:rPr>
        <w:t>控制变量的组内均值在对应组别样本中计算。这样既可以消除组内基期可观测特征的均值差异，又不会把时间不变控制当作单独的主效应重复吸收。</w:t>
      </w:r>
    </w:p>
    <w:p>
      <w:pPr>
        <w:pStyle w:val="Heading2"/>
      </w:pPr>
      <w:r>
        <w:t>6.3 组间差异检验方程</w:t>
      </w:r>
    </w:p>
    <w:p>
      <w:pPr>
        <w:spacing w:after="100"/>
      </w:pPr>
      <w:r>
        <w:rPr>
          <w:rFonts w:ascii="Calibri" w:hAnsi="Calibri" w:eastAsia="宋体"/>
          <w:sz w:val="21"/>
        </w:rPr>
        <w:t>High-Low 与 High-Mid 的差异不能由三个独立点估计直接相减，而是来自一次回归中的处理×组别交互及其协方差矩阵：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Y_it = β·D_it + γ_Mid·(D_it×I(Mid)) + γ_High·(D_it×I(High)) + Σ_k γ_k·(D_it×X_ik) + α_g,i + λ_g,t + ε_it</w:t>
      </w:r>
    </w:p>
    <w:p>
      <w:pPr>
        <w:spacing w:after="100"/>
      </w:pPr>
      <w:r>
        <w:rPr>
          <w:rFonts w:ascii="Calibri" w:hAnsi="Calibri" w:eastAsia="宋体"/>
          <w:sz w:val="21"/>
        </w:rPr>
        <w:t>Low 为基准组。此时 High-Low=γ_High；High-Mid=γ_High−γ_Mid，其标准误由同一回归的 γ_High 与 γ_Mid 方差及协方差计算。</w:t>
      </w:r>
    </w:p>
    <w:p>
      <w:pPr>
        <w:pStyle w:val="Heading2"/>
      </w:pPr>
      <w:r>
        <w:t>6.4 平行趋势与事件研究</w:t>
      </w:r>
    </w:p>
    <w:p>
      <w:pPr>
        <w:spacing w:after="100"/>
      </w:pPr>
      <w:r>
        <w:rPr>
          <w:rFonts w:ascii="Calibri" w:hAnsi="Calibri" w:eastAsia="宋体"/>
          <w:sz w:val="21"/>
        </w:rPr>
        <w:t>每组分别估计事件研究，检验处理前是否存在差异轨迹：</w:t>
      </w:r>
    </w:p>
    <w:p>
      <w:pPr>
        <w:spacing w:before="40" w:after="100"/>
        <w:jc w:val="center"/>
      </w:pPr>
      <w:r>
        <w:rPr>
          <w:rFonts w:ascii="Cambria Math" w:hAnsi="Cambria Math" w:eastAsia="宋体"/>
          <w:sz w:val="21"/>
        </w:rPr>
        <w:t>Y_it = Σ_e δ_ge·(1{Egt_it=e} × TreatedEver_i) + α_g,i + λ_g,t + ε_it</w:t>
      </w:r>
    </w:p>
    <w:p>
      <w:pPr>
        <w:spacing w:after="100"/>
      </w:pPr>
      <w:r>
        <w:rPr>
          <w:rFonts w:ascii="Calibri" w:hAnsi="Calibri" w:eastAsia="宋体"/>
          <w:sz w:val="21"/>
        </w:rPr>
        <w:t>对每组 egt∈{-3,-2} 的系数做联合 Wald 检验。三组主口径以 Low、Mid、High 分别报告；额外 Low_Mid 行是 Low+Mid 合并的非 High 辅助检验，只用于 High vs 非 High 对照，不属于第四个分组。</w:t>
      </w:r>
    </w:p>
    <w:p>
      <w:pPr>
        <w:spacing w:before="40" w:after="120"/>
      </w:pPr>
      <w:r>
        <w:rPr>
          <w:rFonts w:ascii="Calibri" w:hAnsi="Calibri" w:eastAsia="宋体"/>
          <w:i/>
          <w:color w:val="505050"/>
          <w:sz w:val="18"/>
        </w:rPr>
        <w:t>注：RQ2 预趋势与事件研究以 BHCI 为结果变量、不加 8 控制的动态规格，仅用于识别诊断。</w:t>
      </w:r>
    </w:p>
    <w:p>
      <w:pPr>
        <w:pStyle w:val="Heading2"/>
      </w:pPr>
      <w:r>
        <w:t>6.5 稳健性检验与多重检验规则</w:t>
      </w:r>
    </w:p>
    <w:p>
      <w:pPr>
        <w:spacing w:after="100"/>
      </w:pPr>
      <w:r>
        <w:rPr>
          <w:rFonts w:ascii="Calibri" w:hAnsi="Calibri" w:eastAsia="宋体"/>
          <w:sz w:val="21"/>
        </w:rPr>
        <w:t>RQ2 稳健性围绕两个可能质疑：一是 High 组估计是否由基线 SES 差异驱动，二是三组结果是否只依赖某一种 DVI 口径。项目内对照包括 SES-only、IPW、12 控制、全样本 60+、二维 DVI、队列权重与城市聚类 bootstrap。</w:t>
      </w:r>
    </w:p>
    <w:p>
      <w:pPr>
        <w:spacing w:after="100"/>
      </w:pPr>
      <w:r>
        <w:rPr>
          <w:rFonts w:ascii="Calibri" w:hAnsi="Calibri" w:eastAsia="宋体"/>
          <w:sz w:val="21"/>
        </w:rPr>
        <w:t>FDR 校正规则为结果变量内 BH-FDR：对同一结果变量跨 Low/Mid/High 或跨对比项校正 q 值；部分 RQ3 表在结果×维度内校正。正文与表注必须说明校正范围，不能混用不同口径。</w:t>
      </w:r>
    </w:p>
    <w:p>
      <w:pPr>
        <w:pStyle w:val="Heading2"/>
      </w:pPr>
      <w:r>
        <w:t>6.6 DVI=1 单格口径说明</w:t>
      </w:r>
    </w:p>
    <w:p>
      <w:pPr>
        <w:spacing w:after="100"/>
      </w:pPr>
      <w:r>
        <w:rPr>
          <w:rFonts w:ascii="Calibri" w:hAnsi="Calibri" w:eastAsia="宋体"/>
          <w:sz w:val="21"/>
        </w:rPr>
        <w:t>DVI=1（三维均完全脆弱或含 NA|1|1）在 CS-DID 稳健性中因 cohort×city 支持不足无法收敛；在主口径堆叠 DID 下可估计（BHCI ATT=0.0306，SE=0.0112，p=0.0064），但该格预趋势检验失败（p=0.0013），且效应主要由 NA|1|1（动机缺失）样本驱动，1|1|1 完整脆弱组不显著。因此正文以 0.8333 与 1.0 并组的 High 组为主结果，DVI=1 单格仅在附录报告估计值、支持度与诊断。</w:t>
      </w:r>
    </w:p>
    <w:p>
      <w:pPr>
        <w:pStyle w:val="Heading2"/>
      </w:pPr>
      <w:r>
        <w:t>6.7 结果：三组 ATT（8 控制）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结果</w:t>
            </w:r>
          </w:p>
        </w:tc>
        <w:tc>
          <w:tcPr>
            <w:tcW w:type="dxa" w:w="237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Low</w:t>
            </w:r>
          </w:p>
        </w:tc>
        <w:tc>
          <w:tcPr>
            <w:tcW w:type="dxa" w:w="237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Mid</w:t>
            </w:r>
          </w:p>
        </w:tc>
        <w:tc>
          <w:tcPr>
            <w:tcW w:type="dxa" w:w="237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High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BHCI</w:t>
            </w:r>
          </w:p>
        </w:tc>
        <w:tc>
          <w:tcPr>
            <w:tcW w:type="dxa" w:w="237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0.0027 (0.0077) [q=0.721]</w:t>
            </w:r>
          </w:p>
        </w:tc>
        <w:tc>
          <w:tcPr>
            <w:tcW w:type="dxa" w:w="237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0.0128 (0.0098) [q=0.289]</w:t>
            </w:r>
          </w:p>
        </w:tc>
        <w:tc>
          <w:tcPr>
            <w:tcW w:type="dxa" w:w="237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0.0220 (0.0068) [q=0.004]</w:t>
            </w:r>
          </w:p>
        </w:tc>
      </w:tr>
      <w:tr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func</w:t>
            </w:r>
          </w:p>
        </w:tc>
        <w:tc>
          <w:tcPr>
            <w:tcW w:type="dxa" w:w="237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0.0162 (0.0099) [q=0.150]</w:t>
            </w:r>
          </w:p>
        </w:tc>
        <w:tc>
          <w:tcPr>
            <w:tcW w:type="dxa" w:w="237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0.0136 (0.0147) [q=0.353]</w:t>
            </w:r>
          </w:p>
        </w:tc>
        <w:tc>
          <w:tcPr>
            <w:tcW w:type="dxa" w:w="237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0.0244 (0.0121) [q=0.133]</w:t>
            </w:r>
          </w:p>
        </w:tc>
      </w:tr>
    </w:tbl>
    <w:p>
      <w:pPr>
        <w:pStyle w:val="Heading2"/>
      </w:pPr>
      <w:r>
        <w:t>6.8 结果：组间差异检验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对比</w:t>
            </w:r>
          </w:p>
        </w:tc>
        <w:tc>
          <w:tcPr>
            <w:tcW w:type="dxa" w:w="259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结果</w:t>
            </w:r>
          </w:p>
        </w:tc>
        <w:tc>
          <w:tcPr>
            <w:tcW w:type="dxa" w:w="187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p 值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BHCI High-Low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亲弱势主证据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0.0284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0.0035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BHCI High-Mid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方向一致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0.0167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0.059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func High-Low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不显著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0.0209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0.119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func High-Mid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不显著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0.0115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0.365</w:t>
            </w:r>
          </w:p>
        </w:tc>
      </w:tr>
    </w:tbl>
    <w:p>
      <w:pPr>
        <w:pStyle w:val="Heading2"/>
      </w:pPr>
      <w:r>
        <w:t>6.9 结果：预趋势与稳健性</w:t>
      </w:r>
    </w:p>
    <w:p>
      <w:pPr>
        <w:spacing w:after="100"/>
      </w:pPr>
      <w:r>
        <w:rPr>
          <w:rFonts w:ascii="Calibri" w:hAnsi="Calibri" w:eastAsia="宋体"/>
          <w:sz w:val="21"/>
        </w:rPr>
        <w:t>平行趋势：Low p=0.403、Mid p=0.893、High p=0.457，High 组通过检验。稳健性：IPW High BHCI 0.0216（p=0.006）；12 控制 High 0.0222（p=0.0009）；全样本 High 0.0195（p=0.003）；二维 DVI High 0.0189（p=0.0009）。</w:t>
      </w:r>
    </w:p>
    <w:p>
      <w:pPr>
        <w:pStyle w:val="Heading1"/>
      </w:pPr>
      <w:r>
        <w:t>7. RQ3：脆弱数量还是脆弱结构</w:t>
      </w:r>
    </w:p>
    <w:p>
      <w:pPr>
        <w:spacing w:after="100"/>
      </w:pPr>
      <w:r>
        <w:rPr>
          <w:rFonts w:ascii="Calibri" w:hAnsi="Calibri" w:eastAsia="宋体"/>
          <w:sz w:val="21"/>
        </w:rPr>
        <w:t>RQ3 按“先计数、再维度、再联合、再同分不同构成”推进，用于区分数量累积与结构/关键约束两种解释。</w:t>
      </w:r>
    </w:p>
    <w:p>
      <w:pPr>
        <w:pStyle w:val="Heading2"/>
      </w:pPr>
      <w:r>
        <w:t>7.1 计数路径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结果</w:t>
            </w:r>
          </w:p>
        </w:tc>
        <w:tc>
          <w:tcPr>
            <w:tcW w:type="dxa" w:w="7272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结论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完整计数样本</w:t>
            </w:r>
          </w:p>
        </w:tc>
        <w:tc>
          <w:tcPr>
            <w:tcW w:type="dxa" w:w="72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3,251 / 5,299；缺失 2,048（38.6%）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计数 ATT</w:t>
            </w:r>
          </w:p>
        </w:tc>
        <w:tc>
          <w:tcPr>
            <w:tcW w:type="dxa" w:w="72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count2=0.0251（q=0.098）、count3=0.0278（q=0.010）、count4=0.0234（q=0.151）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线性趋势</w:t>
            </w:r>
          </w:p>
        </w:tc>
        <w:tc>
          <w:tcPr>
            <w:tcW w:type="dxa" w:w="72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p=0.431，不显著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门槛对比</w:t>
            </w:r>
          </w:p>
        </w:tc>
        <w:tc>
          <w:tcPr>
            <w:tcW w:type="dxa" w:w="72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全部不显著</w:t>
            </w:r>
          </w:p>
        </w:tc>
      </w:tr>
      <w:tr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min3 稳健性</w:t>
            </w:r>
          </w:p>
        </w:tc>
        <w:tc>
          <w:tcPr>
            <w:tcW w:type="dxa" w:w="7272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峰值位置不稳定，不作峰值结论</w:t>
            </w:r>
          </w:p>
        </w:tc>
      </w:tr>
    </w:tbl>
    <w:p>
      <w:pPr>
        <w:pStyle w:val="Heading2"/>
      </w:pPr>
      <w:r>
        <w:t>7.2 维度×分组×状态</w:t>
      </w:r>
    </w:p>
    <w:p>
      <w:pPr>
        <w:spacing w:after="100"/>
      </w:pPr>
      <w:r>
        <w:rPr>
          <w:rFonts w:ascii="Calibri" w:hAnsi="Calibri" w:eastAsia="宋体"/>
          <w:sz w:val="21"/>
        </w:rPr>
        <w:t>报告各维度在 High 组完全脆弱状态（status=1）下的 ATT：物质 0.0240（SE 0.0095，p=0.011）；技能 0.0202（SE 0.0074，q=0.025）；动机/社会参与 0.0214（SE 0.0075，q=0.023）。三类维度点估计均为正，但效应大小与分布模式不完全一致。</w:t>
      </w:r>
    </w:p>
    <w:p>
      <w:pPr>
        <w:pStyle w:val="Heading2"/>
      </w:pPr>
      <w:r>
        <w:t>7.3 联合交互模型</w:t>
      </w:r>
    </w:p>
    <w:p>
      <w:pPr>
        <w:spacing w:after="100"/>
      </w:pPr>
      <w:r>
        <w:rPr>
          <w:rFonts w:ascii="Calibri" w:hAnsi="Calibri" w:eastAsia="宋体"/>
          <w:sz w:val="21"/>
        </w:rPr>
        <w:t>同时纳入三个维度后，BHCI 的 treat×动机/社会参与为 0.0279（SE 0.0124，p=0.026）；treat×物质 0.0155（p=0.108）；treat×技能 0.0064（p=0.657）。func 模型中三个维度交互均不显著。该结果表示动机/社会参与包含超出其他两个维度共同变化之外的异质性信息，但不应表述为因果机制。</w:t>
      </w:r>
    </w:p>
    <w:p>
      <w:pPr>
        <w:pStyle w:val="Heading2"/>
      </w:pPr>
      <w:r>
        <w:t>7.4 同总分不同构成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构成（动机/社会参与|物质|技能）</w:t>
            </w:r>
          </w:p>
        </w:tc>
        <w:tc>
          <w:tcPr>
            <w:tcW w:type="dxa" w:w="266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含义</w:t>
            </w:r>
          </w:p>
        </w:tc>
        <w:tc>
          <w:tcPr>
            <w:tcW w:type="dxa" w:w="352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BHCI ATT (SE) [q]</w:t>
            </w:r>
          </w:p>
        </w:tc>
      </w:tr>
      <w:tr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0.5|0.5|1</w:t>
            </w:r>
          </w:p>
        </w:tc>
        <w:tc>
          <w:tcPr>
            <w:tcW w:type="dxa" w:w="26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技能完全脆弱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−0.0059 (0.0140) [q=0.843]</w:t>
            </w:r>
          </w:p>
        </w:tc>
      </w:tr>
      <w:tr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0.5|1|0.5</w:t>
            </w:r>
          </w:p>
        </w:tc>
        <w:tc>
          <w:tcPr>
            <w:tcW w:type="dxa" w:w="26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物质完全脆弱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0.0226 (0.0194) [q=0.608]</w:t>
            </w:r>
          </w:p>
        </w:tc>
      </w:tr>
      <w:tr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1|0.5|0.5</w:t>
            </w:r>
          </w:p>
        </w:tc>
        <w:tc>
          <w:tcPr>
            <w:tcW w:type="dxa" w:w="26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动机/社会参与完全脆弱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0.0460 (0.0149) [q=0.010]</w:t>
            </w:r>
          </w:p>
        </w:tc>
      </w:tr>
      <w:tr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1|0|1</w:t>
            </w:r>
          </w:p>
        </w:tc>
        <w:tc>
          <w:tcPr>
            <w:tcW w:type="dxa" w:w="26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动机+技能完全脆弱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−0.0198 (0.0274) [q=0.784]</w:t>
            </w:r>
          </w:p>
        </w:tc>
      </w:tr>
      <w:tr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1|1|0</w:t>
            </w:r>
          </w:p>
        </w:tc>
        <w:tc>
          <w:tcPr>
            <w:tcW w:type="dxa" w:w="266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动机+物质完全脆弱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0.0017 (0.0217) [q=0.939]</w:t>
            </w:r>
          </w:p>
        </w:tc>
      </w:tr>
    </w:tbl>
    <w:p>
      <w:pPr>
        <w:spacing w:after="100"/>
      </w:pPr>
      <w:r>
        <w:rPr>
          <w:rFonts w:ascii="Calibri" w:hAnsi="Calibri" w:eastAsia="宋体"/>
          <w:sz w:val="21"/>
        </w:rPr>
        <w:t>核心对比：1|0.5|0.5 − 0.5|0.5|1 = 0.0519（p=0.0124，q=0.0497）。构成顺序必须与代码一致：dvi_mot | dvi_mat | dvi_skill。</w:t>
      </w:r>
    </w:p>
    <w:p>
      <w:pPr>
        <w:pStyle w:val="Heading2"/>
      </w:pPr>
      <w:r>
        <w:t>7.5 机制描述</w:t>
      </w:r>
    </w:p>
    <w:p>
      <w:pPr>
        <w:spacing w:after="100"/>
      </w:pPr>
      <w:r>
        <w:rPr>
          <w:rFonts w:ascii="Calibri" w:hAnsi="Calibri" w:eastAsia="宋体"/>
          <w:sz w:val="21"/>
        </w:rPr>
        <w:t>描述性结果显示 High/Mid 组基期与 2015/2018 上网率均为 0，Low 组约 3%。该结果不支持“通过上网使用”的渠道解释，正文建议使用“转化约束”表述，且不把事后变量写成正式中介。</w:t>
      </w:r>
    </w:p>
    <w:p>
      <w:pPr>
        <w:pStyle w:val="Heading2"/>
      </w:pPr>
      <w:r>
        <w:t>7.6 结论写法与局限</w:t>
      </w:r>
    </w:p>
    <w:p>
      <w:pPr>
        <w:spacing w:after="100"/>
      </w:pPr>
      <w:r>
        <w:rPr>
          <w:rFonts w:ascii="Calibri" w:hAnsi="Calibri" w:eastAsia="宋体"/>
          <w:sz w:val="21"/>
        </w:rPr>
        <w:t>RQ3 的结论写作建议为：收益集中在高数字脆弱组，但不是劣势条数的简单累积；在同等总脆弱水平下，动机/转化维度不同的群体收益显著不同，说明转化条件比障碍数量更决定数字资源能否变成健康收益。</w:t>
      </w:r>
    </w:p>
    <w:p>
      <w:pPr>
        <w:spacing w:after="100"/>
      </w:pPr>
      <w:r>
        <w:rPr>
          <w:rFonts w:ascii="Calibri" w:hAnsi="Calibri" w:eastAsia="宋体"/>
          <w:sz w:val="21"/>
        </w:rPr>
        <w:t>局限段至少包含三件事：DVI=1 单格在堆叠 DID 下可估但预趋势失败；DVI=1 内 NA|1|1（动机缺失）样本会放大效应，完整脆弱构成 1|1|1 不显著；上网率等机制变量为事后描述，只能作转化约束的佐证，不作正式中介推断。</w:t>
      </w:r>
    </w:p>
    <w:p>
      <w:pPr>
        <w:pStyle w:val="Heading1"/>
      </w:pPr>
      <w:r>
        <w:t>8. 结果表与源文件映射（写作时使用）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论文建议表号</w:t>
            </w:r>
          </w:p>
        </w:tc>
        <w:tc>
          <w:tcPr>
            <w:tcW w:type="dxa" w:w="3384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内容</w:t>
            </w:r>
          </w:p>
        </w:tc>
        <w:tc>
          <w:tcPr>
            <w:tcW w:type="dxa" w:w="4320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源文件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表1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样本与描述统计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data_stacked_v2.csv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表2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RQ1 主表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rq1_chronic_version/rq1_chronic_att.csv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表3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RQ1 队列 ATT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rq1_chronic_cohort_att.csv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表4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RQ2 三组 ATT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rq2_three_group_ctrl8_v2.csv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表5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RQ2 组间对比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rq2_three_group_ctrl8_contrasts_v2.csv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表6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RQ2 预趋势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rq2_three_group_pre_trend_v2.csv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表7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RQ3 维度×分组×状态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rq3_recommended_core.csv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表8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RQ3 联合模型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rq3_recommended_joint.csv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表9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RQ3 同总分构成与对比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rq3_recommended_composition.csv、_contrasts.csv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表10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RQ3 计数系列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rq3_count_*.csv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稳健性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IPW/12 控制/全样本/二维 DVI/分解/bootstrap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supplementary/* 与根目录对应 CSV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附录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DVI=1 与诊断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rq2_dvi1_threshold_v2.csv、diagnostics/*</w:t>
            </w:r>
          </w:p>
        </w:tc>
      </w:tr>
    </w:tbl>
    <w:p>
      <w:pPr>
        <w:pStyle w:val="Heading1"/>
      </w:pPr>
      <w:r>
        <w:t>9. 统一写作与核查待办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编号</w:t>
            </w:r>
          </w:p>
        </w:tc>
        <w:tc>
          <w:tcPr>
            <w:tcW w:type="dxa" w:w="8568"/>
            <w:shd w:val="clear" w:fill="E8EEF5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/>
                <w:sz w:val="19"/>
              </w:rPr>
              <w:t>核查事项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</w:t>
            </w:r>
          </w:p>
        </w:tc>
        <w:tc>
          <w:tcPr>
            <w:tcW w:type="dxa" w:w="856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表注统一为“堆叠 DID，队列×个体 + 队列×波次固定效应，never-treated 对照，标准误按地级市聚类”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</w:t>
            </w:r>
          </w:p>
        </w:tc>
        <w:tc>
          <w:tcPr>
            <w:tcW w:type="dxa" w:w="856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RQ3 构成顺序统一为“动机/社会参与 | 物质 | 技能”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</w:t>
            </w:r>
          </w:p>
        </w:tc>
        <w:tc>
          <w:tcPr>
            <w:tcW w:type="dxa" w:w="856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计数分布表补 3,251/5,299 与 2,048 人缺失说明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4</w:t>
            </w:r>
          </w:p>
        </w:tc>
        <w:tc>
          <w:tcPr>
            <w:tcW w:type="dxa" w:w="856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DVI=1 说明放入 RQ2 方法、附录与局限，并按 6.6 口径写作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5</w:t>
            </w:r>
          </w:p>
        </w:tc>
        <w:tc>
          <w:tcPr>
            <w:tcW w:type="dxa" w:w="856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诊断表按新口径重跑确认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6</w:t>
            </w:r>
          </w:p>
        </w:tc>
        <w:tc>
          <w:tcPr>
            <w:tcW w:type="dxa" w:w="856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事件研究图用堆叠口径重新生成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7</w:t>
            </w:r>
          </w:p>
        </w:tc>
        <w:tc>
          <w:tcPr>
            <w:tcW w:type="dxa" w:w="8568"/>
          </w:tcPr>
          <w:p>
            <w:pPr>
              <w:spacing w:after="20" w:before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全文删除旧 CS-DID 数字与“个体+年份固定效应”表述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宽带中国、数字包容与老年健康能力：全量核查版（定稿口径）</dc:title>
  <dc:subject>论文写作与结果核查基准</dc:subject>
  <dc:creator>python-docx</dc:creator>
  <cp:keywords/>
  <dc:description>基于定稿结果表汇总与写作逻辑修订，内容按慢病主样本、堆叠 DID、8 控制口径统一。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