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8C90B8">
      <w:pPr>
        <w:pStyle w:val="3"/>
        <w:pBdr>
          <w:top w:val="none" w:color="auto" w:sz="0" w:space="0"/>
          <w:left w:val="none" w:color="auto" w:sz="0" w:space="0"/>
          <w:bottom w:val="none" w:color="auto" w:sz="0" w:space="0"/>
          <w:right w:val="none" w:color="auto" w:sz="0" w:space="0"/>
        </w:pBdr>
        <w:spacing w:before="720" w:after="600" w:line="432" w:lineRule="auto"/>
        <w:jc w:val="center"/>
      </w:pPr>
      <w:r>
        <w:rPr>
          <w:rFonts w:ascii="楷体" w:hAnsi="楷体" w:eastAsia="楷体"/>
          <w:b/>
          <w:color w:val="000000"/>
          <w:sz w:val="72"/>
        </w:rPr>
        <w:t>操作手册</w:t>
      </w:r>
    </w:p>
    <w:p w14:paraId="4CFD076A">
      <w:pPr>
        <w:pStyle w:val="3"/>
        <w:pBdr>
          <w:top w:val="none" w:color="auto" w:sz="0" w:space="0"/>
          <w:left w:val="none" w:color="auto" w:sz="0" w:space="0"/>
          <w:bottom w:val="none" w:color="auto" w:sz="0" w:space="0"/>
          <w:right w:val="none" w:color="auto" w:sz="0" w:space="0"/>
        </w:pBdr>
        <w:spacing w:before="720" w:after="600" w:line="432" w:lineRule="auto"/>
        <w:jc w:val="center"/>
      </w:pPr>
      <w:r>
        <w:rPr>
          <w:rFonts w:ascii="楷体" w:hAnsi="楷体" w:eastAsia="楷体"/>
          <w:b/>
          <w:color w:val="000000"/>
          <w:sz w:val="72"/>
        </w:rPr>
        <w:t>基于SpringBoot的鱼缸控制系统 V1.0</w:t>
      </w:r>
    </w:p>
    <w:p w14:paraId="0A0BA6D6">
      <w:r>
        <w:br w:type="page"/>
      </w:r>
    </w:p>
    <w:p w14:paraId="16F93A05">
      <w:pPr>
        <w:jc w:val="center"/>
      </w:pPr>
      <w:r>
        <w:rPr>
          <w:rFonts w:ascii="黑体" w:hAnsi="黑体" w:eastAsia="黑体"/>
          <w:b/>
          <w:color w:val="000000"/>
          <w:sz w:val="28"/>
        </w:rPr>
        <w:t>目录</w:t>
      </w:r>
    </w:p>
    <w:p w14:paraId="22B228E3">
      <w:pPr>
        <w:pStyle w:val="30"/>
        <w:tabs>
          <w:tab w:val="right" w:leader="dot" w:pos="9072"/>
        </w:tabs>
      </w:pPr>
      <w:r>
        <w:fldChar w:fldCharType="begin"/>
      </w:r>
      <w:r>
        <w:instrText xml:space="preserve">TOC \o "2-4" \h \z \u</w:instrText>
      </w:r>
      <w:r>
        <w:fldChar w:fldCharType="separate"/>
      </w:r>
      <w:r>
        <w:fldChar w:fldCharType="begin"/>
      </w:r>
      <w:r>
        <w:instrText xml:space="preserve"> HYPERLINK \l _Toc1896 </w:instrText>
      </w:r>
      <w:r>
        <w:fldChar w:fldCharType="separate"/>
      </w:r>
      <w:r>
        <w:rPr>
          <w:rFonts w:ascii="楷体" w:hAnsi="楷体" w:eastAsia="楷体"/>
        </w:rPr>
        <w:t>一、软件简介</w:t>
      </w:r>
      <w:r>
        <w:tab/>
      </w:r>
      <w:r>
        <w:fldChar w:fldCharType="begin"/>
      </w:r>
      <w:r>
        <w:instrText xml:space="preserve"> PAGEREF _Toc1896 \h </w:instrText>
      </w:r>
      <w:r>
        <w:fldChar w:fldCharType="separate"/>
      </w:r>
      <w:r>
        <w:t>3</w:t>
      </w:r>
      <w:r>
        <w:fldChar w:fldCharType="end"/>
      </w:r>
      <w:r>
        <w:fldChar w:fldCharType="end"/>
      </w:r>
    </w:p>
    <w:p w14:paraId="268682FA">
      <w:pPr>
        <w:pStyle w:val="30"/>
        <w:tabs>
          <w:tab w:val="right" w:leader="dot" w:pos="9072"/>
        </w:tabs>
      </w:pPr>
      <w:r>
        <w:fldChar w:fldCharType="begin"/>
      </w:r>
      <w:r>
        <w:instrText xml:space="preserve"> HYPERLINK \l _Toc10020 </w:instrText>
      </w:r>
      <w:r>
        <w:fldChar w:fldCharType="separate"/>
      </w:r>
      <w:r>
        <w:rPr>
          <w:rFonts w:ascii="楷体" w:hAnsi="楷体" w:eastAsia="楷体"/>
        </w:rPr>
        <w:t>二、业务流程与使用说明</w:t>
      </w:r>
      <w:r>
        <w:tab/>
      </w:r>
      <w:r>
        <w:fldChar w:fldCharType="begin"/>
      </w:r>
      <w:r>
        <w:instrText xml:space="preserve"> PAGEREF _Toc10020 \h </w:instrText>
      </w:r>
      <w:r>
        <w:fldChar w:fldCharType="separate"/>
      </w:r>
      <w:r>
        <w:t>4</w:t>
      </w:r>
      <w:r>
        <w:fldChar w:fldCharType="end"/>
      </w:r>
      <w:r>
        <w:fldChar w:fldCharType="end"/>
      </w:r>
    </w:p>
    <w:p w14:paraId="46F8EF35">
      <w:pPr>
        <w:pStyle w:val="24"/>
        <w:tabs>
          <w:tab w:val="right" w:leader="dot" w:pos="9072"/>
        </w:tabs>
      </w:pPr>
      <w:r>
        <w:fldChar w:fldCharType="begin"/>
      </w:r>
      <w:r>
        <w:instrText xml:space="preserve"> HYPERLINK \l _Toc21527 </w:instrText>
      </w:r>
      <w:r>
        <w:fldChar w:fldCharType="separate"/>
      </w:r>
      <w:r>
        <w:rPr>
          <w:rFonts w:ascii="楷体" w:hAnsi="楷体" w:eastAsia="楷体"/>
        </w:rPr>
        <w:t>2.1 整体业务流程</w:t>
      </w:r>
      <w:r>
        <w:tab/>
      </w:r>
      <w:r>
        <w:fldChar w:fldCharType="begin"/>
      </w:r>
      <w:r>
        <w:instrText xml:space="preserve"> PAGEREF _Toc21527 \h </w:instrText>
      </w:r>
      <w:r>
        <w:fldChar w:fldCharType="separate"/>
      </w:r>
      <w:r>
        <w:t>4</w:t>
      </w:r>
      <w:r>
        <w:fldChar w:fldCharType="end"/>
      </w:r>
      <w:r>
        <w:fldChar w:fldCharType="end"/>
      </w:r>
    </w:p>
    <w:p w14:paraId="406FF6CB">
      <w:pPr>
        <w:pStyle w:val="24"/>
        <w:tabs>
          <w:tab w:val="right" w:leader="dot" w:pos="9072"/>
        </w:tabs>
      </w:pPr>
      <w:r>
        <w:fldChar w:fldCharType="begin"/>
      </w:r>
      <w:r>
        <w:instrText xml:space="preserve"> HYPERLINK \l _Toc18616 </w:instrText>
      </w:r>
      <w:r>
        <w:fldChar w:fldCharType="separate"/>
      </w:r>
      <w:r>
        <w:rPr>
          <w:rFonts w:ascii="楷体" w:hAnsi="楷体" w:eastAsia="楷体"/>
        </w:rPr>
        <w:t>2.2 功能模块说明</w:t>
      </w:r>
      <w:r>
        <w:tab/>
      </w:r>
      <w:r>
        <w:fldChar w:fldCharType="begin"/>
      </w:r>
      <w:r>
        <w:instrText xml:space="preserve"> PAGEREF _Toc18616 \h </w:instrText>
      </w:r>
      <w:r>
        <w:fldChar w:fldCharType="separate"/>
      </w:r>
      <w:r>
        <w:t>5</w:t>
      </w:r>
      <w:r>
        <w:fldChar w:fldCharType="end"/>
      </w:r>
      <w:r>
        <w:fldChar w:fldCharType="end"/>
      </w:r>
    </w:p>
    <w:p w14:paraId="703D45AE">
      <w:pPr>
        <w:pStyle w:val="27"/>
        <w:tabs>
          <w:tab w:val="right" w:leader="dot" w:pos="9072"/>
        </w:tabs>
      </w:pPr>
      <w:r>
        <w:fldChar w:fldCharType="begin"/>
      </w:r>
      <w:r>
        <w:instrText xml:space="preserve"> HYPERLINK \l _Toc22678 </w:instrText>
      </w:r>
      <w:r>
        <w:fldChar w:fldCharType="separate"/>
      </w:r>
      <w:r>
        <w:rPr>
          <w:rFonts w:ascii="楷体" w:hAnsi="楷体" w:eastAsia="楷体"/>
        </w:rPr>
        <w:t>2.2.1 登录与注册界面</w:t>
      </w:r>
      <w:r>
        <w:tab/>
      </w:r>
      <w:r>
        <w:fldChar w:fldCharType="begin"/>
      </w:r>
      <w:r>
        <w:instrText xml:space="preserve"> PAGEREF _Toc22678 \h </w:instrText>
      </w:r>
      <w:r>
        <w:fldChar w:fldCharType="separate"/>
      </w:r>
      <w:r>
        <w:t>5</w:t>
      </w:r>
      <w:r>
        <w:fldChar w:fldCharType="end"/>
      </w:r>
      <w:r>
        <w:fldChar w:fldCharType="end"/>
      </w:r>
    </w:p>
    <w:p w14:paraId="2BAF864E">
      <w:pPr>
        <w:pStyle w:val="27"/>
        <w:tabs>
          <w:tab w:val="right" w:leader="dot" w:pos="9072"/>
        </w:tabs>
      </w:pPr>
      <w:r>
        <w:fldChar w:fldCharType="begin"/>
      </w:r>
      <w:r>
        <w:instrText xml:space="preserve"> HYPERLINK \l _Toc32552 </w:instrText>
      </w:r>
      <w:r>
        <w:fldChar w:fldCharType="separate"/>
      </w:r>
      <w:r>
        <w:rPr>
          <w:rFonts w:ascii="楷体" w:hAnsi="楷体" w:eastAsia="楷体"/>
        </w:rPr>
        <w:t>2.2.2 设备绑定与网络配置界面</w:t>
      </w:r>
      <w:r>
        <w:tab/>
      </w:r>
      <w:r>
        <w:fldChar w:fldCharType="begin"/>
      </w:r>
      <w:r>
        <w:instrText xml:space="preserve"> PAGEREF _Toc32552 \h </w:instrText>
      </w:r>
      <w:r>
        <w:fldChar w:fldCharType="separate"/>
      </w:r>
      <w:r>
        <w:t>8</w:t>
      </w:r>
      <w:r>
        <w:fldChar w:fldCharType="end"/>
      </w:r>
      <w:r>
        <w:fldChar w:fldCharType="end"/>
      </w:r>
    </w:p>
    <w:p w14:paraId="4AE69D65">
      <w:pPr>
        <w:pStyle w:val="27"/>
        <w:tabs>
          <w:tab w:val="right" w:leader="dot" w:pos="9072"/>
        </w:tabs>
      </w:pPr>
      <w:r>
        <w:fldChar w:fldCharType="begin"/>
      </w:r>
      <w:r>
        <w:instrText xml:space="preserve"> HYPERLINK \l _Toc27294 </w:instrText>
      </w:r>
      <w:r>
        <w:fldChar w:fldCharType="separate"/>
      </w:r>
      <w:r>
        <w:rPr>
          <w:rFonts w:ascii="楷体" w:hAnsi="楷体" w:eastAsia="楷体"/>
        </w:rPr>
        <w:t>2.2.3 主监控仪表盘</w:t>
      </w:r>
      <w:r>
        <w:tab/>
      </w:r>
      <w:r>
        <w:fldChar w:fldCharType="begin"/>
      </w:r>
      <w:r>
        <w:instrText xml:space="preserve"> PAGEREF _Toc27294 \h </w:instrText>
      </w:r>
      <w:r>
        <w:fldChar w:fldCharType="separate"/>
      </w:r>
      <w:r>
        <w:t>11</w:t>
      </w:r>
      <w:r>
        <w:fldChar w:fldCharType="end"/>
      </w:r>
      <w:r>
        <w:fldChar w:fldCharType="end"/>
      </w:r>
    </w:p>
    <w:p w14:paraId="487A351D">
      <w:pPr>
        <w:pStyle w:val="27"/>
        <w:tabs>
          <w:tab w:val="right" w:leader="dot" w:pos="9072"/>
        </w:tabs>
      </w:pPr>
      <w:r>
        <w:fldChar w:fldCharType="begin"/>
      </w:r>
      <w:r>
        <w:instrText xml:space="preserve"> HYPERLINK \l _Toc9646 </w:instrText>
      </w:r>
      <w:r>
        <w:fldChar w:fldCharType="separate"/>
      </w:r>
      <w:r>
        <w:rPr>
          <w:rFonts w:ascii="楷体" w:hAnsi="楷体" w:eastAsia="楷体"/>
        </w:rPr>
        <w:t>2.2.4 手动控制面板</w:t>
      </w:r>
      <w:r>
        <w:tab/>
      </w:r>
      <w:r>
        <w:fldChar w:fldCharType="begin"/>
      </w:r>
      <w:r>
        <w:instrText xml:space="preserve"> PAGEREF _Toc9646 \h </w:instrText>
      </w:r>
      <w:r>
        <w:fldChar w:fldCharType="separate"/>
      </w:r>
      <w:r>
        <w:t>14</w:t>
      </w:r>
      <w:r>
        <w:fldChar w:fldCharType="end"/>
      </w:r>
      <w:r>
        <w:fldChar w:fldCharType="end"/>
      </w:r>
    </w:p>
    <w:p w14:paraId="7F66CA81">
      <w:pPr>
        <w:pStyle w:val="27"/>
        <w:tabs>
          <w:tab w:val="right" w:leader="dot" w:pos="9072"/>
        </w:tabs>
      </w:pPr>
      <w:r>
        <w:fldChar w:fldCharType="begin"/>
      </w:r>
      <w:r>
        <w:instrText xml:space="preserve"> HYPERLINK \l _Toc27478 </w:instrText>
      </w:r>
      <w:r>
        <w:fldChar w:fldCharType="separate"/>
      </w:r>
      <w:r>
        <w:rPr>
          <w:rFonts w:ascii="楷体" w:hAnsi="楷体" w:eastAsia="楷体"/>
        </w:rPr>
        <w:t>2.2.5 自动化任务配置界面</w:t>
      </w:r>
      <w:r>
        <w:tab/>
      </w:r>
      <w:r>
        <w:fldChar w:fldCharType="begin"/>
      </w:r>
      <w:r>
        <w:instrText xml:space="preserve"> PAGEREF _Toc27478 \h </w:instrText>
      </w:r>
      <w:r>
        <w:fldChar w:fldCharType="separate"/>
      </w:r>
      <w:r>
        <w:t>17</w:t>
      </w:r>
      <w:r>
        <w:fldChar w:fldCharType="end"/>
      </w:r>
      <w:r>
        <w:fldChar w:fldCharType="end"/>
      </w:r>
    </w:p>
    <w:p w14:paraId="03CAEEEB">
      <w:pPr>
        <w:pStyle w:val="27"/>
        <w:tabs>
          <w:tab w:val="right" w:leader="dot" w:pos="9072"/>
        </w:tabs>
      </w:pPr>
      <w:r>
        <w:fldChar w:fldCharType="begin"/>
      </w:r>
      <w:r>
        <w:instrText xml:space="preserve"> HYPERLINK \l _Toc10306 </w:instrText>
      </w:r>
      <w:r>
        <w:fldChar w:fldCharType="separate"/>
      </w:r>
      <w:r>
        <w:rPr>
          <w:rFonts w:ascii="楷体" w:hAnsi="楷体" w:eastAsia="楷体"/>
        </w:rPr>
        <w:t>2.2.6 历史数据可视化图表界面</w:t>
      </w:r>
      <w:r>
        <w:tab/>
      </w:r>
      <w:r>
        <w:fldChar w:fldCharType="begin"/>
      </w:r>
      <w:r>
        <w:instrText xml:space="preserve"> PAGEREF _Toc10306 \h </w:instrText>
      </w:r>
      <w:r>
        <w:fldChar w:fldCharType="separate"/>
      </w:r>
      <w:r>
        <w:t>20</w:t>
      </w:r>
      <w:r>
        <w:fldChar w:fldCharType="end"/>
      </w:r>
      <w:r>
        <w:fldChar w:fldCharType="end"/>
      </w:r>
    </w:p>
    <w:p w14:paraId="66B3EFC2">
      <w:r>
        <w:fldChar w:fldCharType="end"/>
      </w:r>
      <w:bookmarkStart w:id="10" w:name="_GoBack"/>
      <w:bookmarkEnd w:id="10"/>
    </w:p>
    <w:p w14:paraId="10504C53">
      <w:r>
        <w:br w:type="page"/>
      </w:r>
    </w:p>
    <w:p w14:paraId="6356F1DF">
      <w:pPr>
        <w:pStyle w:val="4"/>
        <w:spacing w:before="560" w:after="400" w:line="432" w:lineRule="auto"/>
        <w:jc w:val="center"/>
      </w:pPr>
      <w:bookmarkStart w:id="0" w:name="_Toc1896"/>
      <w:r>
        <w:rPr>
          <w:rFonts w:ascii="楷体" w:hAnsi="楷体" w:eastAsia="楷体"/>
          <w:b/>
          <w:color w:val="000000"/>
          <w:sz w:val="36"/>
        </w:rPr>
        <w:t>一、软件简介</w:t>
      </w:r>
      <w:bookmarkEnd w:id="0"/>
    </w:p>
    <w:p w14:paraId="214782C6">
      <w:pPr>
        <w:ind w:firstLine="420"/>
      </w:pPr>
      <w:r>
        <w:rPr>
          <w:rFonts w:ascii="宋体" w:hAnsi="宋体" w:eastAsia="宋体"/>
          <w:color w:val="000000"/>
        </w:rPr>
        <w:t>系统在功能设计上构建了一个完整的闭环管理生态。首先是全面的环境感知层，能够7x24小时不间断地实时采集鱼缸内的关键环境指标，包括但不限于水体温度、光照强度、pH酸碱度以及水位高低，确保对鱼缸内部状态了如指掌。</w:t>
      </w:r>
    </w:p>
    <w:p w14:paraId="39507655">
      <w:pPr>
        <w:ind w:firstLine="420"/>
      </w:pPr>
      <w:r>
        <w:rPr>
          <w:rFonts w:ascii="宋体" w:hAnsi="宋体" w:eastAsia="宋体"/>
          <w:color w:val="000000"/>
        </w:rPr>
        <w:t>在数据处理与执行层面，系统内置了智能决策引擎。它会根据用户预设的阈值或科学养殖模型，对采集到的数据进行实时分析，并自动下达指令控制相应的硬件设备。例如，当水温低于设定值时，自动开启加热棒；当光照不足时，调节LED灯的亮度和色谱；当检测到水位异常下降时，立即启动备用水泵并切断相关电路，同时向用户发送警报。用户可以通过简洁直观的移动端界面，随时查看鱼缸的“健康仪表盘”，设置复杂的定时任务（如模拟日出日落的灯光变化），并以图表形式回溯任意时间段的历史数据，实现真正的远程化、可视化、智能化管理。</w:t>
      </w:r>
    </w:p>
    <w:p w14:paraId="30BC3445">
      <w:r>
        <w:br w:type="page"/>
      </w:r>
    </w:p>
    <w:p w14:paraId="64C97E46">
      <w:pPr>
        <w:pStyle w:val="4"/>
        <w:spacing w:before="560" w:after="400" w:line="432" w:lineRule="auto"/>
        <w:jc w:val="center"/>
      </w:pPr>
      <w:bookmarkStart w:id="1" w:name="_Toc10020"/>
      <w:r>
        <w:rPr>
          <w:rFonts w:ascii="楷体" w:hAnsi="楷体" w:eastAsia="楷体"/>
          <w:b/>
          <w:color w:val="000000"/>
          <w:sz w:val="36"/>
        </w:rPr>
        <w:t>二、业务流程与使用说明</w:t>
      </w:r>
      <w:bookmarkEnd w:id="1"/>
    </w:p>
    <w:p w14:paraId="0C82DDDC">
      <w:pPr>
        <w:pStyle w:val="5"/>
        <w:spacing w:before="480" w:after="320" w:line="432" w:lineRule="auto"/>
        <w:jc w:val="left"/>
      </w:pPr>
      <w:bookmarkStart w:id="2" w:name="_Toc21527"/>
      <w:r>
        <w:rPr>
          <w:rFonts w:ascii="楷体" w:hAnsi="楷体" w:eastAsia="楷体"/>
          <w:b/>
          <w:color w:val="000000"/>
          <w:sz w:val="30"/>
        </w:rPr>
        <w:t>2.1 整体业务流程</w:t>
      </w:r>
      <w:bookmarkEnd w:id="2"/>
    </w:p>
    <w:p w14:paraId="7B09837C">
      <w:pPr>
        <w:jc w:val="center"/>
      </w:pPr>
      <w:r>
        <w:drawing>
          <wp:inline distT="0" distB="0" distL="114300" distR="114300">
            <wp:extent cx="5759450" cy="623570"/>
            <wp:effectExtent l="0" t="0" r="635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760000" cy="624000"/>
                    </a:xfrm>
                    <a:prstGeom prst="rect">
                      <a:avLst/>
                    </a:prstGeom>
                  </pic:spPr>
                </pic:pic>
              </a:graphicData>
            </a:graphic>
          </wp:inline>
        </w:drawing>
      </w:r>
    </w:p>
    <w:p w14:paraId="20B73DEC">
      <w:pPr>
        <w:ind w:firstLine="420"/>
      </w:pPr>
      <w:r>
        <w:rPr>
          <w:rFonts w:ascii="宋体" w:hAnsi="宋体" w:eastAsia="宋体"/>
          <w:color w:val="000000"/>
        </w:rPr>
        <w:t>用户与系统的交互流程被设计得极为流畅和人性化。初次使用时，用户首先需要在移动端App上完成账号注册与登录，随后进入“设备管理”模块，通过扫描设备二维码或手动输入设备序列号的方式，将个人的鱼缸控制设备与账户进行绑定，完成初始的网络配置。</w:t>
      </w:r>
    </w:p>
    <w:p w14:paraId="7CED2218">
      <w:pPr>
        <w:ind w:firstLine="420"/>
      </w:pPr>
      <w:r>
        <w:rPr>
          <w:rFonts w:ascii="宋体" w:hAnsi="宋体" w:eastAsia="宋体"/>
          <w:color w:val="000000"/>
        </w:rPr>
        <w:t>设备绑定成功后，用户将进入系统的主控制面板。这是一个可视化的“驾驶舱”，所有核心环境参数（温度、pH值、光照、水位）都以醒目的卡片形式实时展示，用户可以一目了然地掌握鱼缸的当前健康状况。当需要进行操作时，用户可以通过点击相应设备的图标（如加热棒、水泵、LED灯），在弹出的控制菜单中选择“手动模式”进行即时开关调节，或进入“自动模式”设置定时任务。在定时任务界面，用户可以设定每周/每日的循环计划，例如设置灯光在每天傍晚6点柔和亮起，模拟自然黄昏。</w:t>
      </w:r>
    </w:p>
    <w:p w14:paraId="0F4C24B0">
      <w:pPr>
        <w:ind w:firstLine="420"/>
      </w:pPr>
      <w:r>
        <w:rPr>
          <w:rFonts w:ascii="宋体" w:hAnsi="宋体" w:eastAsia="宋体"/>
          <w:color w:val="000000"/>
        </w:rPr>
        <w:t>对于希望进行更深度管理的用户，可以随时切换到“历史数据”模块。该模块以曲线图的形式直观展示过去一天、一周或一个月内各项参数的变化趋势，帮助用户分析规律、评估水质。最重要的是，整个过程中，系统会在后台持续进行数据比对与风险判断。一旦任何参数触及预设的安全警戒线，系统会立即触发报警机制，通过App推送通知用户：“您的鱼缸水温过高！”，并提供应急处理建议，从而确保用户能够随时随地、主动或被动地对鱼缸进行全天候的智能监护。</w:t>
      </w:r>
    </w:p>
    <w:p w14:paraId="1E91B7F9">
      <w:pPr>
        <w:pStyle w:val="5"/>
        <w:spacing w:before="480" w:after="320" w:line="432" w:lineRule="auto"/>
        <w:jc w:val="left"/>
      </w:pPr>
      <w:bookmarkStart w:id="3" w:name="_Toc18616"/>
      <w:r>
        <w:rPr>
          <w:rFonts w:ascii="楷体" w:hAnsi="楷体" w:eastAsia="楷体"/>
          <w:b/>
          <w:color w:val="000000"/>
          <w:sz w:val="30"/>
        </w:rPr>
        <w:t>2.2 功能模块说明</w:t>
      </w:r>
      <w:bookmarkEnd w:id="3"/>
    </w:p>
    <w:p w14:paraId="1CB61932">
      <w:pPr>
        <w:pStyle w:val="6"/>
        <w:spacing w:before="400" w:after="280" w:line="432" w:lineRule="auto"/>
        <w:jc w:val="left"/>
      </w:pPr>
      <w:bookmarkStart w:id="4" w:name="_Toc22678"/>
      <w:r>
        <w:rPr>
          <w:rFonts w:ascii="楷体" w:hAnsi="楷体" w:eastAsia="楷体"/>
          <w:b/>
          <w:color w:val="000000"/>
          <w:sz w:val="26"/>
        </w:rPr>
        <w:t>2.2.1 登录与注册界面</w:t>
      </w:r>
      <w:bookmarkEnd w:id="4"/>
    </w:p>
    <w:p w14:paraId="477B18A5">
      <w:pPr>
        <w:ind w:firstLine="420"/>
      </w:pPr>
      <w:r>
        <w:rPr>
          <w:rFonts w:ascii="宋体" w:hAnsi="宋体" w:eastAsia="宋体"/>
          <w:color w:val="000000"/>
        </w:rPr>
        <w:t>本功能是用户进入系统的唯一入口，负责用户身份的验证与新账户的创建。它确保了只有授权用户才能访问和控制其绑定的鱼缸设备，保障了系统的安全性。界面设计简洁，引导用户快速完成认证流程。</w:t>
      </w:r>
    </w:p>
    <w:p w14:paraId="2498C5CA">
      <w:pPr>
        <w:ind w:firstLine="420"/>
      </w:pPr>
      <w:r>
        <w:rPr>
          <w:rFonts w:ascii="宋体" w:hAnsi="宋体" w:eastAsia="宋体"/>
          <w:b/>
          <w:color w:val="000000"/>
        </w:rPr>
        <w:t>操作步骤：</w:t>
      </w:r>
    </w:p>
    <w:p w14:paraId="528C71BA">
      <w:pPr>
        <w:pStyle w:val="7"/>
        <w:spacing w:before="360" w:after="240" w:line="432" w:lineRule="auto"/>
        <w:jc w:val="left"/>
      </w:pPr>
      <w:r>
        <w:rPr>
          <w:rFonts w:ascii="楷体" w:hAnsi="楷体" w:eastAsia="楷体"/>
          <w:b/>
          <w:color w:val="000000"/>
          <w:sz w:val="24"/>
        </w:rPr>
        <w:t>切换至注册视图</w:t>
      </w:r>
    </w:p>
    <w:p w14:paraId="33D38FC7">
      <w:pPr>
        <w:jc w:val="center"/>
      </w:pPr>
      <w:r>
        <w:drawing>
          <wp:inline distT="0" distB="0" distL="114300" distR="114300">
            <wp:extent cx="5759450" cy="3239770"/>
            <wp:effectExtent l="0" t="0" r="635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760000" cy="3240000"/>
                    </a:xfrm>
                    <a:prstGeom prst="rect">
                      <a:avLst/>
                    </a:prstGeom>
                  </pic:spPr>
                </pic:pic>
              </a:graphicData>
            </a:graphic>
          </wp:inline>
        </w:drawing>
      </w:r>
    </w:p>
    <w:p w14:paraId="29FD8D2E">
      <w:pPr>
        <w:ind w:firstLine="420"/>
      </w:pPr>
      <w:r>
        <w:rPr>
          <w:rFonts w:ascii="宋体" w:hAnsi="宋体" w:eastAsia="宋体"/>
          <w:color w:val="000000"/>
        </w:rPr>
        <w:t>用户在默认的登录表单中，定位并点击“没有账户？立即注册”文字链接。点击后，登录卡片的表单区域会发生平滑的视图切换动画，原有的“用户名/邮箱”和“密码”输入框被替换为注册所需的输入项，包括“用户名”、“密码”、“确认密码”、“绑定手机号”和“电子邮箱”等字段，界面保持在同一页面内，仅内容区域发生更新。</w:t>
      </w:r>
    </w:p>
    <w:p w14:paraId="795B9650">
      <w:pPr>
        <w:pStyle w:val="7"/>
        <w:spacing w:before="360" w:after="240" w:line="432" w:lineRule="auto"/>
        <w:jc w:val="left"/>
      </w:pPr>
      <w:r>
        <w:rPr>
          <w:rFonts w:ascii="楷体" w:hAnsi="楷体" w:eastAsia="楷体"/>
          <w:b/>
          <w:color w:val="000000"/>
          <w:sz w:val="24"/>
        </w:rPr>
        <w:t>填写并验证注册信息</w:t>
      </w:r>
    </w:p>
    <w:p w14:paraId="06A16F56">
      <w:pPr>
        <w:jc w:val="center"/>
      </w:pPr>
      <w:r>
        <w:drawing>
          <wp:inline distT="0" distB="0" distL="114300" distR="114300">
            <wp:extent cx="5759450" cy="3239770"/>
            <wp:effectExtent l="0" t="0" r="6350"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760000" cy="3240000"/>
                    </a:xfrm>
                    <a:prstGeom prst="rect">
                      <a:avLst/>
                    </a:prstGeom>
                  </pic:spPr>
                </pic:pic>
              </a:graphicData>
            </a:graphic>
          </wp:inline>
        </w:drawing>
      </w:r>
    </w:p>
    <w:p w14:paraId="01B919DE">
      <w:pPr>
        <w:ind w:firstLine="420"/>
      </w:pPr>
      <w:r>
        <w:rPr>
          <w:rFonts w:ascii="宋体" w:hAnsi="宋体" w:eastAsia="宋体"/>
          <w:color w:val="000000"/>
        </w:rPr>
        <w:t>用户在注册视图的各个输入框中填写信息。当光标离开输入框时，系统会进行实时校验。例如，若密码长度不足6位，输入框下方会立即出现红色的错误提示文字，同时输入框边框变为红色。用户修正错误后，提示文字消失。所有必填项填写完毕后，用户点击“注册”按钮，按钮会立即进入加载状态，显示一个转圈的动画，表示系统正在处理注册请求。</w:t>
      </w:r>
    </w:p>
    <w:p w14:paraId="7B1BB7F2">
      <w:pPr>
        <w:pStyle w:val="7"/>
        <w:spacing w:before="360" w:after="240" w:line="432" w:lineRule="auto"/>
        <w:jc w:val="left"/>
      </w:pPr>
      <w:r>
        <w:rPr>
          <w:rFonts w:ascii="楷体" w:hAnsi="楷体" w:eastAsia="楷体"/>
          <w:b/>
          <w:color w:val="000000"/>
          <w:sz w:val="24"/>
        </w:rPr>
        <w:t>完成注册并返回登录</w:t>
      </w:r>
    </w:p>
    <w:p w14:paraId="0B0F7FB2">
      <w:pPr>
        <w:jc w:val="center"/>
      </w:pPr>
      <w:r>
        <w:drawing>
          <wp:inline distT="0" distB="0" distL="114300" distR="114300">
            <wp:extent cx="5759450" cy="3239770"/>
            <wp:effectExtent l="0" t="0" r="6350"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760000" cy="3240000"/>
                    </a:xfrm>
                    <a:prstGeom prst="rect">
                      <a:avLst/>
                    </a:prstGeom>
                  </pic:spPr>
                </pic:pic>
              </a:graphicData>
            </a:graphic>
          </wp:inline>
        </w:drawing>
      </w:r>
    </w:p>
    <w:p w14:paraId="1FF4F311">
      <w:pPr>
        <w:ind w:firstLine="420"/>
      </w:pPr>
      <w:r>
        <w:rPr>
          <w:rFonts w:ascii="宋体" w:hAnsi="宋体" w:eastAsia="宋体"/>
          <w:color w:val="000000"/>
        </w:rPr>
        <w:t>系统后台处理注册请求成功后，注册视图会自动切换回登录视图。此时，登录表单的“用户名/邮箱”输入框会自动填充刚才注册时使用的用户名，同时页面顶部或输入框附近会显示一个临时的提示信息（如“注册成功，请登录”）。用户只需在登录表单中输入密码，然后点击“登录”按钮即可进入系统。</w:t>
      </w:r>
    </w:p>
    <w:p w14:paraId="193516F5">
      <w:r>
        <w:br w:type="page"/>
      </w:r>
    </w:p>
    <w:p w14:paraId="01C742B6">
      <w:pPr>
        <w:pStyle w:val="6"/>
        <w:spacing w:before="400" w:after="280" w:line="432" w:lineRule="auto"/>
        <w:jc w:val="left"/>
      </w:pPr>
      <w:bookmarkStart w:id="5" w:name="_Toc32552"/>
      <w:r>
        <w:rPr>
          <w:rFonts w:ascii="楷体" w:hAnsi="楷体" w:eastAsia="楷体"/>
          <w:b/>
          <w:color w:val="000000"/>
          <w:sz w:val="26"/>
        </w:rPr>
        <w:t>2.2.2 设备绑定与网络配置界面</w:t>
      </w:r>
      <w:bookmarkEnd w:id="5"/>
    </w:p>
    <w:p w14:paraId="27B8717C">
      <w:pPr>
        <w:ind w:firstLine="420"/>
      </w:pPr>
      <w:r>
        <w:rPr>
          <w:rFonts w:ascii="宋体" w:hAnsi="宋体" w:eastAsia="宋体"/>
          <w:color w:val="000000"/>
        </w:rPr>
        <w:t>此功能用于将用户的物理鱼缸设备与软件账户进行关联，并配置设备的联网参数。这是实现远程控制的前提，确保了指令能够准确发送到指定的物理设备上。</w:t>
      </w:r>
    </w:p>
    <w:p w14:paraId="446B1857">
      <w:pPr>
        <w:ind w:firstLine="420"/>
      </w:pPr>
      <w:r>
        <w:rPr>
          <w:rFonts w:ascii="宋体" w:hAnsi="宋体" w:eastAsia="宋体"/>
          <w:b/>
          <w:color w:val="000000"/>
        </w:rPr>
        <w:t>操作步骤：</w:t>
      </w:r>
    </w:p>
    <w:p w14:paraId="68ADB864">
      <w:pPr>
        <w:pStyle w:val="7"/>
        <w:spacing w:before="360" w:after="240" w:line="432" w:lineRule="auto"/>
        <w:jc w:val="left"/>
      </w:pPr>
      <w:r>
        <w:rPr>
          <w:rFonts w:ascii="楷体" w:hAnsi="楷体" w:eastAsia="楷体"/>
          <w:b/>
          <w:color w:val="000000"/>
          <w:sz w:val="24"/>
        </w:rPr>
        <w:t>填写设备信息</w:t>
      </w:r>
    </w:p>
    <w:p w14:paraId="1336F9FC">
      <w:pPr>
        <w:jc w:val="center"/>
      </w:pPr>
      <w:r>
        <w:drawing>
          <wp:inline distT="0" distB="0" distL="114300" distR="114300">
            <wp:extent cx="5759450" cy="3239770"/>
            <wp:effectExtent l="0" t="0" r="6350"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760000" cy="3240000"/>
                    </a:xfrm>
                    <a:prstGeom prst="rect">
                      <a:avLst/>
                    </a:prstGeom>
                  </pic:spPr>
                </pic:pic>
              </a:graphicData>
            </a:graphic>
          </wp:inline>
        </w:drawing>
      </w:r>
    </w:p>
    <w:p w14:paraId="4B843DD0">
      <w:pPr>
        <w:ind w:firstLine="420"/>
      </w:pPr>
      <w:r>
        <w:rPr>
          <w:rFonts w:ascii="宋体" w:hAnsi="宋体" w:eastAsia="宋体"/>
          <w:color w:val="000000"/>
        </w:rPr>
        <w:t>在“设备管理”模块点击“添加新设备”按钮，弹出的模态框默认显示“手动输入”页签。依次填写“设备名称”、“设备序列号”及“设备备注”字段。在输入序列号时，旁边的“序列号格式校验”图标会实时显示校验状态。所有必填项完成后，点击“下一步：网络配置”按钮，界面将切换至网络配置页面。</w:t>
      </w:r>
    </w:p>
    <w:p w14:paraId="4FCEF4B8">
      <w:pPr>
        <w:pStyle w:val="7"/>
        <w:spacing w:before="360" w:after="240" w:line="432" w:lineRule="auto"/>
        <w:jc w:val="left"/>
      </w:pPr>
      <w:r>
        <w:rPr>
          <w:rFonts w:ascii="楷体" w:hAnsi="楷体" w:eastAsia="楷体"/>
          <w:b/>
          <w:color w:val="000000"/>
          <w:sz w:val="24"/>
        </w:rPr>
        <w:t>配置Wi-Fi网络</w:t>
      </w:r>
    </w:p>
    <w:p w14:paraId="03E32064">
      <w:pPr>
        <w:jc w:val="center"/>
      </w:pPr>
      <w:r>
        <w:drawing>
          <wp:inline distT="0" distB="0" distL="114300" distR="114300">
            <wp:extent cx="5759450" cy="3239770"/>
            <wp:effectExtent l="0" t="0" r="6350" b="114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760000" cy="3240000"/>
                    </a:xfrm>
                    <a:prstGeom prst="rect">
                      <a:avLst/>
                    </a:prstGeom>
                  </pic:spPr>
                </pic:pic>
              </a:graphicData>
            </a:graphic>
          </wp:inline>
        </w:drawing>
      </w:r>
    </w:p>
    <w:p w14:paraId="7139EC26">
      <w:pPr>
        <w:ind w:firstLine="420"/>
      </w:pPr>
      <w:r>
        <w:rPr>
          <w:rFonts w:ascii="宋体" w:hAnsi="宋体" w:eastAsia="宋体"/>
          <w:color w:val="000000"/>
        </w:rPr>
        <w:t>在Wi-Fi配置页中，点击“选择Wi-Fi”下拉菜单，系统会自动列出当前PC可连接的网络列表，从中选择鱼缸设备需要连接的网络名称。在密码输入框中输入对应的Wi-Fi密码，点击旁边的小眼睛图标可切换密码的显示与隐藏状态。确认网络信息无误后，点击“下一步：绑定确认”按钮，界面将切换至信息汇总页面。</w:t>
      </w:r>
    </w:p>
    <w:p w14:paraId="680A411F">
      <w:pPr>
        <w:pStyle w:val="7"/>
        <w:spacing w:before="360" w:after="240" w:line="432" w:lineRule="auto"/>
        <w:jc w:val="left"/>
      </w:pPr>
      <w:r>
        <w:rPr>
          <w:rFonts w:ascii="楷体" w:hAnsi="楷体" w:eastAsia="楷体"/>
          <w:b/>
          <w:color w:val="000000"/>
          <w:sz w:val="24"/>
        </w:rPr>
        <w:t>确认并开始绑定</w:t>
      </w:r>
    </w:p>
    <w:p w14:paraId="786C7FAB">
      <w:pPr>
        <w:jc w:val="center"/>
      </w:pPr>
      <w:r>
        <w:drawing>
          <wp:inline distT="0" distB="0" distL="114300" distR="114300">
            <wp:extent cx="5759450" cy="3239770"/>
            <wp:effectExtent l="0" t="0" r="6350" b="114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760000" cy="3240000"/>
                    </a:xfrm>
                    <a:prstGeom prst="rect">
                      <a:avLst/>
                    </a:prstGeom>
                  </pic:spPr>
                </pic:pic>
              </a:graphicData>
            </a:graphic>
          </wp:inline>
        </w:drawing>
      </w:r>
    </w:p>
    <w:p w14:paraId="2F0E523F">
      <w:pPr>
        <w:ind w:firstLine="420"/>
      </w:pPr>
      <w:r>
        <w:rPr>
          <w:rFonts w:ascii="宋体" w:hAnsi="宋体" w:eastAsia="宋体"/>
          <w:color w:val="000000"/>
        </w:rPr>
        <w:t>在绑定确认页，仔细核对页面汇总显示的设备名称、序列号、备注及Wi-Fi配置等所有信息。确认无误后，点击“开始绑定”按钮，按钮文本变为“绑定中…”并禁用，同时下方出现进度条显示绑定进度。等待进度条走完并提示绑定成功，模态框自动关闭，新设备卡片会出现在设备列表的最上方，卡片上带有绿色的“在线”状态点。</w:t>
      </w:r>
    </w:p>
    <w:p w14:paraId="571F315B">
      <w:r>
        <w:br w:type="page"/>
      </w:r>
    </w:p>
    <w:p w14:paraId="6AA9DE3C">
      <w:pPr>
        <w:pStyle w:val="6"/>
        <w:spacing w:before="400" w:after="280" w:line="432" w:lineRule="auto"/>
        <w:jc w:val="left"/>
      </w:pPr>
      <w:bookmarkStart w:id="6" w:name="_Toc27294"/>
      <w:r>
        <w:rPr>
          <w:rFonts w:ascii="楷体" w:hAnsi="楷体" w:eastAsia="楷体"/>
          <w:b/>
          <w:color w:val="000000"/>
          <w:sz w:val="26"/>
        </w:rPr>
        <w:t>2.2.3 主监控仪表盘</w:t>
      </w:r>
      <w:bookmarkEnd w:id="6"/>
    </w:p>
    <w:p w14:paraId="30806279">
      <w:pPr>
        <w:ind w:firstLine="420"/>
      </w:pPr>
      <w:r>
        <w:rPr>
          <w:rFonts w:ascii="宋体" w:hAnsi="宋体" w:eastAsia="宋体"/>
          <w:color w:val="000000"/>
        </w:rPr>
        <w:t>作为系统的控制中枢，主监控仪表盘以可视化的方式实时展示鱼缸的所有关键环境参数和设备运行状态，让用户能一目了然地掌握鱼缸的“健康状况”。</w:t>
      </w:r>
    </w:p>
    <w:p w14:paraId="72D47B47">
      <w:pPr>
        <w:ind w:firstLine="420"/>
      </w:pPr>
      <w:r>
        <w:rPr>
          <w:rFonts w:ascii="宋体" w:hAnsi="宋体" w:eastAsia="宋体"/>
          <w:b/>
          <w:color w:val="000000"/>
        </w:rPr>
        <w:t>操作步骤：</w:t>
      </w:r>
    </w:p>
    <w:p w14:paraId="070114E5">
      <w:pPr>
        <w:pStyle w:val="7"/>
        <w:spacing w:before="360" w:after="240" w:line="432" w:lineRule="auto"/>
        <w:jc w:val="left"/>
      </w:pPr>
      <w:r>
        <w:rPr>
          <w:rFonts w:ascii="楷体" w:hAnsi="楷体" w:eastAsia="楷体"/>
          <w:b/>
          <w:color w:val="000000"/>
          <w:sz w:val="24"/>
        </w:rPr>
        <w:t>查看核心环境参数</w:t>
      </w:r>
    </w:p>
    <w:p w14:paraId="6863AC9E">
      <w:pPr>
        <w:jc w:val="center"/>
      </w:pPr>
      <w:r>
        <w:drawing>
          <wp:inline distT="0" distB="0" distL="114300" distR="114300">
            <wp:extent cx="5759450" cy="3239770"/>
            <wp:effectExtent l="0" t="0" r="6350" b="1143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760000" cy="3240000"/>
                    </a:xfrm>
                    <a:prstGeom prst="rect">
                      <a:avLst/>
                    </a:prstGeom>
                  </pic:spPr>
                </pic:pic>
              </a:graphicData>
            </a:graphic>
          </wp:inline>
        </w:drawing>
      </w:r>
    </w:p>
    <w:p w14:paraId="765A7985">
      <w:pPr>
        <w:ind w:firstLine="420"/>
      </w:pPr>
      <w:r>
        <w:rPr>
          <w:rFonts w:ascii="宋体" w:hAnsi="宋体" w:eastAsia="宋体"/>
          <w:color w:val="000000"/>
        </w:rPr>
        <w:t>在页面顶部的状态卡片区域，用户可以直观地查看四个核心参数的实时数值。例如，观察“水温”卡片，数字显示为26.5°C，其下方小字标注了安全范围为24-28°C以及最近一次数据更新的具体时间。如果水温数值超出安全范围，该卡片的边框会变为橙色或红色，并伴有轻微的呼吸式闪烁效果，以警示用户。用户通过浏览这些卡片，可以快速判断鱼缸当前的环境是否处于健康状态。</w:t>
      </w:r>
    </w:p>
    <w:p w14:paraId="1F00428B">
      <w:pPr>
        <w:pStyle w:val="7"/>
        <w:spacing w:before="360" w:after="240" w:line="432" w:lineRule="auto"/>
        <w:jc w:val="left"/>
      </w:pPr>
      <w:r>
        <w:rPr>
          <w:rFonts w:ascii="楷体" w:hAnsi="楷体" w:eastAsia="楷体"/>
          <w:b/>
          <w:color w:val="000000"/>
          <w:sz w:val="24"/>
        </w:rPr>
        <w:t>监控与控制设备状态</w:t>
      </w:r>
    </w:p>
    <w:p w14:paraId="0B3287F0">
      <w:pPr>
        <w:jc w:val="center"/>
      </w:pPr>
      <w:r>
        <w:drawing>
          <wp:inline distT="0" distB="0" distL="114300" distR="114300">
            <wp:extent cx="5759450" cy="3239770"/>
            <wp:effectExtent l="0" t="0" r="6350" b="114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760000" cy="3240000"/>
                    </a:xfrm>
                    <a:prstGeom prst="rect">
                      <a:avLst/>
                    </a:prstGeom>
                  </pic:spPr>
                </pic:pic>
              </a:graphicData>
            </a:graphic>
          </wp:inline>
        </w:drawing>
      </w:r>
    </w:p>
    <w:p w14:paraId="36E00B65">
      <w:pPr>
        <w:ind w:firstLine="420"/>
      </w:pPr>
      <w:r>
        <w:rPr>
          <w:rFonts w:ascii="宋体" w:hAnsi="宋体" w:eastAsia="宋体"/>
          <w:color w:val="000000"/>
        </w:rPr>
        <w:t>在页面中部的“设备状态”区域，用户可以看到以网格形式排列的设备图标及其当前状态。将鼠标悬停在“LED灯”设备图标上，图标会轻微放大并浮现一个“手动控制”的快捷入口。点击该入口，当前页面会立即弹出一个浮层。在浮层中，用户可以通过开关按钮切换设备状态，或通过滑动条调节LED灯的亮度。完成设置后，点击浮层外部或关闭按钮即可收起浮层，设备状态将实时更新。</w:t>
      </w:r>
    </w:p>
    <w:p w14:paraId="65857BA4">
      <w:pPr>
        <w:pStyle w:val="7"/>
        <w:spacing w:before="360" w:after="240" w:line="432" w:lineRule="auto"/>
        <w:jc w:val="left"/>
      </w:pPr>
      <w:r>
        <w:rPr>
          <w:rFonts w:ascii="楷体" w:hAnsi="楷体" w:eastAsia="楷体"/>
          <w:b/>
          <w:color w:val="000000"/>
          <w:sz w:val="24"/>
        </w:rPr>
        <w:t>查阅历史警报信息</w:t>
      </w:r>
    </w:p>
    <w:p w14:paraId="564BDE52">
      <w:pPr>
        <w:jc w:val="center"/>
      </w:pPr>
      <w:r>
        <w:drawing>
          <wp:inline distT="0" distB="0" distL="114300" distR="114300">
            <wp:extent cx="5759450" cy="3239770"/>
            <wp:effectExtent l="0" t="0" r="6350" b="1143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760000" cy="3240000"/>
                    </a:xfrm>
                    <a:prstGeom prst="rect">
                      <a:avLst/>
                    </a:prstGeom>
                  </pic:spPr>
                </pic:pic>
              </a:graphicData>
            </a:graphic>
          </wp:inline>
        </w:drawing>
      </w:r>
    </w:p>
    <w:p w14:paraId="400D9BAE">
      <w:pPr>
        <w:ind w:firstLine="420"/>
      </w:pPr>
      <w:r>
        <w:rPr>
          <w:rFonts w:ascii="宋体" w:hAnsi="宋体" w:eastAsia="宋体"/>
          <w:color w:val="000000"/>
        </w:rPr>
        <w:t>在页面底部的“最近警报”日志面板中，用户可以查看以滚动列表形式展示的最近几条报警信息。例如，列表中可能包含一条“水温过高”的警报。用户直接点击这条日志，该条目会在原地展开，显示出更详细的报警原因（如“加热棒持续工作未停止”）和系统给出的建议处理措施（如“检查加热棒设置或手动关闭”）。用户再次点击该日志，展开的详细信息会自动收起。</w:t>
      </w:r>
    </w:p>
    <w:p w14:paraId="6092F5C0">
      <w:r>
        <w:br w:type="page"/>
      </w:r>
    </w:p>
    <w:p w14:paraId="0010A5AC">
      <w:pPr>
        <w:pStyle w:val="6"/>
        <w:spacing w:before="400" w:after="280" w:line="432" w:lineRule="auto"/>
        <w:jc w:val="left"/>
      </w:pPr>
      <w:bookmarkStart w:id="7" w:name="_Toc9646"/>
      <w:r>
        <w:rPr>
          <w:rFonts w:ascii="楷体" w:hAnsi="楷体" w:eastAsia="楷体"/>
          <w:b/>
          <w:color w:val="000000"/>
          <w:sz w:val="26"/>
        </w:rPr>
        <w:t>2.2.4 手动控制面板</w:t>
      </w:r>
      <w:bookmarkEnd w:id="7"/>
    </w:p>
    <w:p w14:paraId="499CB9C6">
      <w:pPr>
        <w:ind w:firstLine="420"/>
      </w:pPr>
      <w:r>
        <w:rPr>
          <w:rFonts w:ascii="宋体" w:hAnsi="宋体" w:eastAsia="宋体"/>
          <w:color w:val="000000"/>
        </w:rPr>
        <w:t>该功能允许用户即时、精确地操控连接到鱼缸的硬件设备，提供类似物理开关的即时反馈体验。它适用于需要临时调整设备运行状态的场景，例如手动喂食时关闭水泵。</w:t>
      </w:r>
    </w:p>
    <w:p w14:paraId="50387258">
      <w:pPr>
        <w:ind w:firstLine="420"/>
      </w:pPr>
      <w:r>
        <w:rPr>
          <w:rFonts w:ascii="宋体" w:hAnsi="宋体" w:eastAsia="宋体"/>
          <w:b/>
          <w:color w:val="000000"/>
        </w:rPr>
        <w:t>操作步骤：</w:t>
      </w:r>
    </w:p>
    <w:p w14:paraId="772D05A5">
      <w:pPr>
        <w:pStyle w:val="7"/>
        <w:spacing w:before="360" w:after="240" w:line="432" w:lineRule="auto"/>
        <w:jc w:val="left"/>
      </w:pPr>
      <w:r>
        <w:rPr>
          <w:rFonts w:ascii="楷体" w:hAnsi="楷体" w:eastAsia="楷体"/>
          <w:b/>
          <w:color w:val="000000"/>
          <w:sz w:val="24"/>
        </w:rPr>
        <w:t>选择设备</w:t>
      </w:r>
    </w:p>
    <w:p w14:paraId="0FA389D8">
      <w:pPr>
        <w:jc w:val="center"/>
      </w:pPr>
      <w:r>
        <w:drawing>
          <wp:inline distT="0" distB="0" distL="114300" distR="114300">
            <wp:extent cx="5759450" cy="3239770"/>
            <wp:effectExtent l="0" t="0" r="6350" b="1143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760000" cy="3240000"/>
                    </a:xfrm>
                    <a:prstGeom prst="rect">
                      <a:avLst/>
                    </a:prstGeom>
                  </pic:spPr>
                </pic:pic>
              </a:graphicData>
            </a:graphic>
          </wp:inline>
        </w:drawing>
      </w:r>
    </w:p>
    <w:p w14:paraId="26C85291">
      <w:pPr>
        <w:ind w:firstLine="420"/>
      </w:pPr>
      <w:r>
        <w:rPr>
          <w:rFonts w:ascii="宋体" w:hAnsi="宋体" w:eastAsia="宋体"/>
          <w:color w:val="000000"/>
        </w:rPr>
        <w:t>在手动控制页面左侧设备列表中，点击目标设备条目（如“LED灯”）。此时左侧列表高亮显示当前选中项，右侧控制区域会即时刷新，展示对应设备的专属控制界面，包括设备图标、名称和当前的开关状态。</w:t>
      </w:r>
    </w:p>
    <w:p w14:paraId="5A966A47">
      <w:pPr>
        <w:pStyle w:val="7"/>
        <w:spacing w:before="360" w:after="240" w:line="432" w:lineRule="auto"/>
        <w:jc w:val="left"/>
      </w:pPr>
      <w:r>
        <w:rPr>
          <w:rFonts w:ascii="楷体" w:hAnsi="楷体" w:eastAsia="楷体"/>
          <w:b/>
          <w:color w:val="000000"/>
          <w:sz w:val="24"/>
        </w:rPr>
        <w:t>执行基础控制</w:t>
      </w:r>
    </w:p>
    <w:p w14:paraId="2F6C2A30">
      <w:pPr>
        <w:jc w:val="center"/>
      </w:pPr>
      <w:r>
        <w:drawing>
          <wp:inline distT="0" distB="0" distL="114300" distR="114300">
            <wp:extent cx="5759450" cy="3239770"/>
            <wp:effectExtent l="0" t="0" r="6350" b="1143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760000" cy="3240000"/>
                    </a:xfrm>
                    <a:prstGeom prst="rect">
                      <a:avLst/>
                    </a:prstGeom>
                  </pic:spPr>
                </pic:pic>
              </a:graphicData>
            </a:graphic>
          </wp:inline>
        </w:drawing>
      </w:r>
    </w:p>
    <w:p w14:paraId="6B9F10E4">
      <w:pPr>
        <w:ind w:firstLine="420"/>
      </w:pPr>
      <w:r>
        <w:rPr>
          <w:rFonts w:ascii="宋体" w:hAnsi="宋体" w:eastAsia="宋体"/>
          <w:color w:val="000000"/>
        </w:rPr>
        <w:t>在右侧控制区域，点击巨大的圆形电源开关按钮。按钮会立即旋转并变色（如灰色变为亮黄色），同时界面显示“设备响应中…”的Loading遮罩。指令执行成功后，遮罩消失，状态更新为“已开启”，页面右上角弹出非阻塞提示条告知用户操作结果。</w:t>
      </w:r>
    </w:p>
    <w:p w14:paraId="573144EB">
      <w:pPr>
        <w:pStyle w:val="7"/>
        <w:spacing w:before="360" w:after="240" w:line="432" w:lineRule="auto"/>
        <w:jc w:val="left"/>
      </w:pPr>
      <w:r>
        <w:rPr>
          <w:rFonts w:ascii="楷体" w:hAnsi="楷体" w:eastAsia="楷体"/>
          <w:b/>
          <w:color w:val="000000"/>
          <w:sz w:val="24"/>
        </w:rPr>
        <w:t>进行精细调节</w:t>
      </w:r>
    </w:p>
    <w:p w14:paraId="167E5EDE">
      <w:pPr>
        <w:jc w:val="center"/>
      </w:pPr>
      <w:r>
        <w:drawing>
          <wp:inline distT="0" distB="0" distL="114300" distR="114300">
            <wp:extent cx="5759450" cy="3239770"/>
            <wp:effectExtent l="0" t="0" r="6350" b="1143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5760000" cy="3240000"/>
                    </a:xfrm>
                    <a:prstGeom prst="rect">
                      <a:avLst/>
                    </a:prstGeom>
                  </pic:spPr>
                </pic:pic>
              </a:graphicData>
            </a:graphic>
          </wp:inline>
        </w:drawing>
      </w:r>
    </w:p>
    <w:p w14:paraId="601F1FA3">
      <w:pPr>
        <w:ind w:firstLine="420"/>
      </w:pPr>
      <w:r>
        <w:rPr>
          <w:rFonts w:ascii="宋体" w:hAnsi="宋体" w:eastAsia="宋体"/>
          <w:color w:val="000000"/>
        </w:rPr>
        <w:t>对于支持调节的设备（如LED灯），在基础控制成功后，拖动下方出现的亮度滑动条。滑块实时移动，右侧同步显示当前亮度数值。用户松开鼠标后，指令立即发送，Loading遮罩再次出现，收到设备确认后，右上角弹出提示条告知调节成功。</w:t>
      </w:r>
    </w:p>
    <w:p w14:paraId="255E264B">
      <w:r>
        <w:br w:type="page"/>
      </w:r>
    </w:p>
    <w:p w14:paraId="431C0877">
      <w:pPr>
        <w:pStyle w:val="6"/>
        <w:spacing w:before="400" w:after="280" w:line="432" w:lineRule="auto"/>
        <w:jc w:val="left"/>
      </w:pPr>
      <w:bookmarkStart w:id="8" w:name="_Toc27478"/>
      <w:r>
        <w:rPr>
          <w:rFonts w:ascii="楷体" w:hAnsi="楷体" w:eastAsia="楷体"/>
          <w:b/>
          <w:color w:val="000000"/>
          <w:sz w:val="26"/>
        </w:rPr>
        <w:t>2.2.5 自动化任务配置界面</w:t>
      </w:r>
      <w:bookmarkEnd w:id="8"/>
    </w:p>
    <w:p w14:paraId="7DB65552">
      <w:pPr>
        <w:ind w:firstLine="420"/>
      </w:pPr>
      <w:r>
        <w:rPr>
          <w:rFonts w:ascii="宋体" w:hAnsi="宋体" w:eastAsia="宋体"/>
          <w:color w:val="000000"/>
        </w:rPr>
        <w:t>此功能是系统智能化的核心体现，允许用户创建基于时间或条件的自动化规则，实现鱼缸管理的无人值守。用户可以设定复杂的定时计划，模拟自然环境变化。</w:t>
      </w:r>
    </w:p>
    <w:p w14:paraId="4D70899B">
      <w:pPr>
        <w:ind w:firstLine="420"/>
      </w:pPr>
      <w:r>
        <w:rPr>
          <w:rFonts w:ascii="宋体" w:hAnsi="宋体" w:eastAsia="宋体"/>
          <w:b/>
          <w:color w:val="000000"/>
        </w:rPr>
        <w:t>操作步骤：</w:t>
      </w:r>
    </w:p>
    <w:p w14:paraId="3BF639BA">
      <w:pPr>
        <w:pStyle w:val="7"/>
        <w:spacing w:before="360" w:after="240" w:line="432" w:lineRule="auto"/>
        <w:jc w:val="left"/>
      </w:pPr>
      <w:r>
        <w:rPr>
          <w:rFonts w:ascii="楷体" w:hAnsi="楷体" w:eastAsia="楷体"/>
          <w:b/>
          <w:color w:val="000000"/>
          <w:sz w:val="24"/>
        </w:rPr>
        <w:t>打开新建任务向导</w:t>
      </w:r>
    </w:p>
    <w:p w14:paraId="7FBE060D">
      <w:pPr>
        <w:jc w:val="center"/>
      </w:pPr>
      <w:r>
        <w:drawing>
          <wp:inline distT="0" distB="0" distL="114300" distR="114300">
            <wp:extent cx="5759450" cy="3239770"/>
            <wp:effectExtent l="0" t="0" r="6350" b="1143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5760000" cy="3240000"/>
                    </a:xfrm>
                    <a:prstGeom prst="rect">
                      <a:avLst/>
                    </a:prstGeom>
                  </pic:spPr>
                </pic:pic>
              </a:graphicData>
            </a:graphic>
          </wp:inline>
        </w:drawing>
      </w:r>
    </w:p>
    <w:p w14:paraId="313ABF5C">
      <w:pPr>
        <w:ind w:firstLine="420"/>
      </w:pPr>
      <w:r>
        <w:rPr>
          <w:rFonts w:ascii="宋体" w:hAnsi="宋体" w:eastAsia="宋体"/>
          <w:color w:val="000000"/>
        </w:rPr>
        <w:t>在自动化任务配置界面，任务列表区域的上方找到并点击蓝色的“新建任务”按钮。点击后，界面中央会弹出一个新建任务的向导模态框，模态框内默认显示第一步“任务基础信息”的表单内容，包括任务名称输入框和任务类型选择器，引导用户开始创建流程。</w:t>
      </w:r>
    </w:p>
    <w:p w14:paraId="6F14D670">
      <w:pPr>
        <w:pStyle w:val="7"/>
        <w:spacing w:before="360" w:after="240" w:line="432" w:lineRule="auto"/>
        <w:jc w:val="left"/>
      </w:pPr>
      <w:r>
        <w:rPr>
          <w:rFonts w:ascii="楷体" w:hAnsi="楷体" w:eastAsia="楷体"/>
          <w:b/>
          <w:color w:val="000000"/>
          <w:sz w:val="24"/>
        </w:rPr>
        <w:t>配置触发条件与执行动作</w:t>
      </w:r>
    </w:p>
    <w:p w14:paraId="0682BDFF">
      <w:pPr>
        <w:jc w:val="center"/>
      </w:pPr>
      <w:r>
        <w:drawing>
          <wp:inline distT="0" distB="0" distL="114300" distR="114300">
            <wp:extent cx="5759450" cy="3239770"/>
            <wp:effectExtent l="0" t="0" r="6350" b="1143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2"/>
                    <a:stretch>
                      <a:fillRect/>
                    </a:stretch>
                  </pic:blipFill>
                  <pic:spPr>
                    <a:xfrm>
                      <a:off x="0" y="0"/>
                      <a:ext cx="5760000" cy="3240000"/>
                    </a:xfrm>
                    <a:prstGeom prst="rect">
                      <a:avLst/>
                    </a:prstGeom>
                  </pic:spPr>
                </pic:pic>
              </a:graphicData>
            </a:graphic>
          </wp:inline>
        </w:drawing>
      </w:r>
    </w:p>
    <w:p w14:paraId="34AEA082">
      <w:pPr>
        <w:ind w:firstLine="420"/>
      </w:pPr>
      <w:r>
        <w:rPr>
          <w:rFonts w:ascii="宋体" w:hAnsi="宋体" w:eastAsia="宋体"/>
          <w:color w:val="000000"/>
        </w:rPr>
        <w:t>在向导模态框中，首先输入任务名称并选择“定时任务”类型，然后进入第二步配置触发条件。通过点击可视化的周/日历选择器来设定执行日期，或直接选择“每天”快捷选项，随后在时间输入框中设定具体执行时间（如“18:00”）。接着进入第三步配置执行动作，从下拉菜单选择设备（如“LED灯”），设定其目标状态为“开启”，并通过出现的亮度滑块和色温选择器调整参数。若需联动，可点击“添加动作”按钮为其他设备（如“水泵”）配置相应状态。</w:t>
      </w:r>
    </w:p>
    <w:p w14:paraId="6B260422">
      <w:pPr>
        <w:pStyle w:val="7"/>
        <w:spacing w:before="360" w:after="240" w:line="432" w:lineRule="auto"/>
        <w:jc w:val="left"/>
      </w:pPr>
      <w:r>
        <w:rPr>
          <w:rFonts w:ascii="楷体" w:hAnsi="楷体" w:eastAsia="楷体"/>
          <w:b/>
          <w:color w:val="000000"/>
          <w:sz w:val="24"/>
        </w:rPr>
        <w:t>预览并保存任务</w:t>
      </w:r>
    </w:p>
    <w:p w14:paraId="24F8E1EA">
      <w:pPr>
        <w:jc w:val="center"/>
      </w:pPr>
      <w:r>
        <w:drawing>
          <wp:inline distT="0" distB="0" distL="114300" distR="114300">
            <wp:extent cx="5759450" cy="3239770"/>
            <wp:effectExtent l="0" t="0" r="6350" b="114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3"/>
                    <a:stretch>
                      <a:fillRect/>
                    </a:stretch>
                  </pic:blipFill>
                  <pic:spPr>
                    <a:xfrm>
                      <a:off x="0" y="0"/>
                      <a:ext cx="5760000" cy="3240000"/>
                    </a:xfrm>
                    <a:prstGeom prst="rect">
                      <a:avLst/>
                    </a:prstGeom>
                  </pic:spPr>
                </pic:pic>
              </a:graphicData>
            </a:graphic>
          </wp:inline>
        </w:drawing>
      </w:r>
    </w:p>
    <w:p w14:paraId="11AF86FD">
      <w:pPr>
        <w:ind w:firstLine="420"/>
      </w:pPr>
      <w:r>
        <w:rPr>
          <w:rFonts w:ascii="宋体" w:hAnsi="宋体" w:eastAsia="宋体"/>
          <w:color w:val="000000"/>
        </w:rPr>
        <w:t>在向导的最后一步“任务预览与保存”中，仔细检查页面中央自动生成的文字描述，确认任务的触发条件和执行动作逻辑是否正确（例如：“在选定日期的18:00，将LED灯开启至80%亮度，并启动水泵”）。确认无误后，点击模态框底部的“保存任务”按钮。模态框将关闭，界面会刷新任务列表，新建的任务会立刻出现在列表的最上方，并显示为“启用”状态。</w:t>
      </w:r>
    </w:p>
    <w:p w14:paraId="34BD6B50">
      <w:r>
        <w:br w:type="page"/>
      </w:r>
    </w:p>
    <w:p w14:paraId="1AC5C191">
      <w:pPr>
        <w:pStyle w:val="6"/>
        <w:spacing w:before="400" w:after="280" w:line="432" w:lineRule="auto"/>
        <w:jc w:val="left"/>
      </w:pPr>
      <w:bookmarkStart w:id="9" w:name="_Toc10306"/>
      <w:r>
        <w:rPr>
          <w:rFonts w:ascii="楷体" w:hAnsi="楷体" w:eastAsia="楷体"/>
          <w:b/>
          <w:color w:val="000000"/>
          <w:sz w:val="26"/>
        </w:rPr>
        <w:t>2.2.6 历史数据可视化图表界面</w:t>
      </w:r>
      <w:bookmarkEnd w:id="9"/>
    </w:p>
    <w:p w14:paraId="729E6359">
      <w:pPr>
        <w:ind w:firstLine="420"/>
      </w:pPr>
      <w:r>
        <w:rPr>
          <w:rFonts w:ascii="宋体" w:hAnsi="宋体" w:eastAsia="宋体"/>
          <w:color w:val="000000"/>
        </w:rPr>
        <w:t>该功能将设备长期记录的环境数据以图表形式呈现，帮助用户分析水质变化趋势、评估设备运行效果，为科学养鱼提供数据支持。</w:t>
      </w:r>
    </w:p>
    <w:p w14:paraId="4F0783C3">
      <w:pPr>
        <w:ind w:firstLine="420"/>
      </w:pPr>
      <w:r>
        <w:rPr>
          <w:rFonts w:ascii="宋体" w:hAnsi="宋体" w:eastAsia="宋体"/>
          <w:b/>
          <w:color w:val="000000"/>
        </w:rPr>
        <w:t>操作步骤：</w:t>
      </w:r>
    </w:p>
    <w:p w14:paraId="0E4BDC36">
      <w:pPr>
        <w:pStyle w:val="7"/>
        <w:spacing w:before="360" w:after="240" w:line="432" w:lineRule="auto"/>
        <w:jc w:val="left"/>
      </w:pPr>
      <w:r>
        <w:rPr>
          <w:rFonts w:ascii="楷体" w:hAnsi="楷体" w:eastAsia="楷体"/>
          <w:b/>
          <w:color w:val="000000"/>
          <w:sz w:val="24"/>
        </w:rPr>
        <w:t>筛选数据参数与时间范围</w:t>
      </w:r>
    </w:p>
    <w:p w14:paraId="1283C19C">
      <w:pPr>
        <w:jc w:val="center"/>
      </w:pPr>
      <w:r>
        <w:drawing>
          <wp:inline distT="0" distB="0" distL="114300" distR="114300">
            <wp:extent cx="5759450" cy="3239770"/>
            <wp:effectExtent l="0" t="0" r="6350" b="1143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4"/>
                    <a:stretch>
                      <a:fillRect/>
                    </a:stretch>
                  </pic:blipFill>
                  <pic:spPr>
                    <a:xfrm>
                      <a:off x="0" y="0"/>
                      <a:ext cx="5760000" cy="3240000"/>
                    </a:xfrm>
                    <a:prstGeom prst="rect">
                      <a:avLst/>
                    </a:prstGeom>
                  </pic:spPr>
                </pic:pic>
              </a:graphicData>
            </a:graphic>
          </wp:inline>
        </w:drawing>
      </w:r>
    </w:p>
    <w:p w14:paraId="1A796884">
      <w:pPr>
        <w:ind w:firstLine="420"/>
      </w:pPr>
      <w:r>
        <w:rPr>
          <w:rFonts w:ascii="宋体" w:hAnsi="宋体" w:eastAsia="宋体"/>
          <w:color w:val="000000"/>
        </w:rPr>
        <w:t>在顶部筛选工具栏中，从参数下拉菜单中选择“水温”或“pH值”等目标水质参数。接着在时间范围选择器中，点击选择“最近24小时”、“最近7天”或通过日期选择器设定自定义的起止日期。此时，中间的图表展示区会立即响应，根据筛选条件局部重绘，渲染出对应参数与时间范围的折线图。</w:t>
      </w:r>
    </w:p>
    <w:p w14:paraId="0A0C9CAC">
      <w:pPr>
        <w:pStyle w:val="7"/>
        <w:spacing w:before="360" w:after="240" w:line="432" w:lineRule="auto"/>
        <w:jc w:val="left"/>
      </w:pPr>
      <w:r>
        <w:rPr>
          <w:rFonts w:ascii="楷体" w:hAnsi="楷体" w:eastAsia="楷体"/>
          <w:b/>
          <w:color w:val="000000"/>
          <w:sz w:val="24"/>
        </w:rPr>
        <w:t>交互查看图表数据详情</w:t>
      </w:r>
    </w:p>
    <w:p w14:paraId="383DB344">
      <w:pPr>
        <w:jc w:val="center"/>
      </w:pPr>
      <w:r>
        <w:drawing>
          <wp:inline distT="0" distB="0" distL="114300" distR="114300">
            <wp:extent cx="5759450" cy="3239770"/>
            <wp:effectExtent l="0" t="0" r="6350" b="1143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5"/>
                    <a:stretch>
                      <a:fillRect/>
                    </a:stretch>
                  </pic:blipFill>
                  <pic:spPr>
                    <a:xfrm>
                      <a:off x="0" y="0"/>
                      <a:ext cx="5760000" cy="3240000"/>
                    </a:xfrm>
                    <a:prstGeom prst="rect">
                      <a:avLst/>
                    </a:prstGeom>
                  </pic:spPr>
                </pic:pic>
              </a:graphicData>
            </a:graphic>
          </wp:inline>
        </w:drawing>
      </w:r>
    </w:p>
    <w:p w14:paraId="7ED51DDB">
      <w:pPr>
        <w:ind w:firstLine="420"/>
      </w:pPr>
      <w:r>
        <w:rPr>
          <w:rFonts w:ascii="宋体" w:hAnsi="宋体" w:eastAsia="宋体"/>
          <w:color w:val="000000"/>
        </w:rPr>
        <w:t>将鼠标移动到中间区域图表的折线任意位置，图表上会立即出现一条跟随鼠标的竖线，同时在鼠标附近弹出一个信息框。信息框内会精确显示当前竖线所指时间点的具体数值。用户通过左右滑动鼠标，可以查看曲线上任意时刻的数据详情，帮助分析水质变化趋势。</w:t>
      </w:r>
    </w:p>
    <w:p w14:paraId="5E4D5E8F">
      <w:pPr>
        <w:pStyle w:val="7"/>
        <w:spacing w:before="360" w:after="240" w:line="432" w:lineRule="auto"/>
        <w:jc w:val="left"/>
      </w:pPr>
      <w:r>
        <w:rPr>
          <w:rFonts w:ascii="楷体" w:hAnsi="楷体" w:eastAsia="楷体"/>
          <w:b/>
          <w:color w:val="000000"/>
          <w:sz w:val="24"/>
        </w:rPr>
        <w:t>导出数据或图表图片</w:t>
      </w:r>
    </w:p>
    <w:p w14:paraId="60463AEC">
      <w:pPr>
        <w:jc w:val="center"/>
      </w:pPr>
      <w:r>
        <w:drawing>
          <wp:inline distT="0" distB="0" distL="114300" distR="114300">
            <wp:extent cx="5759450" cy="3239770"/>
            <wp:effectExtent l="0" t="0" r="6350" b="1143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6"/>
                    <a:stretch>
                      <a:fillRect/>
                    </a:stretch>
                  </pic:blipFill>
                  <pic:spPr>
                    <a:xfrm>
                      <a:off x="0" y="0"/>
                      <a:ext cx="5760000" cy="3240000"/>
                    </a:xfrm>
                    <a:prstGeom prst="rect">
                      <a:avLst/>
                    </a:prstGeom>
                  </pic:spPr>
                </pic:pic>
              </a:graphicData>
            </a:graphic>
          </wp:inline>
        </w:drawing>
      </w:r>
    </w:p>
    <w:p w14:paraId="27A59844">
      <w:pPr>
        <w:ind w:firstLine="420"/>
      </w:pPr>
      <w:r>
        <w:rPr>
          <w:rFonts w:ascii="宋体" w:hAnsi="宋体" w:eastAsia="宋体"/>
          <w:color w:val="000000"/>
        </w:rPr>
        <w:t>在页面底部的数据导出区，根据需求点击相应按钮。点击“导出为CSV”按钮，系统会生成包含当前筛选条件下所有原始数据的表格文件并自动下载到本地。若点击“导出为PNG”按钮，则会将当前图表视图（包含坐标轴和数据曲线）保存为一张图片文件并下载，方便用于报告或演示。</w:t>
      </w:r>
    </w:p>
    <w:sectPr>
      <w:headerReference r:id="rId5" w:type="default"/>
      <w:footerReference r:id="rId6" w:type="default"/>
      <w:pgSz w:w="11906" w:h="16838"/>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39FB52">
    <w:pPr>
      <w:pStyle w:val="25"/>
      <w:jc w:val="center"/>
    </w:pPr>
    <w:r>
      <w:rPr>
        <w:rFonts w:ascii="楷体" w:hAnsi="楷体" w:eastAsia="楷体"/>
        <w:color w:val="000000"/>
        <w:sz w:val="18"/>
      </w:rPr>
      <w:t xml:space="preserve">第 </w:t>
    </w:r>
    <w:r>
      <w:rPr>
        <w:rFonts w:ascii="楷体" w:hAnsi="楷体" w:eastAsia="楷体"/>
        <w:color w:val="000000"/>
        <w:sz w:val="18"/>
      </w:rPr>
      <w:fldChar w:fldCharType="begin"/>
    </w:r>
    <w:r>
      <w:rPr>
        <w:rFonts w:ascii="楷体" w:hAnsi="楷体" w:eastAsia="楷体"/>
        <w:color w:val="000000"/>
        <w:sz w:val="18"/>
      </w:rPr>
      <w:instrText xml:space="preserve">PAGE</w:instrText>
    </w:r>
    <w:r>
      <w:rPr>
        <w:rFonts w:ascii="楷体" w:hAnsi="楷体" w:eastAsia="楷体"/>
        <w:color w:val="000000"/>
        <w:sz w:val="18"/>
      </w:rPr>
      <w:fldChar w:fldCharType="end"/>
    </w:r>
    <w:r>
      <w:rPr>
        <w:rFonts w:ascii="楷体" w:hAnsi="楷体" w:eastAsia="楷体"/>
        <w:color w:val="000000"/>
        <w:sz w:val="18"/>
      </w:rPr>
      <w:t xml:space="preserve"> 页 共 </w:t>
    </w:r>
    <w:r>
      <w:rPr>
        <w:rFonts w:ascii="楷体" w:hAnsi="楷体" w:eastAsia="楷体"/>
        <w:color w:val="000000"/>
        <w:sz w:val="18"/>
      </w:rPr>
      <w:fldChar w:fldCharType="begin"/>
    </w:r>
    <w:r>
      <w:rPr>
        <w:rFonts w:ascii="楷体" w:hAnsi="楷体" w:eastAsia="楷体"/>
        <w:color w:val="000000"/>
        <w:sz w:val="18"/>
      </w:rPr>
      <w:instrText xml:space="preserve">NUMPAGES</w:instrText>
    </w:r>
    <w:r>
      <w:rPr>
        <w:rFonts w:ascii="楷体" w:hAnsi="楷体" w:eastAsia="楷体"/>
        <w:color w:val="000000"/>
        <w:sz w:val="18"/>
      </w:rPr>
      <w:fldChar w:fldCharType="end"/>
    </w:r>
    <w:r>
      <w:rPr>
        <w:rFonts w:ascii="楷体" w:hAnsi="楷体" w:eastAsia="楷体"/>
        <w:color w:val="000000"/>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F4111C">
    <w:pPr>
      <w:pStyle w:val="26"/>
      <w:jc w:val="center"/>
    </w:pPr>
    <w:r>
      <w:rPr>
        <w:rFonts w:ascii="楷体" w:hAnsi="楷体" w:eastAsia="楷体"/>
        <w:color w:val="000000"/>
        <w:sz w:val="18"/>
      </w:rPr>
      <w:t>基于SpringBoot的鱼缸控制系统 V1.0 操作手册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RlZDlkOGNiN2M5MDk0NmE3NTkxY2QyMGJhYTViNWIifQ=="/>
  </w:docVars>
  <w:rsids>
    <w:rsidRoot w:val="00B47730"/>
    <w:rsid w:val="00034616"/>
    <w:rsid w:val="0006063C"/>
    <w:rsid w:val="0015074B"/>
    <w:rsid w:val="0029639D"/>
    <w:rsid w:val="00326F90"/>
    <w:rsid w:val="00AA1D8D"/>
    <w:rsid w:val="00B47730"/>
    <w:rsid w:val="00CB0664"/>
    <w:rsid w:val="00FC693F"/>
    <w:rsid w:val="234876C6"/>
    <w:rsid w:val="3AAE064A"/>
    <w:rsid w:val="54EF627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480" w:lineRule="auto"/>
    </w:pPr>
    <w:rPr>
      <w:rFonts w:ascii="楷体" w:hAnsi="楷体" w:eastAsia="楷体" w:cstheme="minorBidi"/>
      <w:sz w:val="24"/>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0" w:line="240" w:lineRule="auto"/>
    </w:pPr>
  </w:style>
  <w:style w:type="paragraph" w:styleId="27">
    <w:name w:val="toc 4"/>
    <w:basedOn w:val="1"/>
    <w:next w:val="1"/>
    <w:semiHidden/>
    <w:unhideWhenUsed/>
    <w:uiPriority w:val="39"/>
    <w:pPr>
      <w:ind w:left="1260" w:leftChars="600"/>
    </w:pPr>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qFormat/>
    <w:uiPriority w:val="99"/>
  </w:style>
  <w:style w:type="character" w:customStyle="1" w:styleId="139">
    <w:name w:val="Footer Char"/>
    <w:basedOn w:val="135"/>
    <w:link w:val="2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uiPriority w:val="99"/>
  </w:style>
  <w:style w:type="character" w:customStyle="1" w:styleId="148">
    <w:name w:val="Body Text 2 Char"/>
    <w:basedOn w:val="135"/>
    <w:link w:val="31"/>
    <w:uiPriority w:val="99"/>
  </w:style>
  <w:style w:type="character" w:customStyle="1" w:styleId="149">
    <w:name w:val="Body Text 3 Char"/>
    <w:basedOn w:val="135"/>
    <w:link w:val="17"/>
    <w:uiPriority w:val="99"/>
    <w:rPr>
      <w:sz w:val="16"/>
      <w:szCs w:val="16"/>
    </w:rPr>
  </w:style>
  <w:style w:type="character" w:customStyle="1" w:styleId="150">
    <w:name w:val="Macro Text Char"/>
    <w:basedOn w:val="135"/>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uiPriority w:val="29"/>
    <w:rPr>
      <w:i/>
      <w:iCs/>
      <w:color w:val="000000" w:themeColor="text1"/>
      <w14:textFill>
        <w14:solidFill>
          <w14:schemeClr w14:val="tx1"/>
        </w14:solidFill>
      </w14:textFill>
    </w:rPr>
  </w:style>
  <w:style w:type="character" w:customStyle="1" w:styleId="153">
    <w:name w:val="Heading 4 Char"/>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numbering" Target="numbering.xml"/><Relationship Id="rId26" Type="http://schemas.openxmlformats.org/officeDocument/2006/relationships/image" Target="media/image19.jpeg"/><Relationship Id="rId25" Type="http://schemas.openxmlformats.org/officeDocument/2006/relationships/image" Target="media/image18.jpeg"/><Relationship Id="rId24" Type="http://schemas.openxmlformats.org/officeDocument/2006/relationships/image" Target="media/image17.jpeg"/><Relationship Id="rId23" Type="http://schemas.openxmlformats.org/officeDocument/2006/relationships/image" Target="media/image16.jpeg"/><Relationship Id="rId22" Type="http://schemas.openxmlformats.org/officeDocument/2006/relationships/image" Target="media/image15.jpeg"/><Relationship Id="rId21" Type="http://schemas.openxmlformats.org/officeDocument/2006/relationships/image" Target="media/image14.jpe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4123</Words>
  <Characters>4251</Characters>
  <Lines>0</Lines>
  <Paragraphs>0</Paragraphs>
  <TotalTime>0</TotalTime>
  <ScaleCrop>false</ScaleCrop>
  <LinksUpToDate>false</LinksUpToDate>
  <CharactersWithSpaces>4265</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王海洋</cp:lastModifiedBy>
  <dcterms:modified xsi:type="dcterms:W3CDTF">2026-01-13T01:20:33Z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C4C3944FE9774D50B15E7AC38F341949_12</vt:lpwstr>
  </property>
</Properties>
</file>